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6192F" w14:textId="77777777" w:rsidR="00EF79D2" w:rsidRDefault="00741993" w:rsidP="00EF79D2">
      <w:pPr>
        <w:pStyle w:val="Caption"/>
        <w:rPr>
          <w:rFonts w:asciiTheme="majorHAnsi" w:hAnsiTheme="majorHAnsi" w:cstheme="majorHAnsi"/>
          <w:sz w:val="24"/>
          <w:szCs w:val="24"/>
        </w:rPr>
      </w:pPr>
      <w:bookmarkStart w:id="0" w:name="_Toc166224849"/>
      <w:bookmarkStart w:id="1" w:name="_Toc166502876"/>
      <w:r w:rsidRPr="00F416DB">
        <w:rPr>
          <w:rFonts w:asciiTheme="majorHAnsi" w:hAnsiTheme="majorHAnsi" w:cstheme="majorHAnsi"/>
          <w:sz w:val="24"/>
          <w:szCs w:val="24"/>
        </w:rPr>
        <w:t xml:space="preserve">Supplementary material </w:t>
      </w:r>
      <w:r w:rsidRPr="00F416DB">
        <w:rPr>
          <w:rFonts w:asciiTheme="majorHAnsi" w:hAnsiTheme="majorHAnsi" w:cstheme="majorHAnsi"/>
          <w:sz w:val="24"/>
          <w:szCs w:val="24"/>
        </w:rPr>
        <w:fldChar w:fldCharType="begin"/>
      </w:r>
      <w:r w:rsidRPr="00F416DB">
        <w:rPr>
          <w:rFonts w:asciiTheme="majorHAnsi" w:hAnsiTheme="majorHAnsi" w:cstheme="majorHAnsi"/>
          <w:sz w:val="24"/>
          <w:szCs w:val="24"/>
        </w:rPr>
        <w:instrText xml:space="preserve"> SEQ Supplementary_material \* ARABIC </w:instrText>
      </w:r>
      <w:r w:rsidRPr="00F416DB">
        <w:rPr>
          <w:rFonts w:asciiTheme="majorHAnsi" w:hAnsiTheme="majorHAnsi" w:cstheme="majorHAnsi"/>
          <w:sz w:val="24"/>
          <w:szCs w:val="24"/>
        </w:rPr>
        <w:fldChar w:fldCharType="separate"/>
      </w:r>
      <w:r w:rsidRPr="00F416DB">
        <w:rPr>
          <w:rFonts w:asciiTheme="majorHAnsi" w:hAnsiTheme="majorHAnsi" w:cstheme="majorHAnsi"/>
          <w:noProof/>
          <w:sz w:val="24"/>
          <w:szCs w:val="24"/>
        </w:rPr>
        <w:t>9</w:t>
      </w:r>
      <w:r w:rsidRPr="00F416DB">
        <w:rPr>
          <w:rFonts w:asciiTheme="majorHAnsi" w:hAnsiTheme="majorHAnsi" w:cstheme="majorHAnsi"/>
          <w:sz w:val="24"/>
          <w:szCs w:val="24"/>
        </w:rPr>
        <w:fldChar w:fldCharType="end"/>
      </w:r>
      <w:r w:rsidRPr="00F416DB">
        <w:rPr>
          <w:rFonts w:asciiTheme="majorHAnsi" w:hAnsiTheme="majorHAnsi" w:cstheme="majorHAnsi"/>
          <w:sz w:val="24"/>
          <w:szCs w:val="24"/>
        </w:rPr>
        <w:t xml:space="preserve"> 15/130/94. Statistics analysis plan</w:t>
      </w:r>
      <w:bookmarkEnd w:id="0"/>
      <w:bookmarkEnd w:id="1"/>
    </w:p>
    <w:p w14:paraId="34CE2941" w14:textId="77777777" w:rsidR="002F4B81" w:rsidRPr="002F4B81" w:rsidRDefault="002F4B81" w:rsidP="002F4B81">
      <w:pPr>
        <w:spacing w:after="0" w:line="240" w:lineRule="auto"/>
        <w:ind w:right="-154"/>
        <w:jc w:val="center"/>
        <w:rPr>
          <w:rFonts w:ascii="Calibri" w:eastAsia="Times New Roman" w:hAnsi="Calibri" w:cs="Times New Roman"/>
          <w:sz w:val="28"/>
          <w:szCs w:val="28"/>
        </w:rPr>
      </w:pPr>
      <w:r w:rsidRPr="002F4B81">
        <w:rPr>
          <w:rFonts w:ascii="Calibri" w:eastAsia="Times New Roman" w:hAnsi="Calibri" w:cs="Times New Roman"/>
          <w:sz w:val="28"/>
          <w:szCs w:val="28"/>
        </w:rPr>
        <w:t>Statistical Analysis Plan for the SETS aHUS Trial</w:t>
      </w:r>
    </w:p>
    <w:p w14:paraId="641162AD" w14:textId="77777777" w:rsidR="002F4B81" w:rsidRPr="002F4B81" w:rsidRDefault="002F4B81" w:rsidP="002F4B81">
      <w:pPr>
        <w:spacing w:after="0" w:line="240" w:lineRule="auto"/>
        <w:rPr>
          <w:rFonts w:ascii="Calibri" w:eastAsia="Times New Roman" w:hAnsi="Calibri" w:cs="Times New Roman"/>
          <w:sz w:val="28"/>
          <w:szCs w:val="28"/>
        </w:rPr>
      </w:pPr>
    </w:p>
    <w:tbl>
      <w:tblPr>
        <w:tblW w:w="0" w:type="auto"/>
        <w:tblLook w:val="04A0" w:firstRow="1" w:lastRow="0" w:firstColumn="1" w:lastColumn="0" w:noHBand="0" w:noVBand="1"/>
      </w:tblPr>
      <w:tblGrid>
        <w:gridCol w:w="3610"/>
        <w:gridCol w:w="4696"/>
      </w:tblGrid>
      <w:tr w:rsidR="002F4B81" w:rsidRPr="002F4B81" w14:paraId="1A5F7495" w14:textId="77777777" w:rsidTr="00C667E5">
        <w:tc>
          <w:tcPr>
            <w:tcW w:w="3936" w:type="dxa"/>
          </w:tcPr>
          <w:p w14:paraId="0A036C4E"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 w:val="28"/>
                <w:szCs w:val="28"/>
              </w:rPr>
            </w:pPr>
            <w:r w:rsidRPr="002F4B81">
              <w:rPr>
                <w:rFonts w:ascii="Calibri" w:eastAsia="Times New Roman" w:hAnsi="Calibri" w:cs="Times New Roman"/>
                <w:b/>
                <w:sz w:val="28"/>
                <w:szCs w:val="28"/>
              </w:rPr>
              <w:t>Full Title:</w:t>
            </w:r>
            <w:r w:rsidRPr="002F4B81">
              <w:rPr>
                <w:rFonts w:ascii="Calibri" w:eastAsia="Times New Roman" w:hAnsi="Calibri" w:cs="TimesNewRomanPSMT"/>
                <w:sz w:val="28"/>
                <w:szCs w:val="28"/>
              </w:rPr>
              <w:t xml:space="preserve"> </w:t>
            </w:r>
          </w:p>
          <w:p w14:paraId="405E9D90" w14:textId="77777777" w:rsidR="002F4B81" w:rsidRPr="002F4B81" w:rsidRDefault="002F4B81" w:rsidP="002F4B81">
            <w:pPr>
              <w:spacing w:after="0" w:line="240" w:lineRule="auto"/>
              <w:rPr>
                <w:rFonts w:ascii="Calibri" w:eastAsia="Times New Roman" w:hAnsi="Calibri" w:cs="TimesNewRomanPSMT"/>
                <w:sz w:val="28"/>
                <w:szCs w:val="28"/>
              </w:rPr>
            </w:pPr>
          </w:p>
          <w:p w14:paraId="08CF841E" w14:textId="77777777" w:rsidR="002F4B81" w:rsidRPr="002F4B81" w:rsidRDefault="002F4B81" w:rsidP="002F4B81">
            <w:pPr>
              <w:spacing w:after="0" w:line="240" w:lineRule="auto"/>
              <w:jc w:val="center"/>
              <w:rPr>
                <w:rFonts w:ascii="Calibri" w:eastAsia="Times New Roman" w:hAnsi="Calibri" w:cs="TimesNewRomanPSMT"/>
                <w:sz w:val="28"/>
                <w:szCs w:val="28"/>
              </w:rPr>
            </w:pPr>
          </w:p>
        </w:tc>
        <w:tc>
          <w:tcPr>
            <w:tcW w:w="5306" w:type="dxa"/>
          </w:tcPr>
          <w:p w14:paraId="1C0C2E78"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NewRomanPSMT"/>
                <w:sz w:val="28"/>
                <w:szCs w:val="28"/>
              </w:rPr>
              <w:t>Multicentre, open label, prospective, single arm study of the safety and impact of eculizumab withdrawal in patients with atypical haemolytic uraemic syndrome</w:t>
            </w:r>
          </w:p>
        </w:tc>
      </w:tr>
      <w:tr w:rsidR="002F4B81" w:rsidRPr="002F4B81" w14:paraId="2163E6FA" w14:textId="77777777" w:rsidTr="00C667E5">
        <w:tc>
          <w:tcPr>
            <w:tcW w:w="3936" w:type="dxa"/>
          </w:tcPr>
          <w:p w14:paraId="5B083A70" w14:textId="77777777" w:rsidR="002F4B81" w:rsidRPr="002F4B81" w:rsidRDefault="002F4B81" w:rsidP="002F4B81">
            <w:pPr>
              <w:spacing w:after="0" w:line="240" w:lineRule="auto"/>
              <w:rPr>
                <w:rFonts w:ascii="Calibri" w:eastAsia="Times New Roman" w:hAnsi="Calibri" w:cs="Times New Roman"/>
                <w:b/>
                <w:sz w:val="28"/>
                <w:szCs w:val="28"/>
              </w:rPr>
            </w:pPr>
          </w:p>
          <w:p w14:paraId="65B6D15F"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Short Title/Acronym:</w:t>
            </w:r>
          </w:p>
        </w:tc>
        <w:tc>
          <w:tcPr>
            <w:tcW w:w="5306" w:type="dxa"/>
          </w:tcPr>
          <w:p w14:paraId="318B1EED" w14:textId="77777777" w:rsidR="002F4B81" w:rsidRPr="002F4B81" w:rsidRDefault="002F4B81" w:rsidP="002F4B81">
            <w:pPr>
              <w:spacing w:after="0" w:line="240" w:lineRule="auto"/>
              <w:rPr>
                <w:rFonts w:ascii="Calibri" w:eastAsia="Times New Roman" w:hAnsi="Calibri" w:cs="TimesNewRomanPSMT"/>
                <w:b/>
                <w:sz w:val="28"/>
                <w:szCs w:val="28"/>
              </w:rPr>
            </w:pPr>
          </w:p>
          <w:p w14:paraId="412E35C7" w14:textId="77777777" w:rsidR="002F4B81" w:rsidRPr="002F4B81" w:rsidRDefault="002F4B81" w:rsidP="002F4B81">
            <w:pPr>
              <w:spacing w:after="0" w:line="240" w:lineRule="auto"/>
              <w:ind w:right="-154"/>
              <w:rPr>
                <w:rFonts w:ascii="Calibri" w:eastAsia="Times New Roman" w:hAnsi="Calibri" w:cs="Times New Roman"/>
                <w:color w:val="000000"/>
                <w:sz w:val="28"/>
                <w:szCs w:val="28"/>
              </w:rPr>
            </w:pPr>
            <w:r w:rsidRPr="002F4B81">
              <w:rPr>
                <w:rFonts w:ascii="Calibri" w:eastAsia="Times New Roman" w:hAnsi="Calibri" w:cs="TimesNewRomanPSMT"/>
                <w:b/>
                <w:sz w:val="28"/>
                <w:szCs w:val="28"/>
              </w:rPr>
              <w:t>SETS aHUS</w:t>
            </w:r>
            <w:r w:rsidRPr="002F4B81">
              <w:rPr>
                <w:rFonts w:ascii="Calibri" w:eastAsia="Times New Roman" w:hAnsi="Calibri" w:cs="TimesNewRomanPSMT"/>
                <w:sz w:val="28"/>
                <w:szCs w:val="28"/>
              </w:rPr>
              <w:t xml:space="preserve">: </w:t>
            </w:r>
            <w:r w:rsidRPr="002F4B81">
              <w:rPr>
                <w:rFonts w:ascii="Calibri" w:eastAsia="Times New Roman" w:hAnsi="Calibri" w:cs="TimesNewRomanPS-BoldMT"/>
                <w:b/>
                <w:bCs/>
                <w:sz w:val="28"/>
                <w:szCs w:val="28"/>
              </w:rPr>
              <w:t>S</w:t>
            </w:r>
            <w:r w:rsidRPr="002F4B81">
              <w:rPr>
                <w:rFonts w:ascii="Calibri" w:eastAsia="Times New Roman" w:hAnsi="Calibri" w:cs="TimesNewRomanPSMT"/>
                <w:sz w:val="28"/>
                <w:szCs w:val="28"/>
              </w:rPr>
              <w:t xml:space="preserve">topping </w:t>
            </w:r>
            <w:r w:rsidRPr="002F4B81">
              <w:rPr>
                <w:rFonts w:ascii="Calibri" w:eastAsia="Times New Roman" w:hAnsi="Calibri" w:cs="TimesNewRomanPS-BoldMT"/>
                <w:b/>
                <w:bCs/>
                <w:sz w:val="28"/>
                <w:szCs w:val="28"/>
              </w:rPr>
              <w:t>E</w:t>
            </w:r>
            <w:r w:rsidRPr="002F4B81">
              <w:rPr>
                <w:rFonts w:ascii="Calibri" w:eastAsia="Times New Roman" w:hAnsi="Calibri" w:cs="TimesNewRomanPSMT"/>
                <w:sz w:val="28"/>
                <w:szCs w:val="28"/>
              </w:rPr>
              <w:t xml:space="preserve">culizumab </w:t>
            </w:r>
            <w:r w:rsidRPr="002F4B81">
              <w:rPr>
                <w:rFonts w:ascii="Calibri" w:eastAsia="Times New Roman" w:hAnsi="Calibri" w:cs="TimesNewRomanPS-BoldMT"/>
                <w:b/>
                <w:bCs/>
                <w:sz w:val="28"/>
                <w:szCs w:val="28"/>
              </w:rPr>
              <w:t>T</w:t>
            </w:r>
            <w:r w:rsidRPr="002F4B81">
              <w:rPr>
                <w:rFonts w:ascii="Calibri" w:eastAsia="Times New Roman" w:hAnsi="Calibri" w:cs="TimesNewRomanPSMT"/>
                <w:sz w:val="28"/>
                <w:szCs w:val="28"/>
              </w:rPr>
              <w:t xml:space="preserve">reatment </w:t>
            </w:r>
            <w:r w:rsidRPr="002F4B81">
              <w:rPr>
                <w:rFonts w:ascii="Calibri" w:eastAsia="Times New Roman" w:hAnsi="Calibri" w:cs="TimesNewRomanPS-BoldMT"/>
                <w:b/>
                <w:bCs/>
                <w:sz w:val="28"/>
                <w:szCs w:val="28"/>
              </w:rPr>
              <w:t>S</w:t>
            </w:r>
            <w:r w:rsidRPr="002F4B81">
              <w:rPr>
                <w:rFonts w:ascii="Calibri" w:eastAsia="Times New Roman" w:hAnsi="Calibri" w:cs="TimesNewRomanPSMT"/>
                <w:sz w:val="28"/>
                <w:szCs w:val="28"/>
              </w:rPr>
              <w:t xml:space="preserve">afely in </w:t>
            </w:r>
            <w:r w:rsidRPr="002F4B81">
              <w:rPr>
                <w:rFonts w:ascii="Calibri" w:eastAsia="Times New Roman" w:hAnsi="Calibri" w:cs="TimesNewRomanPS-BoldMT"/>
                <w:b/>
                <w:bCs/>
                <w:sz w:val="28"/>
                <w:szCs w:val="28"/>
              </w:rPr>
              <w:t xml:space="preserve">aHUS </w:t>
            </w:r>
            <w:r w:rsidRPr="002F4B81">
              <w:rPr>
                <w:rFonts w:ascii="Calibri" w:eastAsia="Times New Roman" w:hAnsi="Calibri" w:cs="Arial"/>
                <w:sz w:val="28"/>
                <w:szCs w:val="28"/>
              </w:rPr>
              <w:t>(</w:t>
            </w:r>
            <w:r w:rsidRPr="002F4B81">
              <w:rPr>
                <w:rFonts w:ascii="Calibri" w:eastAsia="Times New Roman" w:hAnsi="Calibri" w:cs="Arial"/>
                <w:b/>
                <w:sz w:val="28"/>
                <w:szCs w:val="28"/>
              </w:rPr>
              <w:t>SETS aHUS</w:t>
            </w:r>
            <w:r w:rsidRPr="002F4B81">
              <w:rPr>
                <w:rFonts w:ascii="Calibri" w:eastAsia="Times New Roman" w:hAnsi="Calibri" w:cs="Arial"/>
                <w:sz w:val="28"/>
                <w:szCs w:val="28"/>
              </w:rPr>
              <w:t>)</w:t>
            </w:r>
          </w:p>
          <w:p w14:paraId="24D1D84E" w14:textId="77777777" w:rsidR="002F4B81" w:rsidRPr="002F4B81" w:rsidRDefault="002F4B81" w:rsidP="002F4B81">
            <w:pPr>
              <w:spacing w:after="0" w:line="240" w:lineRule="auto"/>
              <w:rPr>
                <w:rFonts w:ascii="Calibri" w:eastAsia="Times New Roman" w:hAnsi="Calibri" w:cs="Times New Roman"/>
                <w:sz w:val="28"/>
                <w:szCs w:val="28"/>
              </w:rPr>
            </w:pPr>
          </w:p>
        </w:tc>
      </w:tr>
    </w:tbl>
    <w:p w14:paraId="10A0D8F8" w14:textId="77777777" w:rsidR="002F4B81" w:rsidRPr="002F4B81" w:rsidRDefault="002F4B81" w:rsidP="002F4B81">
      <w:pPr>
        <w:spacing w:after="0" w:line="240" w:lineRule="auto"/>
        <w:ind w:right="-154"/>
        <w:jc w:val="center"/>
        <w:rPr>
          <w:rFonts w:ascii="Calibri" w:eastAsia="Times New Roman" w:hAnsi="Calibri" w:cs="Times New Roman"/>
          <w:color w:val="000000"/>
          <w:sz w:val="28"/>
          <w:szCs w:val="28"/>
        </w:rPr>
      </w:pPr>
      <w:r w:rsidRPr="002F4B81">
        <w:rPr>
          <w:rFonts w:ascii="Calibri" w:eastAsia="Times New Roman" w:hAnsi="Calibri" w:cs="Times New Roman"/>
          <w:color w:val="000000"/>
          <w:sz w:val="28"/>
          <w:szCs w:val="28"/>
        </w:rPr>
        <w:t xml:space="preserve">SAP Version number: 1.4 </w:t>
      </w:r>
    </w:p>
    <w:p w14:paraId="05B054E6" w14:textId="77777777" w:rsidR="002F4B81" w:rsidRPr="002F4B81" w:rsidRDefault="002F4B81" w:rsidP="002F4B81">
      <w:pPr>
        <w:spacing w:after="0" w:line="240" w:lineRule="auto"/>
        <w:ind w:right="-154"/>
        <w:jc w:val="center"/>
        <w:rPr>
          <w:rFonts w:ascii="Calibri" w:eastAsia="Times New Roman" w:hAnsi="Calibri" w:cs="Times New Roman"/>
          <w:color w:val="000000"/>
          <w:sz w:val="28"/>
          <w:szCs w:val="28"/>
        </w:rPr>
      </w:pPr>
      <w:r w:rsidRPr="002F4B81">
        <w:rPr>
          <w:rFonts w:ascii="Calibri" w:eastAsia="Times New Roman" w:hAnsi="Calibri" w:cs="Times New Roman"/>
          <w:color w:val="000000"/>
          <w:sz w:val="28"/>
          <w:szCs w:val="28"/>
        </w:rPr>
        <w:t>SAP Date: 21/11/2023</w:t>
      </w:r>
    </w:p>
    <w:p w14:paraId="58B5B4E0" w14:textId="77777777" w:rsidR="002F4B81" w:rsidRPr="002F4B81" w:rsidRDefault="002F4B81" w:rsidP="002F4B81">
      <w:pPr>
        <w:spacing w:after="0" w:line="240" w:lineRule="auto"/>
        <w:ind w:right="-154"/>
        <w:rPr>
          <w:rFonts w:ascii="Calibri" w:eastAsia="Times New Roman" w:hAnsi="Calibri" w:cs="Times New Roman"/>
          <w:color w:val="000000"/>
          <w:sz w:val="28"/>
          <w:szCs w:val="28"/>
        </w:rPr>
      </w:pPr>
    </w:p>
    <w:p w14:paraId="4DE8CD7D" w14:textId="77777777" w:rsidR="002F4B81" w:rsidRPr="002F4B81" w:rsidRDefault="002F4B81" w:rsidP="002F4B81">
      <w:pPr>
        <w:spacing w:after="0" w:line="240" w:lineRule="auto"/>
        <w:ind w:right="-154"/>
        <w:rPr>
          <w:rFonts w:ascii="Calibri" w:eastAsia="Times New Roman" w:hAnsi="Calibri" w:cs="Times New Roman"/>
          <w:color w:val="000000"/>
          <w:sz w:val="28"/>
          <w:szCs w:val="28"/>
        </w:rPr>
      </w:pPr>
      <w:r w:rsidRPr="002F4B81">
        <w:rPr>
          <w:rFonts w:ascii="Calibri" w:eastAsia="Times New Roman" w:hAnsi="Calibri" w:cs="Times New Roman"/>
          <w:sz w:val="28"/>
          <w:szCs w:val="20"/>
        </w:rPr>
        <w:t xml:space="preserve">This statistical analysis plan is based on protocol version 8.1 </w:t>
      </w:r>
      <w:proofErr w:type="gramStart"/>
      <w:r w:rsidRPr="002F4B81">
        <w:rPr>
          <w:rFonts w:ascii="Calibri" w:eastAsia="Times New Roman" w:hAnsi="Calibri" w:cs="Times New Roman"/>
          <w:sz w:val="28"/>
          <w:szCs w:val="20"/>
        </w:rPr>
        <w:t>10-03-2023</w:t>
      </w:r>
      <w:proofErr w:type="gramEnd"/>
    </w:p>
    <w:p w14:paraId="772025A0" w14:textId="77777777" w:rsidR="002F4B81" w:rsidRPr="002F4B81" w:rsidRDefault="002F4B81" w:rsidP="002F4B81">
      <w:pPr>
        <w:spacing w:after="0" w:line="240" w:lineRule="auto"/>
        <w:ind w:right="-154"/>
        <w:jc w:val="center"/>
        <w:rPr>
          <w:rFonts w:ascii="Calibri" w:eastAsia="Times New Roman" w:hAnsi="Calibri" w:cs="Times New Roman"/>
          <w:color w:val="000000"/>
          <w:sz w:val="28"/>
          <w:szCs w:val="28"/>
        </w:rPr>
      </w:pPr>
    </w:p>
    <w:tbl>
      <w:tblPr>
        <w:tblpPr w:leftFromText="180" w:rightFromText="180" w:vertAnchor="text" w:tblpY="1"/>
        <w:tblOverlap w:val="never"/>
        <w:tblW w:w="0" w:type="auto"/>
        <w:tblLook w:val="04A0" w:firstRow="1" w:lastRow="0" w:firstColumn="1" w:lastColumn="0" w:noHBand="0" w:noVBand="1"/>
      </w:tblPr>
      <w:tblGrid>
        <w:gridCol w:w="2971"/>
        <w:gridCol w:w="5335"/>
      </w:tblGrid>
      <w:tr w:rsidR="002F4B81" w:rsidRPr="002F4B81" w14:paraId="78B701DA" w14:textId="77777777" w:rsidTr="00C667E5">
        <w:tc>
          <w:tcPr>
            <w:tcW w:w="3179" w:type="dxa"/>
          </w:tcPr>
          <w:p w14:paraId="27505693"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IRAS Number:</w:t>
            </w:r>
          </w:p>
        </w:tc>
        <w:tc>
          <w:tcPr>
            <w:tcW w:w="5847" w:type="dxa"/>
          </w:tcPr>
          <w:p w14:paraId="50160B29"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Arial"/>
                <w:b/>
                <w:bCs/>
                <w:color w:val="000000"/>
                <w:sz w:val="28"/>
                <w:szCs w:val="28"/>
              </w:rPr>
              <w:t>235552</w:t>
            </w:r>
          </w:p>
        </w:tc>
      </w:tr>
      <w:tr w:rsidR="002F4B81" w:rsidRPr="002F4B81" w14:paraId="4F572B4B" w14:textId="77777777" w:rsidTr="00C667E5">
        <w:tc>
          <w:tcPr>
            <w:tcW w:w="3179" w:type="dxa"/>
          </w:tcPr>
          <w:p w14:paraId="1FCEFFDC"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EudraCT Number:</w:t>
            </w:r>
          </w:p>
        </w:tc>
        <w:tc>
          <w:tcPr>
            <w:tcW w:w="5847" w:type="dxa"/>
          </w:tcPr>
          <w:p w14:paraId="633A518B"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bCs/>
                <w:sz w:val="28"/>
                <w:szCs w:val="28"/>
              </w:rPr>
              <w:t>2017-003916-37</w:t>
            </w:r>
          </w:p>
        </w:tc>
      </w:tr>
      <w:tr w:rsidR="002F4B81" w:rsidRPr="002F4B81" w14:paraId="3E9CAF78" w14:textId="77777777" w:rsidTr="00C667E5">
        <w:tc>
          <w:tcPr>
            <w:tcW w:w="3179" w:type="dxa"/>
          </w:tcPr>
          <w:p w14:paraId="5E24C85E"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NHS REC Reference:</w:t>
            </w:r>
          </w:p>
        </w:tc>
        <w:tc>
          <w:tcPr>
            <w:tcW w:w="5847" w:type="dxa"/>
          </w:tcPr>
          <w:p w14:paraId="44279C1C"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bCs/>
                <w:sz w:val="28"/>
                <w:szCs w:val="28"/>
              </w:rPr>
              <w:t>18/NE/0078</w:t>
            </w:r>
          </w:p>
        </w:tc>
      </w:tr>
      <w:tr w:rsidR="002F4B81" w:rsidRPr="002F4B81" w14:paraId="557C748B" w14:textId="77777777" w:rsidTr="00C667E5">
        <w:tc>
          <w:tcPr>
            <w:tcW w:w="3179" w:type="dxa"/>
          </w:tcPr>
          <w:p w14:paraId="1C046B82"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UKCRN Portfolio Reference:</w:t>
            </w:r>
          </w:p>
        </w:tc>
        <w:tc>
          <w:tcPr>
            <w:tcW w:w="5847" w:type="dxa"/>
          </w:tcPr>
          <w:p w14:paraId="709D16B1"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36901</w:t>
            </w:r>
          </w:p>
        </w:tc>
      </w:tr>
    </w:tbl>
    <w:p w14:paraId="228FD63C" w14:textId="77777777" w:rsidR="002F4B81" w:rsidRPr="002F4B81" w:rsidRDefault="002F4B81" w:rsidP="002F4B81">
      <w:pPr>
        <w:spacing w:after="0" w:line="240" w:lineRule="auto"/>
        <w:rPr>
          <w:rFonts w:ascii="Calibri" w:eastAsia="Times New Roman" w:hAnsi="Calibri" w:cs="Times New Roman"/>
          <w:b/>
          <w:sz w:val="28"/>
          <w:szCs w:val="28"/>
        </w:rPr>
      </w:pPr>
    </w:p>
    <w:tbl>
      <w:tblPr>
        <w:tblW w:w="0" w:type="auto"/>
        <w:tblLook w:val="04A0" w:firstRow="1" w:lastRow="0" w:firstColumn="1" w:lastColumn="0" w:noHBand="0" w:noVBand="1"/>
      </w:tblPr>
      <w:tblGrid>
        <w:gridCol w:w="2963"/>
        <w:gridCol w:w="5343"/>
      </w:tblGrid>
      <w:tr w:rsidR="002F4B81" w:rsidRPr="002F4B81" w14:paraId="6FB1D1D3" w14:textId="77777777" w:rsidTr="00C667E5">
        <w:tc>
          <w:tcPr>
            <w:tcW w:w="3227" w:type="dxa"/>
          </w:tcPr>
          <w:p w14:paraId="031A7831"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Sponsor Name:</w:t>
            </w:r>
          </w:p>
        </w:tc>
        <w:tc>
          <w:tcPr>
            <w:tcW w:w="6015" w:type="dxa"/>
          </w:tcPr>
          <w:p w14:paraId="2981B2B7"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Newcastle Upon Tyne Hospitals NHS Foundation Trust</w:t>
            </w:r>
          </w:p>
        </w:tc>
      </w:tr>
      <w:tr w:rsidR="002F4B81" w:rsidRPr="002F4B81" w14:paraId="742036D9" w14:textId="77777777" w:rsidTr="00C667E5">
        <w:tc>
          <w:tcPr>
            <w:tcW w:w="3227" w:type="dxa"/>
          </w:tcPr>
          <w:p w14:paraId="13CB771A"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Sponsor Reference:</w:t>
            </w:r>
          </w:p>
        </w:tc>
        <w:tc>
          <w:tcPr>
            <w:tcW w:w="6015" w:type="dxa"/>
          </w:tcPr>
          <w:p w14:paraId="7FA4E633"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08448</w:t>
            </w:r>
          </w:p>
        </w:tc>
      </w:tr>
    </w:tbl>
    <w:p w14:paraId="12E51AA5" w14:textId="77777777" w:rsidR="002F4B81" w:rsidRPr="002F4B81" w:rsidRDefault="002F4B81" w:rsidP="002F4B81">
      <w:pPr>
        <w:spacing w:after="0" w:line="240" w:lineRule="auto"/>
        <w:rPr>
          <w:rFonts w:ascii="Calibri" w:eastAsia="Times New Roman" w:hAnsi="Calibri" w:cs="Times New Roman"/>
          <w:b/>
          <w:sz w:val="28"/>
          <w:szCs w:val="28"/>
        </w:rPr>
      </w:pPr>
    </w:p>
    <w:tbl>
      <w:tblPr>
        <w:tblW w:w="0" w:type="auto"/>
        <w:tblLook w:val="04A0" w:firstRow="1" w:lastRow="0" w:firstColumn="1" w:lastColumn="0" w:noHBand="0" w:noVBand="1"/>
      </w:tblPr>
      <w:tblGrid>
        <w:gridCol w:w="2969"/>
        <w:gridCol w:w="5337"/>
      </w:tblGrid>
      <w:tr w:rsidR="002F4B81" w:rsidRPr="002F4B81" w14:paraId="0154461C" w14:textId="77777777" w:rsidTr="00C667E5">
        <w:tc>
          <w:tcPr>
            <w:tcW w:w="3227" w:type="dxa"/>
          </w:tcPr>
          <w:p w14:paraId="7A3BF07F"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Funder Name:</w:t>
            </w:r>
          </w:p>
        </w:tc>
        <w:tc>
          <w:tcPr>
            <w:tcW w:w="6015" w:type="dxa"/>
          </w:tcPr>
          <w:p w14:paraId="6886400E"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NIHR HTA</w:t>
            </w:r>
          </w:p>
        </w:tc>
      </w:tr>
      <w:tr w:rsidR="002F4B81" w:rsidRPr="002F4B81" w14:paraId="0642A1A5" w14:textId="77777777" w:rsidTr="00C667E5">
        <w:tc>
          <w:tcPr>
            <w:tcW w:w="3227" w:type="dxa"/>
          </w:tcPr>
          <w:p w14:paraId="19125EAA"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Funder Reference:</w:t>
            </w:r>
          </w:p>
        </w:tc>
        <w:tc>
          <w:tcPr>
            <w:tcW w:w="6015" w:type="dxa"/>
          </w:tcPr>
          <w:p w14:paraId="70C665F7" w14:textId="77777777" w:rsidR="002F4B81" w:rsidRPr="002F4B81" w:rsidRDefault="002F4B81" w:rsidP="002F4B81">
            <w:pPr>
              <w:spacing w:after="0" w:line="240" w:lineRule="auto"/>
              <w:rPr>
                <w:rFonts w:ascii="Calibri" w:eastAsia="Times New Roman" w:hAnsi="Calibri" w:cs="Times New Roman"/>
                <w:b/>
                <w:sz w:val="28"/>
                <w:szCs w:val="28"/>
              </w:rPr>
            </w:pPr>
            <w:r w:rsidRPr="002F4B81">
              <w:rPr>
                <w:rFonts w:ascii="Calibri" w:eastAsia="Times New Roman" w:hAnsi="Calibri" w:cs="Times New Roman"/>
                <w:b/>
                <w:sz w:val="28"/>
                <w:szCs w:val="28"/>
              </w:rPr>
              <w:t>BH152677</w:t>
            </w:r>
          </w:p>
        </w:tc>
      </w:tr>
    </w:tbl>
    <w:p w14:paraId="453FD7D6" w14:textId="77777777" w:rsidR="002F4B81" w:rsidRPr="002F4B81" w:rsidRDefault="002F4B81" w:rsidP="002F4B81">
      <w:pPr>
        <w:spacing w:after="0" w:line="240" w:lineRule="auto"/>
        <w:ind w:right="-154"/>
        <w:rPr>
          <w:rFonts w:ascii="Calibri" w:eastAsia="Times New Roman" w:hAnsi="Calibri" w:cs="Times New Roman"/>
          <w:sz w:val="28"/>
          <w:szCs w:val="28"/>
        </w:rPr>
      </w:pPr>
    </w:p>
    <w:p w14:paraId="3D47FC9E" w14:textId="77777777" w:rsidR="002F4B81" w:rsidRPr="002F4B81" w:rsidRDefault="002F4B81" w:rsidP="002F4B81">
      <w:pPr>
        <w:spacing w:after="0" w:line="240" w:lineRule="auto"/>
        <w:ind w:right="-154"/>
        <w:rPr>
          <w:rFonts w:ascii="Calibri" w:eastAsia="Times New Roman" w:hAnsi="Calibri" w:cs="Times New Roman"/>
          <w:b/>
          <w:sz w:val="28"/>
          <w:szCs w:val="28"/>
        </w:rPr>
      </w:pPr>
      <w:r w:rsidRPr="002F4B81">
        <w:rPr>
          <w:rFonts w:ascii="Calibri" w:eastAsia="Times New Roman" w:hAnsi="Calibri" w:cs="Times New Roman"/>
          <w:b/>
          <w:sz w:val="28"/>
          <w:szCs w:val="28"/>
        </w:rPr>
        <w:t>Trial Statistician: Andrew Bryant</w:t>
      </w:r>
    </w:p>
    <w:p w14:paraId="0DB30501" w14:textId="77777777" w:rsidR="002F4B81" w:rsidRPr="002F4B81" w:rsidRDefault="002F4B81" w:rsidP="002F4B81">
      <w:pPr>
        <w:spacing w:after="0" w:line="240" w:lineRule="auto"/>
        <w:ind w:right="-154"/>
        <w:rPr>
          <w:rFonts w:ascii="Calibri" w:eastAsia="Times New Roman" w:hAnsi="Calibri" w:cs="Times New Roman"/>
          <w:b/>
          <w:sz w:val="28"/>
          <w:szCs w:val="28"/>
        </w:rPr>
      </w:pPr>
    </w:p>
    <w:p w14:paraId="27D3B568" w14:textId="77777777" w:rsidR="002F4B81" w:rsidRPr="002F4B81" w:rsidRDefault="002F4B81" w:rsidP="002F4B81">
      <w:pPr>
        <w:spacing w:after="0" w:line="240" w:lineRule="auto"/>
        <w:ind w:right="-154"/>
        <w:rPr>
          <w:rFonts w:ascii="Calibri" w:eastAsia="Times New Roman" w:hAnsi="Calibri" w:cs="Times New Roman"/>
          <w:b/>
          <w:sz w:val="28"/>
          <w:szCs w:val="28"/>
        </w:rPr>
      </w:pPr>
      <w:r w:rsidRPr="002F4B81">
        <w:rPr>
          <w:rFonts w:ascii="Calibri" w:eastAsia="Times New Roman" w:hAnsi="Calibri" w:cs="Times New Roman"/>
          <w:b/>
          <w:sz w:val="28"/>
          <w:szCs w:val="28"/>
        </w:rPr>
        <w:t>Signature</w:t>
      </w:r>
      <w:r w:rsidRPr="002F4B81">
        <w:rPr>
          <w:rFonts w:ascii="Calibri" w:eastAsia="Times New Roman" w:hAnsi="Calibri" w:cs="Times New Roman"/>
          <w:sz w:val="28"/>
          <w:szCs w:val="28"/>
        </w:rPr>
        <w:t>:</w:t>
      </w:r>
      <w:r w:rsidRPr="002F4B81">
        <w:rPr>
          <w:rFonts w:ascii="Calibri" w:eastAsia="Times New Roman" w:hAnsi="Calibri" w:cs="Times New Roman"/>
          <w:sz w:val="28"/>
          <w:szCs w:val="28"/>
        </w:rPr>
        <w:tab/>
      </w:r>
      <w:r w:rsidRPr="002F4B81">
        <w:rPr>
          <w:rFonts w:ascii="Calibri" w:eastAsia="Times New Roman" w:hAnsi="Calibri" w:cs="Times New Roman"/>
          <w:sz w:val="28"/>
          <w:szCs w:val="28"/>
        </w:rPr>
        <w:tab/>
      </w:r>
      <w:r w:rsidRPr="002F4B81">
        <w:rPr>
          <w:rFonts w:ascii="Calibri" w:eastAsia="Times New Roman" w:hAnsi="Calibri" w:cs="Times New Roman"/>
          <w:sz w:val="28"/>
          <w:szCs w:val="28"/>
        </w:rPr>
        <w:tab/>
      </w:r>
      <w:r w:rsidRPr="002F4B81">
        <w:rPr>
          <w:rFonts w:ascii="Calibri" w:eastAsia="Times New Roman" w:hAnsi="Calibri" w:cs="Times New Roman"/>
          <w:sz w:val="28"/>
          <w:szCs w:val="28"/>
        </w:rPr>
        <w:tab/>
      </w:r>
      <w:r w:rsidRPr="002F4B81">
        <w:rPr>
          <w:rFonts w:ascii="Calibri" w:eastAsia="Times New Roman" w:hAnsi="Calibri" w:cs="Times New Roman"/>
          <w:sz w:val="28"/>
          <w:szCs w:val="28"/>
        </w:rPr>
        <w:tab/>
      </w:r>
      <w:r w:rsidRPr="002F4B81">
        <w:rPr>
          <w:rFonts w:ascii="Calibri" w:eastAsia="Times New Roman" w:hAnsi="Calibri" w:cs="Times New Roman"/>
          <w:sz w:val="28"/>
          <w:szCs w:val="28"/>
        </w:rPr>
        <w:tab/>
      </w:r>
      <w:r w:rsidRPr="002F4B81">
        <w:rPr>
          <w:rFonts w:ascii="Calibri" w:eastAsia="Times New Roman" w:hAnsi="Calibri" w:cs="Times New Roman"/>
          <w:sz w:val="28"/>
          <w:szCs w:val="28"/>
        </w:rPr>
        <w:tab/>
      </w:r>
      <w:r w:rsidRPr="002F4B81">
        <w:rPr>
          <w:rFonts w:ascii="Calibri" w:eastAsia="Times New Roman" w:hAnsi="Calibri" w:cs="Times New Roman"/>
          <w:sz w:val="28"/>
          <w:szCs w:val="28"/>
        </w:rPr>
        <w:tab/>
      </w:r>
      <w:r w:rsidRPr="002F4B81">
        <w:rPr>
          <w:rFonts w:ascii="Calibri" w:eastAsia="Times New Roman" w:hAnsi="Calibri" w:cs="Times New Roman"/>
          <w:b/>
          <w:sz w:val="28"/>
          <w:szCs w:val="28"/>
        </w:rPr>
        <w:t>Date</w:t>
      </w:r>
      <w:r w:rsidRPr="002F4B81">
        <w:rPr>
          <w:rFonts w:ascii="Calibri" w:eastAsia="Times New Roman" w:hAnsi="Calibri" w:cs="Times New Roman"/>
          <w:sz w:val="28"/>
          <w:szCs w:val="28"/>
        </w:rPr>
        <w:t xml:space="preserve">: </w:t>
      </w:r>
    </w:p>
    <w:p w14:paraId="7FE3198A" w14:textId="77777777" w:rsidR="002F4B81" w:rsidRPr="002F4B81" w:rsidRDefault="002F4B81" w:rsidP="002F4B81">
      <w:pPr>
        <w:spacing w:after="0" w:line="240" w:lineRule="auto"/>
        <w:ind w:right="-154"/>
        <w:rPr>
          <w:rFonts w:ascii="Calibri" w:eastAsia="Times New Roman" w:hAnsi="Calibri" w:cs="Times New Roman"/>
          <w:sz w:val="28"/>
          <w:szCs w:val="28"/>
        </w:rPr>
      </w:pPr>
    </w:p>
    <w:p w14:paraId="4657BD44" w14:textId="77777777" w:rsidR="002F4B81" w:rsidRPr="002F4B81" w:rsidRDefault="002F4B81" w:rsidP="002F4B81">
      <w:pPr>
        <w:spacing w:after="0" w:line="240" w:lineRule="auto"/>
        <w:ind w:right="-154"/>
        <w:rPr>
          <w:rFonts w:ascii="Calibri" w:eastAsia="Times New Roman" w:hAnsi="Calibri" w:cs="Times New Roman"/>
          <w:b/>
          <w:sz w:val="28"/>
          <w:szCs w:val="28"/>
        </w:rPr>
      </w:pPr>
      <w:r w:rsidRPr="002F4B81">
        <w:rPr>
          <w:rFonts w:ascii="Calibri" w:eastAsia="Times New Roman" w:hAnsi="Calibri" w:cs="Times New Roman"/>
          <w:b/>
          <w:sz w:val="28"/>
          <w:szCs w:val="28"/>
        </w:rPr>
        <w:t xml:space="preserve">Reviewed and </w:t>
      </w:r>
      <w:proofErr w:type="gramStart"/>
      <w:r w:rsidRPr="002F4B81">
        <w:rPr>
          <w:rFonts w:ascii="Calibri" w:eastAsia="Times New Roman" w:hAnsi="Calibri" w:cs="Times New Roman"/>
          <w:b/>
          <w:sz w:val="28"/>
          <w:szCs w:val="28"/>
        </w:rPr>
        <w:t>Approved</w:t>
      </w:r>
      <w:proofErr w:type="gramEnd"/>
      <w:r w:rsidRPr="002F4B81">
        <w:rPr>
          <w:rFonts w:ascii="Calibri" w:eastAsia="Times New Roman" w:hAnsi="Calibri" w:cs="Times New Roman"/>
          <w:b/>
          <w:sz w:val="28"/>
          <w:szCs w:val="28"/>
        </w:rPr>
        <w:t xml:space="preserve"> by:  </w:t>
      </w:r>
    </w:p>
    <w:p w14:paraId="2F04B68A" w14:textId="77777777" w:rsidR="002F4B81" w:rsidRPr="002F4B81" w:rsidRDefault="002F4B81" w:rsidP="002F4B81">
      <w:pPr>
        <w:spacing w:after="0" w:line="240" w:lineRule="auto"/>
        <w:ind w:right="-154"/>
        <w:rPr>
          <w:rFonts w:ascii="Calibri" w:eastAsia="Times New Roman" w:hAnsi="Calibri" w:cs="Times New Roman"/>
          <w:sz w:val="28"/>
          <w:szCs w:val="28"/>
        </w:rPr>
      </w:pPr>
    </w:p>
    <w:p w14:paraId="62DBA7FE" w14:textId="77777777" w:rsidR="002F4B81" w:rsidRPr="002F4B81" w:rsidRDefault="002F4B81" w:rsidP="002F4B81">
      <w:pPr>
        <w:spacing w:after="0" w:line="240" w:lineRule="auto"/>
        <w:ind w:right="-154"/>
        <w:rPr>
          <w:rFonts w:ascii="Calibri" w:eastAsia="Times New Roman" w:hAnsi="Calibri" w:cs="Times New Roman"/>
          <w:sz w:val="28"/>
          <w:szCs w:val="28"/>
        </w:rPr>
      </w:pPr>
      <w:r w:rsidRPr="002F4B81">
        <w:rPr>
          <w:rFonts w:ascii="Calibri" w:eastAsia="Times New Roman" w:hAnsi="Calibri" w:cs="Times New Roman"/>
          <w:b/>
          <w:sz w:val="28"/>
          <w:szCs w:val="28"/>
        </w:rPr>
        <w:t>Signature</w:t>
      </w:r>
      <w:r w:rsidRPr="002F4B81">
        <w:rPr>
          <w:rFonts w:ascii="Calibri" w:eastAsia="Times New Roman" w:hAnsi="Calibri" w:cs="Times New Roman"/>
          <w:sz w:val="28"/>
          <w:szCs w:val="28"/>
        </w:rPr>
        <w:t>:</w:t>
      </w:r>
      <w:r w:rsidRPr="002F4B81">
        <w:rPr>
          <w:rFonts w:ascii="Calibri" w:eastAsia="Times New Roman" w:hAnsi="Calibri" w:cs="Times New Roman"/>
          <w:sz w:val="28"/>
          <w:szCs w:val="28"/>
        </w:rPr>
        <w:tab/>
        <w:t>Thomas Chadwick (Senior statistician)</w:t>
      </w:r>
      <w:r w:rsidRPr="002F4B81">
        <w:rPr>
          <w:rFonts w:ascii="Calibri" w:eastAsia="Times New Roman" w:hAnsi="Calibri" w:cs="Times New Roman"/>
          <w:sz w:val="28"/>
          <w:szCs w:val="28"/>
        </w:rPr>
        <w:tab/>
      </w:r>
      <w:r w:rsidRPr="002F4B81">
        <w:rPr>
          <w:rFonts w:ascii="Calibri" w:eastAsia="Times New Roman" w:hAnsi="Calibri" w:cs="Times New Roman"/>
          <w:sz w:val="28"/>
          <w:szCs w:val="28"/>
        </w:rPr>
        <w:tab/>
      </w:r>
      <w:r w:rsidRPr="002F4B81">
        <w:rPr>
          <w:rFonts w:ascii="Calibri" w:eastAsia="Times New Roman" w:hAnsi="Calibri" w:cs="Times New Roman"/>
          <w:b/>
          <w:sz w:val="28"/>
          <w:szCs w:val="28"/>
        </w:rPr>
        <w:t>Date</w:t>
      </w:r>
      <w:r w:rsidRPr="002F4B81">
        <w:rPr>
          <w:rFonts w:ascii="Calibri" w:eastAsia="Times New Roman" w:hAnsi="Calibri" w:cs="Times New Roman"/>
          <w:sz w:val="28"/>
          <w:szCs w:val="28"/>
        </w:rPr>
        <w:t xml:space="preserve">: </w:t>
      </w:r>
    </w:p>
    <w:p w14:paraId="7106DD6C" w14:textId="77777777" w:rsidR="002F4B81" w:rsidRPr="002F4B81" w:rsidRDefault="002F4B81" w:rsidP="002F4B81">
      <w:pPr>
        <w:spacing w:after="0" w:line="240" w:lineRule="auto"/>
        <w:ind w:right="-154"/>
        <w:rPr>
          <w:rFonts w:ascii="Calibri" w:eastAsia="Times New Roman" w:hAnsi="Calibri" w:cs="Times New Roman"/>
          <w:b/>
          <w:sz w:val="28"/>
          <w:szCs w:val="28"/>
        </w:rPr>
      </w:pPr>
    </w:p>
    <w:p w14:paraId="2F6976F1" w14:textId="77777777" w:rsidR="002F4B81" w:rsidRPr="002F4B81" w:rsidRDefault="002F4B81" w:rsidP="002F4B81">
      <w:pPr>
        <w:spacing w:after="0" w:line="240" w:lineRule="auto"/>
        <w:ind w:right="-154"/>
        <w:rPr>
          <w:rFonts w:ascii="Calibri" w:eastAsia="Times New Roman" w:hAnsi="Calibri" w:cs="Times New Roman"/>
          <w:sz w:val="28"/>
          <w:szCs w:val="28"/>
        </w:rPr>
      </w:pPr>
      <w:r w:rsidRPr="002F4B81">
        <w:rPr>
          <w:rFonts w:ascii="Calibri" w:eastAsia="Times New Roman" w:hAnsi="Calibri" w:cs="Times New Roman"/>
          <w:b/>
          <w:sz w:val="28"/>
          <w:szCs w:val="28"/>
        </w:rPr>
        <w:t>Signature</w:t>
      </w:r>
      <w:r w:rsidRPr="002F4B81">
        <w:rPr>
          <w:rFonts w:ascii="Calibri" w:eastAsia="Times New Roman" w:hAnsi="Calibri" w:cs="Times New Roman"/>
          <w:sz w:val="28"/>
          <w:szCs w:val="28"/>
        </w:rPr>
        <w:t>:</w:t>
      </w:r>
      <w:r w:rsidRPr="002F4B81">
        <w:rPr>
          <w:rFonts w:ascii="Calibri" w:eastAsia="Times New Roman" w:hAnsi="Calibri" w:cs="Times New Roman"/>
          <w:sz w:val="28"/>
          <w:szCs w:val="28"/>
        </w:rPr>
        <w:tab/>
        <w:t xml:space="preserve"> Neil Sheerin (Chief investigator)</w:t>
      </w:r>
      <w:r w:rsidRPr="002F4B81">
        <w:rPr>
          <w:rFonts w:ascii="Calibri" w:eastAsia="Times New Roman" w:hAnsi="Calibri" w:cs="Times New Roman"/>
          <w:sz w:val="28"/>
          <w:szCs w:val="28"/>
        </w:rPr>
        <w:tab/>
      </w:r>
      <w:r w:rsidRPr="002F4B81">
        <w:rPr>
          <w:rFonts w:ascii="Calibri" w:eastAsia="Times New Roman" w:hAnsi="Calibri" w:cs="Times New Roman"/>
          <w:sz w:val="28"/>
          <w:szCs w:val="28"/>
        </w:rPr>
        <w:tab/>
      </w:r>
      <w:r w:rsidRPr="002F4B81">
        <w:rPr>
          <w:rFonts w:ascii="Calibri" w:eastAsia="Times New Roman" w:hAnsi="Calibri" w:cs="Times New Roman"/>
          <w:b/>
          <w:sz w:val="28"/>
          <w:szCs w:val="28"/>
        </w:rPr>
        <w:t>Date</w:t>
      </w:r>
      <w:r w:rsidRPr="002F4B81">
        <w:rPr>
          <w:rFonts w:ascii="Calibri" w:eastAsia="Times New Roman" w:hAnsi="Calibri" w:cs="Times New Roman"/>
          <w:sz w:val="28"/>
          <w:szCs w:val="28"/>
        </w:rPr>
        <w:t xml:space="preserve">: </w:t>
      </w:r>
    </w:p>
    <w:p w14:paraId="7C04B504" w14:textId="77777777" w:rsidR="002F4B81" w:rsidRPr="002F4B81" w:rsidRDefault="002F4B81" w:rsidP="002F4B81">
      <w:pPr>
        <w:spacing w:after="0" w:line="240" w:lineRule="auto"/>
        <w:rPr>
          <w:rFonts w:ascii="Calibri" w:eastAsia="Times New Roman" w:hAnsi="Calibri" w:cs="Times New Roman"/>
          <w:b/>
          <w:szCs w:val="20"/>
        </w:rPr>
      </w:pPr>
    </w:p>
    <w:p w14:paraId="5BA166DE" w14:textId="77777777" w:rsidR="002F4B81" w:rsidRPr="002F4B81" w:rsidRDefault="002F4B81" w:rsidP="002F4B81">
      <w:pPr>
        <w:spacing w:after="0" w:line="240" w:lineRule="auto"/>
        <w:rPr>
          <w:rFonts w:ascii="Calibri" w:eastAsia="Times New Roman" w:hAnsi="Calibri" w:cs="Times New Roman"/>
          <w:b/>
          <w:szCs w:val="20"/>
        </w:rPr>
      </w:pPr>
    </w:p>
    <w:p w14:paraId="59F43BC6" w14:textId="77777777" w:rsidR="002F4B81" w:rsidRPr="002F4B81" w:rsidRDefault="002F4B81" w:rsidP="002F4B81">
      <w:pPr>
        <w:spacing w:after="0" w:line="240" w:lineRule="auto"/>
        <w:ind w:right="-154"/>
        <w:rPr>
          <w:rFonts w:ascii="Calibri" w:eastAsia="Times New Roman" w:hAnsi="Calibri" w:cs="Times New Roman"/>
          <w:b/>
          <w:szCs w:val="20"/>
        </w:rPr>
      </w:pPr>
      <w:r w:rsidRPr="002F4B81">
        <w:rPr>
          <w:rFonts w:ascii="Calibri" w:eastAsia="Times New Roman" w:hAnsi="Calibri" w:cs="Times New Roman"/>
          <w:b/>
          <w:szCs w:val="20"/>
        </w:rPr>
        <w:t>Revision history</w:t>
      </w:r>
    </w:p>
    <w:p w14:paraId="09A5EEB4" w14:textId="77777777" w:rsidR="002F4B81" w:rsidRPr="002F4B81" w:rsidRDefault="002F4B81" w:rsidP="002F4B81">
      <w:pPr>
        <w:spacing w:after="0" w:line="240" w:lineRule="auto"/>
        <w:ind w:right="-154"/>
        <w:rPr>
          <w:rFonts w:ascii="Calibri" w:eastAsia="Times New Roman" w:hAnsi="Calibri" w:cs="Times New Roman"/>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7"/>
        <w:gridCol w:w="1693"/>
        <w:gridCol w:w="1889"/>
        <w:gridCol w:w="1897"/>
      </w:tblGrid>
      <w:tr w:rsidR="002F4B81" w:rsidRPr="002F4B81" w14:paraId="264B26F7" w14:textId="77777777" w:rsidTr="00C667E5">
        <w:tc>
          <w:tcPr>
            <w:tcW w:w="1717" w:type="dxa"/>
            <w:hideMark/>
          </w:tcPr>
          <w:p w14:paraId="3DC325B7" w14:textId="77777777" w:rsidR="002F4B81" w:rsidRPr="002F4B81" w:rsidRDefault="002F4B81" w:rsidP="002F4B81">
            <w:pPr>
              <w:spacing w:after="0" w:line="240" w:lineRule="auto"/>
              <w:rPr>
                <w:rFonts w:ascii="Calibri" w:eastAsia="Times New Roman" w:hAnsi="Calibri" w:cs="Tahoma"/>
                <w:b/>
              </w:rPr>
            </w:pPr>
            <w:r w:rsidRPr="002F4B81">
              <w:rPr>
                <w:rFonts w:ascii="Calibri" w:eastAsia="Times New Roman" w:hAnsi="Calibri" w:cs="Tahoma"/>
                <w:b/>
              </w:rPr>
              <w:t>Version</w:t>
            </w:r>
          </w:p>
        </w:tc>
        <w:tc>
          <w:tcPr>
            <w:tcW w:w="1693" w:type="dxa"/>
            <w:hideMark/>
          </w:tcPr>
          <w:p w14:paraId="028AAB69" w14:textId="77777777" w:rsidR="002F4B81" w:rsidRPr="002F4B81" w:rsidRDefault="002F4B81" w:rsidP="002F4B81">
            <w:pPr>
              <w:spacing w:after="0" w:line="240" w:lineRule="auto"/>
              <w:rPr>
                <w:rFonts w:ascii="Calibri" w:eastAsia="Times New Roman" w:hAnsi="Calibri" w:cs="Tahoma"/>
                <w:b/>
              </w:rPr>
            </w:pPr>
            <w:r w:rsidRPr="002F4B81">
              <w:rPr>
                <w:rFonts w:ascii="Calibri" w:eastAsia="Times New Roman" w:hAnsi="Calibri" w:cs="Tahoma"/>
                <w:b/>
              </w:rPr>
              <w:t>Date</w:t>
            </w:r>
          </w:p>
        </w:tc>
        <w:tc>
          <w:tcPr>
            <w:tcW w:w="1889" w:type="dxa"/>
            <w:hideMark/>
          </w:tcPr>
          <w:p w14:paraId="1CDE8B07" w14:textId="77777777" w:rsidR="002F4B81" w:rsidRPr="002F4B81" w:rsidRDefault="002F4B81" w:rsidP="002F4B81">
            <w:pPr>
              <w:spacing w:after="0" w:line="240" w:lineRule="auto"/>
              <w:rPr>
                <w:rFonts w:ascii="Calibri" w:eastAsia="Times New Roman" w:hAnsi="Calibri" w:cs="Tahoma"/>
                <w:b/>
              </w:rPr>
            </w:pPr>
            <w:r w:rsidRPr="002F4B81">
              <w:rPr>
                <w:rFonts w:ascii="Calibri" w:eastAsia="Times New Roman" w:hAnsi="Calibri" w:cs="Tahoma"/>
                <w:b/>
              </w:rPr>
              <w:t>Changes made</w:t>
            </w:r>
          </w:p>
        </w:tc>
        <w:tc>
          <w:tcPr>
            <w:tcW w:w="1897" w:type="dxa"/>
          </w:tcPr>
          <w:p w14:paraId="208841A5" w14:textId="77777777" w:rsidR="002F4B81" w:rsidRPr="002F4B81" w:rsidRDefault="002F4B81" w:rsidP="002F4B81">
            <w:pPr>
              <w:spacing w:after="0" w:line="240" w:lineRule="auto"/>
              <w:rPr>
                <w:rFonts w:ascii="Calibri" w:eastAsia="Times New Roman" w:hAnsi="Calibri" w:cs="Tahoma"/>
                <w:b/>
              </w:rPr>
            </w:pPr>
            <w:r w:rsidRPr="002F4B81">
              <w:rPr>
                <w:rFonts w:ascii="Calibri" w:eastAsia="Times New Roman" w:hAnsi="Calibri" w:cs="Tahoma"/>
                <w:b/>
              </w:rPr>
              <w:t>Justification for change</w:t>
            </w:r>
          </w:p>
        </w:tc>
      </w:tr>
      <w:tr w:rsidR="002F4B81" w:rsidRPr="002F4B81" w14:paraId="6C66C16A" w14:textId="77777777" w:rsidTr="00C667E5">
        <w:tc>
          <w:tcPr>
            <w:tcW w:w="1717" w:type="dxa"/>
          </w:tcPr>
          <w:p w14:paraId="2C22AB45"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1.1</w:t>
            </w:r>
          </w:p>
        </w:tc>
        <w:tc>
          <w:tcPr>
            <w:tcW w:w="1693" w:type="dxa"/>
          </w:tcPr>
          <w:p w14:paraId="4911523A"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25/04/2019</w:t>
            </w:r>
          </w:p>
        </w:tc>
        <w:tc>
          <w:tcPr>
            <w:tcW w:w="1889" w:type="dxa"/>
          </w:tcPr>
          <w:p w14:paraId="388C64F2"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Updated to reflect changes made to protocol version 3.0</w:t>
            </w:r>
          </w:p>
        </w:tc>
        <w:tc>
          <w:tcPr>
            <w:tcW w:w="1897" w:type="dxa"/>
          </w:tcPr>
          <w:p w14:paraId="7D0964A3"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Amended following changes to protocol version 3.0</w:t>
            </w:r>
          </w:p>
        </w:tc>
      </w:tr>
      <w:tr w:rsidR="002F4B81" w:rsidRPr="002F4B81" w14:paraId="5A2EC0A2" w14:textId="77777777" w:rsidTr="00C667E5">
        <w:tc>
          <w:tcPr>
            <w:tcW w:w="1717" w:type="dxa"/>
          </w:tcPr>
          <w:p w14:paraId="3D16F79E"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1.1</w:t>
            </w:r>
          </w:p>
        </w:tc>
        <w:tc>
          <w:tcPr>
            <w:tcW w:w="1693" w:type="dxa"/>
          </w:tcPr>
          <w:p w14:paraId="352648D5"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25/04/2019</w:t>
            </w:r>
          </w:p>
        </w:tc>
        <w:tc>
          <w:tcPr>
            <w:tcW w:w="1889" w:type="dxa"/>
          </w:tcPr>
          <w:p w14:paraId="18C4E474"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imes New Roman"/>
              </w:rPr>
              <w:t>Addition of wording on page 25 to allow for longitudinal presentation of secondary outcome data.</w:t>
            </w:r>
          </w:p>
        </w:tc>
        <w:tc>
          <w:tcPr>
            <w:tcW w:w="1897" w:type="dxa"/>
          </w:tcPr>
          <w:p w14:paraId="547CFE25"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imes New Roman"/>
              </w:rPr>
              <w:t>Requested by DMC</w:t>
            </w:r>
          </w:p>
        </w:tc>
      </w:tr>
      <w:tr w:rsidR="002F4B81" w:rsidRPr="002F4B81" w14:paraId="6D21E2FE" w14:textId="77777777" w:rsidTr="00C667E5">
        <w:tc>
          <w:tcPr>
            <w:tcW w:w="1717" w:type="dxa"/>
          </w:tcPr>
          <w:p w14:paraId="4EA0F5F8"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1.2</w:t>
            </w:r>
          </w:p>
        </w:tc>
        <w:tc>
          <w:tcPr>
            <w:tcW w:w="1693" w:type="dxa"/>
          </w:tcPr>
          <w:p w14:paraId="1009133F"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28/08/2019</w:t>
            </w:r>
          </w:p>
        </w:tc>
        <w:tc>
          <w:tcPr>
            <w:tcW w:w="1889" w:type="dxa"/>
          </w:tcPr>
          <w:p w14:paraId="47341DCB"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Updated to reflect changes made to protocol version 4.0</w:t>
            </w:r>
          </w:p>
        </w:tc>
        <w:tc>
          <w:tcPr>
            <w:tcW w:w="1897" w:type="dxa"/>
          </w:tcPr>
          <w:p w14:paraId="3567E0A5"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Amended following changes to protocol version 4.0</w:t>
            </w:r>
          </w:p>
        </w:tc>
      </w:tr>
      <w:tr w:rsidR="002F4B81" w:rsidRPr="002F4B81" w14:paraId="7BDF9A85" w14:textId="77777777" w:rsidTr="00C667E5">
        <w:tc>
          <w:tcPr>
            <w:tcW w:w="1717" w:type="dxa"/>
          </w:tcPr>
          <w:p w14:paraId="480E2E4C"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1.3</w:t>
            </w:r>
          </w:p>
        </w:tc>
        <w:tc>
          <w:tcPr>
            <w:tcW w:w="1693" w:type="dxa"/>
          </w:tcPr>
          <w:p w14:paraId="6312F58B"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21/09/2021</w:t>
            </w:r>
          </w:p>
        </w:tc>
        <w:tc>
          <w:tcPr>
            <w:tcW w:w="1889" w:type="dxa"/>
          </w:tcPr>
          <w:p w14:paraId="6962D0D3"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Updated date on page 1</w:t>
            </w:r>
          </w:p>
        </w:tc>
        <w:tc>
          <w:tcPr>
            <w:tcW w:w="1897" w:type="dxa"/>
          </w:tcPr>
          <w:p w14:paraId="0EF22E1C"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Present date</w:t>
            </w:r>
          </w:p>
        </w:tc>
      </w:tr>
      <w:tr w:rsidR="002F4B81" w:rsidRPr="002F4B81" w14:paraId="77CF5A4A" w14:textId="77777777" w:rsidTr="00C667E5">
        <w:tc>
          <w:tcPr>
            <w:tcW w:w="1717" w:type="dxa"/>
          </w:tcPr>
          <w:p w14:paraId="4C37E2EA"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1.3</w:t>
            </w:r>
          </w:p>
        </w:tc>
        <w:tc>
          <w:tcPr>
            <w:tcW w:w="1693" w:type="dxa"/>
          </w:tcPr>
          <w:p w14:paraId="17091BED"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21/09/2021</w:t>
            </w:r>
          </w:p>
        </w:tc>
        <w:tc>
          <w:tcPr>
            <w:tcW w:w="1889" w:type="dxa"/>
          </w:tcPr>
          <w:p w14:paraId="538122AC"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imes New Roman"/>
                <w:szCs w:val="20"/>
              </w:rPr>
              <w:t>Relapse Information was expanded to additional items on pages 11-12</w:t>
            </w:r>
          </w:p>
        </w:tc>
        <w:tc>
          <w:tcPr>
            <w:tcW w:w="1897" w:type="dxa"/>
          </w:tcPr>
          <w:p w14:paraId="1C1BF694"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Amended following changes to protocol version 7.0</w:t>
            </w:r>
          </w:p>
        </w:tc>
      </w:tr>
      <w:tr w:rsidR="002F4B81" w:rsidRPr="002F4B81" w14:paraId="504FB2D5" w14:textId="77777777" w:rsidTr="00C667E5">
        <w:tc>
          <w:tcPr>
            <w:tcW w:w="1717" w:type="dxa"/>
          </w:tcPr>
          <w:p w14:paraId="68C7B082"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1.3</w:t>
            </w:r>
          </w:p>
        </w:tc>
        <w:tc>
          <w:tcPr>
            <w:tcW w:w="1693" w:type="dxa"/>
          </w:tcPr>
          <w:p w14:paraId="4FCB4D28"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21/09/2021</w:t>
            </w:r>
          </w:p>
        </w:tc>
        <w:tc>
          <w:tcPr>
            <w:tcW w:w="1889" w:type="dxa"/>
          </w:tcPr>
          <w:p w14:paraId="455BE0E1"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Calibri"/>
                <w:bCs/>
                <w:sz w:val="24"/>
                <w:szCs w:val="20"/>
              </w:rPr>
              <w:t>The Primary outcome measure definition was amended.</w:t>
            </w:r>
          </w:p>
        </w:tc>
        <w:tc>
          <w:tcPr>
            <w:tcW w:w="1897" w:type="dxa"/>
          </w:tcPr>
          <w:p w14:paraId="70CF0069"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Amended following changes to protocol version 7.0</w:t>
            </w:r>
          </w:p>
        </w:tc>
      </w:tr>
      <w:tr w:rsidR="002F4B81" w:rsidRPr="002F4B81" w14:paraId="78417E47" w14:textId="77777777" w:rsidTr="00C667E5">
        <w:tc>
          <w:tcPr>
            <w:tcW w:w="1717" w:type="dxa"/>
          </w:tcPr>
          <w:p w14:paraId="1C8C646E"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1.3</w:t>
            </w:r>
          </w:p>
        </w:tc>
        <w:tc>
          <w:tcPr>
            <w:tcW w:w="1693" w:type="dxa"/>
          </w:tcPr>
          <w:p w14:paraId="50F59BA3"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21/09/2021</w:t>
            </w:r>
          </w:p>
        </w:tc>
        <w:tc>
          <w:tcPr>
            <w:tcW w:w="1889" w:type="dxa"/>
          </w:tcPr>
          <w:p w14:paraId="7960A795" w14:textId="77777777" w:rsidR="002F4B81" w:rsidRPr="002F4B81" w:rsidRDefault="002F4B81" w:rsidP="002F4B81">
            <w:pPr>
              <w:spacing w:after="0" w:line="240" w:lineRule="auto"/>
              <w:rPr>
                <w:rFonts w:ascii="Calibri" w:eastAsia="Times New Roman" w:hAnsi="Calibri" w:cs="Calibri"/>
                <w:bCs/>
                <w:sz w:val="24"/>
                <w:szCs w:val="20"/>
              </w:rPr>
            </w:pPr>
            <w:r w:rsidRPr="002F4B81">
              <w:rPr>
                <w:rFonts w:ascii="Calibri" w:eastAsia="Times New Roman" w:hAnsi="Calibri" w:cs="Times New Roman"/>
                <w:szCs w:val="20"/>
              </w:rPr>
              <w:t>Minor typographical errors and further clarifications were made throughout when required.</w:t>
            </w:r>
          </w:p>
        </w:tc>
        <w:tc>
          <w:tcPr>
            <w:tcW w:w="1897" w:type="dxa"/>
          </w:tcPr>
          <w:p w14:paraId="0C0A0A80"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As necessary</w:t>
            </w:r>
          </w:p>
        </w:tc>
      </w:tr>
      <w:tr w:rsidR="002F4B81" w:rsidRPr="002F4B81" w14:paraId="05177EF8" w14:textId="77777777" w:rsidTr="00C667E5">
        <w:tc>
          <w:tcPr>
            <w:tcW w:w="1717" w:type="dxa"/>
          </w:tcPr>
          <w:p w14:paraId="03966953"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1.4</w:t>
            </w:r>
          </w:p>
        </w:tc>
        <w:tc>
          <w:tcPr>
            <w:tcW w:w="1693" w:type="dxa"/>
          </w:tcPr>
          <w:p w14:paraId="3C534E9F"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14/11/2023</w:t>
            </w:r>
          </w:p>
        </w:tc>
        <w:tc>
          <w:tcPr>
            <w:tcW w:w="1889" w:type="dxa"/>
          </w:tcPr>
          <w:p w14:paraId="62FC0FD0"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 xml:space="preserve">Clarification of treatment of visits outside visit windows or data entered in an incorrect visit in the database, of numeric data entered as relative to an upper/lower bound, and addition of </w:t>
            </w:r>
            <w:r w:rsidRPr="002F4B81">
              <w:rPr>
                <w:rFonts w:ascii="Calibri" w:eastAsia="Times New Roman" w:hAnsi="Calibri" w:cs="Times New Roman"/>
                <w:szCs w:val="20"/>
              </w:rPr>
              <w:lastRenderedPageBreak/>
              <w:t>sensitivity analyses.</w:t>
            </w:r>
          </w:p>
        </w:tc>
        <w:tc>
          <w:tcPr>
            <w:tcW w:w="1897" w:type="dxa"/>
          </w:tcPr>
          <w:p w14:paraId="7AF78789"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lastRenderedPageBreak/>
              <w:t>To allow retention of as much valid data as possible, and to explicitly allow for sensitivity analyses.</w:t>
            </w:r>
          </w:p>
        </w:tc>
      </w:tr>
      <w:tr w:rsidR="002F4B81" w:rsidRPr="002F4B81" w14:paraId="5C40ED49" w14:textId="77777777" w:rsidTr="00C667E5">
        <w:tc>
          <w:tcPr>
            <w:tcW w:w="1717" w:type="dxa"/>
          </w:tcPr>
          <w:p w14:paraId="716EAEA8"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ahoma"/>
              </w:rPr>
              <w:t>1.4</w:t>
            </w:r>
          </w:p>
        </w:tc>
        <w:tc>
          <w:tcPr>
            <w:tcW w:w="1693" w:type="dxa"/>
          </w:tcPr>
          <w:p w14:paraId="3E2F5692" w14:textId="77777777" w:rsidR="002F4B81" w:rsidRPr="002F4B81" w:rsidRDefault="002F4B81" w:rsidP="002F4B81">
            <w:pPr>
              <w:spacing w:after="0" w:line="240" w:lineRule="auto"/>
              <w:rPr>
                <w:rFonts w:ascii="Calibri" w:eastAsia="Times New Roman" w:hAnsi="Calibri" w:cs="Tahoma"/>
                <w:highlight w:val="yellow"/>
              </w:rPr>
            </w:pPr>
            <w:r w:rsidRPr="002F4B81">
              <w:rPr>
                <w:rFonts w:ascii="Calibri" w:eastAsia="Times New Roman" w:hAnsi="Calibri" w:cs="Tahoma"/>
              </w:rPr>
              <w:t>14/11/2023</w:t>
            </w:r>
          </w:p>
        </w:tc>
        <w:tc>
          <w:tcPr>
            <w:tcW w:w="1889" w:type="dxa"/>
          </w:tcPr>
          <w:p w14:paraId="3918FC7A"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The race coefficient has now been removed from the equation for calculation of eGFR in Section 8.1.1 on page 21.</w:t>
            </w:r>
          </w:p>
        </w:tc>
        <w:tc>
          <w:tcPr>
            <w:tcW w:w="1897" w:type="dxa"/>
          </w:tcPr>
          <w:p w14:paraId="0E9A9B35" w14:textId="77777777" w:rsidR="002F4B81" w:rsidRPr="002F4B81" w:rsidRDefault="002F4B81" w:rsidP="002F4B81">
            <w:pPr>
              <w:spacing w:after="0" w:line="240" w:lineRule="auto"/>
              <w:rPr>
                <w:rFonts w:ascii="Calibri" w:eastAsia="Times New Roman" w:hAnsi="Calibri" w:cs="Tahoma"/>
              </w:rPr>
            </w:pPr>
            <w:r w:rsidRPr="002F4B81">
              <w:rPr>
                <w:rFonts w:ascii="Calibri" w:eastAsia="Times New Roman" w:hAnsi="Calibri" w:cs="Times New Roman"/>
                <w:szCs w:val="20"/>
              </w:rPr>
              <w:t>Race coefficient may not be representative and is currently not recommended to use for black people, so we use the CKD-EPI 2009 and simply remove the race coefficient (Levey 2011).</w:t>
            </w:r>
          </w:p>
        </w:tc>
      </w:tr>
    </w:tbl>
    <w:p w14:paraId="41DBE9BA" w14:textId="77777777" w:rsidR="002F4B81" w:rsidRPr="002F4B81" w:rsidRDefault="002F4B81" w:rsidP="002F4B81">
      <w:pPr>
        <w:spacing w:after="0" w:line="240" w:lineRule="auto"/>
        <w:ind w:right="-154"/>
        <w:rPr>
          <w:rFonts w:ascii="Calibri" w:eastAsia="Times New Roman" w:hAnsi="Calibri" w:cs="Times New Roman"/>
          <w:szCs w:val="20"/>
        </w:rPr>
      </w:pPr>
    </w:p>
    <w:p w14:paraId="2CA2671A" w14:textId="77777777" w:rsidR="002F4B81" w:rsidRPr="002F4B81" w:rsidRDefault="002F4B81" w:rsidP="002F4B81">
      <w:pPr>
        <w:spacing w:after="0" w:line="240" w:lineRule="auto"/>
        <w:rPr>
          <w:rFonts w:ascii="Calibri" w:eastAsia="Times New Roman" w:hAnsi="Calibri" w:cs="Times New Roman"/>
          <w:b/>
          <w:szCs w:val="20"/>
        </w:rPr>
      </w:pPr>
    </w:p>
    <w:p w14:paraId="6D5A24D0" w14:textId="77777777" w:rsidR="002F4B81" w:rsidRPr="002F4B81" w:rsidRDefault="002F4B81" w:rsidP="002F4B81">
      <w:pPr>
        <w:spacing w:after="0" w:line="240" w:lineRule="auto"/>
        <w:rPr>
          <w:rFonts w:ascii="Calibri" w:eastAsia="Times New Roman" w:hAnsi="Calibri" w:cs="Times New Roman"/>
          <w:szCs w:val="20"/>
        </w:rPr>
      </w:pPr>
    </w:p>
    <w:p w14:paraId="36432DA2"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br w:type="page"/>
      </w:r>
    </w:p>
    <w:p w14:paraId="4A3A733F" w14:textId="77777777" w:rsidR="002F4B81" w:rsidRPr="002F4B81" w:rsidRDefault="002F4B81" w:rsidP="002F4B81">
      <w:pPr>
        <w:tabs>
          <w:tab w:val="left" w:pos="851"/>
          <w:tab w:val="right" w:leader="dot" w:pos="8959"/>
        </w:tabs>
        <w:spacing w:before="120" w:after="0" w:line="240" w:lineRule="auto"/>
        <w:rPr>
          <w:rFonts w:ascii="Tahoma" w:eastAsia="Times New Roman" w:hAnsi="Tahoma" w:cs="Times New Roman"/>
          <w:b/>
          <w:noProof/>
          <w:sz w:val="26"/>
          <w:szCs w:val="36"/>
        </w:rPr>
      </w:pPr>
      <w:r w:rsidRPr="002F4B81">
        <w:rPr>
          <w:rFonts w:ascii="Tahoma" w:eastAsia="Times New Roman" w:hAnsi="Tahoma" w:cs="Times New Roman"/>
          <w:b/>
          <w:noProof/>
          <w:sz w:val="26"/>
          <w:szCs w:val="36"/>
        </w:rPr>
        <w:lastRenderedPageBreak/>
        <w:t xml:space="preserve">Contents </w:t>
      </w:r>
    </w:p>
    <w:p w14:paraId="3F641818" w14:textId="77777777" w:rsidR="002F4B81" w:rsidRPr="002F4B81" w:rsidRDefault="002F4B81" w:rsidP="002F4B81">
      <w:pPr>
        <w:tabs>
          <w:tab w:val="left" w:pos="851"/>
          <w:tab w:val="right" w:leader="dot" w:pos="8959"/>
        </w:tabs>
        <w:spacing w:before="120" w:after="0" w:line="240" w:lineRule="auto"/>
        <w:rPr>
          <w:rFonts w:ascii="Calibri" w:eastAsia="Times New Roman" w:hAnsi="Calibri" w:cs="Times New Roman"/>
          <w:b/>
          <w:noProof/>
          <w:lang w:eastAsia="en-GB"/>
        </w:rPr>
      </w:pPr>
      <w:r w:rsidRPr="002F4B81">
        <w:rPr>
          <w:rFonts w:ascii="Calibri" w:eastAsia="Times New Roman" w:hAnsi="Calibri" w:cs="Times New Roman"/>
          <w:b/>
          <w:noProof/>
          <w:sz w:val="26"/>
          <w:szCs w:val="36"/>
        </w:rPr>
        <w:fldChar w:fldCharType="begin"/>
      </w:r>
      <w:r w:rsidRPr="002F4B81">
        <w:rPr>
          <w:rFonts w:ascii="Calibri" w:eastAsia="Times New Roman" w:hAnsi="Calibri" w:cs="Times New Roman"/>
          <w:b/>
          <w:noProof/>
          <w:sz w:val="26"/>
          <w:szCs w:val="36"/>
        </w:rPr>
        <w:instrText xml:space="preserve"> TOC \o "1-3" \h \z </w:instrText>
      </w:r>
      <w:r w:rsidRPr="002F4B81">
        <w:rPr>
          <w:rFonts w:ascii="Calibri" w:eastAsia="Times New Roman" w:hAnsi="Calibri" w:cs="Times New Roman"/>
          <w:b/>
          <w:noProof/>
          <w:sz w:val="26"/>
          <w:szCs w:val="36"/>
        </w:rPr>
        <w:fldChar w:fldCharType="separate"/>
      </w:r>
      <w:hyperlink w:anchor="_Toc83029328" w:history="1">
        <w:r w:rsidRPr="002F4B81">
          <w:rPr>
            <w:rFonts w:ascii="Calibri" w:eastAsia="Times New Roman" w:hAnsi="Calibri" w:cs="Times New Roman"/>
            <w:b/>
            <w:noProof/>
            <w:color w:val="0563C1"/>
            <w:sz w:val="26"/>
            <w:szCs w:val="36"/>
            <w:u w:val="single"/>
          </w:rPr>
          <w:t>1.</w:t>
        </w:r>
        <w:r w:rsidRPr="002F4B81">
          <w:rPr>
            <w:rFonts w:ascii="Calibri" w:eastAsia="Times New Roman" w:hAnsi="Calibri" w:cs="Times New Roman"/>
            <w:b/>
            <w:noProof/>
            <w:lang w:eastAsia="en-GB"/>
          </w:rPr>
          <w:tab/>
        </w:r>
        <w:r w:rsidRPr="002F4B81">
          <w:rPr>
            <w:rFonts w:ascii="Calibri" w:eastAsia="Times New Roman" w:hAnsi="Calibri" w:cs="Times New Roman"/>
            <w:b/>
            <w:noProof/>
            <w:color w:val="0563C1"/>
            <w:sz w:val="26"/>
            <w:szCs w:val="36"/>
            <w:u w:val="single"/>
          </w:rPr>
          <w:t>INTRODUCTION</w:t>
        </w:r>
        <w:r w:rsidRPr="002F4B81">
          <w:rPr>
            <w:rFonts w:ascii="Tahoma" w:eastAsia="Times New Roman" w:hAnsi="Tahoma" w:cs="Times New Roman"/>
            <w:b/>
            <w:noProof/>
            <w:webHidden/>
            <w:sz w:val="26"/>
            <w:szCs w:val="36"/>
          </w:rPr>
          <w:tab/>
        </w:r>
        <w:r w:rsidRPr="002F4B81">
          <w:rPr>
            <w:rFonts w:ascii="Tahoma" w:eastAsia="Times New Roman" w:hAnsi="Tahoma" w:cs="Times New Roman"/>
            <w:b/>
            <w:noProof/>
            <w:webHidden/>
            <w:sz w:val="26"/>
            <w:szCs w:val="36"/>
          </w:rPr>
          <w:fldChar w:fldCharType="begin"/>
        </w:r>
        <w:r w:rsidRPr="002F4B81">
          <w:rPr>
            <w:rFonts w:ascii="Tahoma" w:eastAsia="Times New Roman" w:hAnsi="Tahoma" w:cs="Times New Roman"/>
            <w:b/>
            <w:noProof/>
            <w:webHidden/>
            <w:sz w:val="26"/>
            <w:szCs w:val="36"/>
          </w:rPr>
          <w:instrText xml:space="preserve"> PAGEREF _Toc83029328 \h </w:instrText>
        </w:r>
        <w:r w:rsidRPr="002F4B81">
          <w:rPr>
            <w:rFonts w:ascii="Tahoma" w:eastAsia="Times New Roman" w:hAnsi="Tahoma" w:cs="Times New Roman"/>
            <w:b/>
            <w:noProof/>
            <w:webHidden/>
            <w:sz w:val="26"/>
            <w:szCs w:val="36"/>
          </w:rPr>
        </w:r>
        <w:r w:rsidRPr="002F4B81">
          <w:rPr>
            <w:rFonts w:ascii="Tahoma" w:eastAsia="Times New Roman" w:hAnsi="Tahoma" w:cs="Times New Roman"/>
            <w:b/>
            <w:noProof/>
            <w:webHidden/>
            <w:sz w:val="26"/>
            <w:szCs w:val="36"/>
          </w:rPr>
          <w:fldChar w:fldCharType="separate"/>
        </w:r>
        <w:r w:rsidRPr="002F4B81">
          <w:rPr>
            <w:rFonts w:ascii="Tahoma" w:eastAsia="Times New Roman" w:hAnsi="Tahoma" w:cs="Times New Roman"/>
            <w:b/>
            <w:noProof/>
            <w:webHidden/>
            <w:sz w:val="26"/>
            <w:szCs w:val="36"/>
          </w:rPr>
          <w:t>6</w:t>
        </w:r>
        <w:r w:rsidRPr="002F4B81">
          <w:rPr>
            <w:rFonts w:ascii="Tahoma" w:eastAsia="Times New Roman" w:hAnsi="Tahoma" w:cs="Times New Roman"/>
            <w:b/>
            <w:noProof/>
            <w:webHidden/>
            <w:sz w:val="26"/>
            <w:szCs w:val="36"/>
          </w:rPr>
          <w:fldChar w:fldCharType="end"/>
        </w:r>
      </w:hyperlink>
    </w:p>
    <w:p w14:paraId="7DFD333F"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29" w:history="1">
        <w:r w:rsidR="002F4B81" w:rsidRPr="002F4B81">
          <w:rPr>
            <w:rFonts w:ascii="Calibri" w:eastAsia="Times New Roman" w:hAnsi="Calibri" w:cs="Times New Roman"/>
            <w:noProof/>
            <w:color w:val="0563C1"/>
            <w:szCs w:val="20"/>
            <w:u w:val="single"/>
          </w:rPr>
          <w:t>1.1</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Trial Summary</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_Toc83029329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6</w:t>
        </w:r>
        <w:r w:rsidR="002F4B81" w:rsidRPr="002F4B81">
          <w:rPr>
            <w:rFonts w:ascii="Calibri" w:eastAsia="Times New Roman" w:hAnsi="Calibri" w:cs="Times New Roman"/>
            <w:noProof/>
            <w:webHidden/>
            <w:szCs w:val="20"/>
          </w:rPr>
          <w:fldChar w:fldCharType="end"/>
        </w:r>
      </w:hyperlink>
    </w:p>
    <w:p w14:paraId="75A3F29E"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30" w:history="1">
        <w:r w:rsidR="002F4B81" w:rsidRPr="002F4B81">
          <w:rPr>
            <w:rFonts w:ascii="Calibri" w:eastAsia="Times New Roman" w:hAnsi="Calibri" w:cs="Times New Roman"/>
            <w:b/>
            <w:noProof/>
            <w:color w:val="0563C1"/>
            <w:sz w:val="26"/>
            <w:szCs w:val="36"/>
            <w:u w:val="single"/>
          </w:rPr>
          <w:t>2.</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TIMING AND REPORTING of ANALYSES</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_Toc83029330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7</w:t>
        </w:r>
        <w:r w:rsidR="002F4B81" w:rsidRPr="002F4B81">
          <w:rPr>
            <w:rFonts w:ascii="Tahoma" w:eastAsia="Times New Roman" w:hAnsi="Tahoma" w:cs="Times New Roman"/>
            <w:b/>
            <w:noProof/>
            <w:webHidden/>
            <w:sz w:val="26"/>
            <w:szCs w:val="36"/>
          </w:rPr>
          <w:fldChar w:fldCharType="end"/>
        </w:r>
      </w:hyperlink>
    </w:p>
    <w:p w14:paraId="2D9F859F"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31" w:history="1">
        <w:r w:rsidR="002F4B81" w:rsidRPr="002F4B81">
          <w:rPr>
            <w:rFonts w:ascii="Calibri" w:eastAsia="Times New Roman" w:hAnsi="Calibri" w:cs="Times New Roman"/>
            <w:b/>
            <w:noProof/>
            <w:color w:val="0563C1"/>
            <w:sz w:val="26"/>
            <w:szCs w:val="36"/>
            <w:u w:val="single"/>
          </w:rPr>
          <w:t>3.</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RECRUITMENT</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_Toc83029331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8</w:t>
        </w:r>
        <w:r w:rsidR="002F4B81" w:rsidRPr="002F4B81">
          <w:rPr>
            <w:rFonts w:ascii="Tahoma" w:eastAsia="Times New Roman" w:hAnsi="Tahoma" w:cs="Times New Roman"/>
            <w:b/>
            <w:noProof/>
            <w:webHidden/>
            <w:sz w:val="26"/>
            <w:szCs w:val="36"/>
          </w:rPr>
          <w:fldChar w:fldCharType="end"/>
        </w:r>
      </w:hyperlink>
    </w:p>
    <w:p w14:paraId="5BD5DFBB"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32" w:history="1">
        <w:r w:rsidR="002F4B81" w:rsidRPr="002F4B81">
          <w:rPr>
            <w:rFonts w:ascii="Calibri" w:eastAsia="Times New Roman" w:hAnsi="Calibri" w:cs="Times New Roman"/>
            <w:noProof/>
            <w:color w:val="0563C1"/>
            <w:szCs w:val="20"/>
            <w:u w:val="single"/>
          </w:rPr>
          <w:t>3.1</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Patient Identification and Central Pre-Screening</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_Toc83029332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8</w:t>
        </w:r>
        <w:r w:rsidR="002F4B81" w:rsidRPr="002F4B81">
          <w:rPr>
            <w:rFonts w:ascii="Calibri" w:eastAsia="Times New Roman" w:hAnsi="Calibri" w:cs="Times New Roman"/>
            <w:noProof/>
            <w:webHidden/>
            <w:szCs w:val="20"/>
          </w:rPr>
          <w:fldChar w:fldCharType="end"/>
        </w:r>
      </w:hyperlink>
    </w:p>
    <w:p w14:paraId="36F4E0E6"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33" w:history="1">
        <w:r w:rsidR="002F4B81" w:rsidRPr="002F4B81">
          <w:rPr>
            <w:rFonts w:ascii="Calibri" w:eastAsia="Times New Roman" w:hAnsi="Calibri" w:cs="Times New Roman"/>
            <w:noProof/>
            <w:color w:val="0563C1"/>
            <w:szCs w:val="20"/>
            <w:u w:val="single"/>
          </w:rPr>
          <w:t>3.2</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Setting</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_Toc83029333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9</w:t>
        </w:r>
        <w:r w:rsidR="002F4B81" w:rsidRPr="002F4B81">
          <w:rPr>
            <w:rFonts w:ascii="Calibri" w:eastAsia="Times New Roman" w:hAnsi="Calibri" w:cs="Times New Roman"/>
            <w:noProof/>
            <w:webHidden/>
            <w:szCs w:val="20"/>
          </w:rPr>
          <w:fldChar w:fldCharType="end"/>
        </w:r>
      </w:hyperlink>
    </w:p>
    <w:p w14:paraId="6B64BAD5"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34" w:history="1">
        <w:r w:rsidR="002F4B81" w:rsidRPr="002F4B81">
          <w:rPr>
            <w:rFonts w:ascii="Calibri" w:eastAsia="Times New Roman" w:hAnsi="Calibri" w:cs="Times New Roman"/>
            <w:noProof/>
            <w:color w:val="0563C1"/>
            <w:szCs w:val="20"/>
            <w:u w:val="single"/>
          </w:rPr>
          <w:t>3.3</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Site Screening (day -28 to -14)</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_Toc83029334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9</w:t>
        </w:r>
        <w:r w:rsidR="002F4B81" w:rsidRPr="002F4B81">
          <w:rPr>
            <w:rFonts w:ascii="Calibri" w:eastAsia="Times New Roman" w:hAnsi="Calibri" w:cs="Times New Roman"/>
            <w:noProof/>
            <w:webHidden/>
            <w:szCs w:val="20"/>
          </w:rPr>
          <w:fldChar w:fldCharType="end"/>
        </w:r>
      </w:hyperlink>
    </w:p>
    <w:p w14:paraId="12607112"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35" w:history="1">
        <w:r w:rsidR="002F4B81" w:rsidRPr="002F4B81">
          <w:rPr>
            <w:rFonts w:ascii="Calibri" w:eastAsia="Times New Roman" w:hAnsi="Calibri" w:cs="Times New Roman"/>
            <w:noProof/>
            <w:color w:val="0563C1"/>
            <w:szCs w:val="20"/>
            <w:u w:val="single"/>
          </w:rPr>
          <w:t>3.4</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Consent</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_Toc83029335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9</w:t>
        </w:r>
        <w:r w:rsidR="002F4B81" w:rsidRPr="002F4B81">
          <w:rPr>
            <w:rFonts w:ascii="Calibri" w:eastAsia="Times New Roman" w:hAnsi="Calibri" w:cs="Times New Roman"/>
            <w:noProof/>
            <w:webHidden/>
            <w:szCs w:val="20"/>
          </w:rPr>
          <w:fldChar w:fldCharType="end"/>
        </w:r>
      </w:hyperlink>
    </w:p>
    <w:p w14:paraId="18DE8467"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36" w:history="1">
        <w:r w:rsidR="002F4B81" w:rsidRPr="002F4B81">
          <w:rPr>
            <w:rFonts w:ascii="Calibri" w:eastAsia="Times New Roman" w:hAnsi="Calibri" w:cs="Times New Roman"/>
            <w:noProof/>
            <w:color w:val="0563C1"/>
            <w:szCs w:val="20"/>
            <w:u w:val="single"/>
          </w:rPr>
          <w:t>3.5</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Final Eculizumab infusion (Visit 1, Day -14)</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_Toc83029336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10</w:t>
        </w:r>
        <w:r w:rsidR="002F4B81" w:rsidRPr="002F4B81">
          <w:rPr>
            <w:rFonts w:ascii="Calibri" w:eastAsia="Times New Roman" w:hAnsi="Calibri" w:cs="Times New Roman"/>
            <w:noProof/>
            <w:webHidden/>
            <w:szCs w:val="20"/>
          </w:rPr>
          <w:fldChar w:fldCharType="end"/>
        </w:r>
      </w:hyperlink>
    </w:p>
    <w:p w14:paraId="2B8A141F"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37" w:history="1">
        <w:r w:rsidR="002F4B81" w:rsidRPr="002F4B81">
          <w:rPr>
            <w:rFonts w:ascii="Calibri" w:eastAsia="Times New Roman" w:hAnsi="Calibri" w:cs="Times New Roman"/>
            <w:noProof/>
            <w:color w:val="0563C1"/>
            <w:szCs w:val="20"/>
            <w:u w:val="single"/>
          </w:rPr>
          <w:t>3.6</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End of trial</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_Toc83029337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10</w:t>
        </w:r>
        <w:r w:rsidR="002F4B81" w:rsidRPr="002F4B81">
          <w:rPr>
            <w:rFonts w:ascii="Calibri" w:eastAsia="Times New Roman" w:hAnsi="Calibri" w:cs="Times New Roman"/>
            <w:noProof/>
            <w:webHidden/>
            <w:szCs w:val="20"/>
          </w:rPr>
          <w:fldChar w:fldCharType="end"/>
        </w:r>
      </w:hyperlink>
    </w:p>
    <w:p w14:paraId="6B32C5A5"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38" w:history="1">
        <w:r w:rsidR="002F4B81" w:rsidRPr="002F4B81">
          <w:rPr>
            <w:rFonts w:ascii="Calibri" w:eastAsia="Times New Roman" w:hAnsi="Calibri" w:cs="Times New Roman"/>
            <w:b/>
            <w:noProof/>
            <w:color w:val="0563C1"/>
            <w:sz w:val="26"/>
            <w:szCs w:val="36"/>
            <w:u w:val="single"/>
          </w:rPr>
          <w:t>4.</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STUDY POPULATION</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_Toc83029338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11</w:t>
        </w:r>
        <w:r w:rsidR="002F4B81" w:rsidRPr="002F4B81">
          <w:rPr>
            <w:rFonts w:ascii="Tahoma" w:eastAsia="Times New Roman" w:hAnsi="Tahoma" w:cs="Times New Roman"/>
            <w:b/>
            <w:noProof/>
            <w:webHidden/>
            <w:sz w:val="26"/>
            <w:szCs w:val="36"/>
          </w:rPr>
          <w:fldChar w:fldCharType="end"/>
        </w:r>
      </w:hyperlink>
    </w:p>
    <w:p w14:paraId="15D549B9"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39" w:history="1">
        <w:r w:rsidR="002F4B81" w:rsidRPr="002F4B81">
          <w:rPr>
            <w:rFonts w:ascii="Calibri" w:eastAsia="Times New Roman" w:hAnsi="Calibri" w:cs="Times New Roman"/>
            <w:noProof/>
            <w:color w:val="0563C1"/>
            <w:szCs w:val="20"/>
            <w:u w:val="single"/>
          </w:rPr>
          <w:t>4.1</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Defining Populations for Analysis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_Toc83029339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11</w:t>
        </w:r>
        <w:r w:rsidR="002F4B81" w:rsidRPr="002F4B81">
          <w:rPr>
            <w:rFonts w:ascii="Calibri" w:eastAsia="Times New Roman" w:hAnsi="Calibri" w:cs="Times New Roman"/>
            <w:noProof/>
            <w:webHidden/>
            <w:szCs w:val="20"/>
          </w:rPr>
          <w:fldChar w:fldCharType="end"/>
        </w:r>
      </w:hyperlink>
    </w:p>
    <w:p w14:paraId="3279FE92"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40" w:history="1">
        <w:r w:rsidR="002F4B81" w:rsidRPr="002F4B81">
          <w:rPr>
            <w:rFonts w:ascii="Calibri" w:eastAsia="Times New Roman" w:hAnsi="Calibri" w:cs="Times New Roman"/>
            <w:noProof/>
            <w:color w:val="0563C1"/>
            <w:szCs w:val="20"/>
            <w:u w:val="single"/>
          </w:rPr>
          <w:t>4.2</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Baseline Patient Characteristics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_Toc83029340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11</w:t>
        </w:r>
        <w:r w:rsidR="002F4B81" w:rsidRPr="002F4B81">
          <w:rPr>
            <w:rFonts w:ascii="Calibri" w:eastAsia="Times New Roman" w:hAnsi="Calibri" w:cs="Times New Roman"/>
            <w:noProof/>
            <w:webHidden/>
            <w:szCs w:val="20"/>
          </w:rPr>
          <w:fldChar w:fldCharType="end"/>
        </w:r>
      </w:hyperlink>
    </w:p>
    <w:p w14:paraId="0D280201"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41" w:history="1">
        <w:r w:rsidR="002F4B81" w:rsidRPr="002F4B81">
          <w:rPr>
            <w:rFonts w:ascii="Calibri" w:eastAsia="Times New Roman" w:hAnsi="Calibri" w:cs="Times New Roman"/>
            <w:b/>
            <w:noProof/>
            <w:color w:val="0563C1"/>
            <w:sz w:val="26"/>
            <w:szCs w:val="36"/>
            <w:u w:val="single"/>
          </w:rPr>
          <w:t>5.</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TREATMENT RECEIVED</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_Toc83029341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12</w:t>
        </w:r>
        <w:r w:rsidR="002F4B81" w:rsidRPr="002F4B81">
          <w:rPr>
            <w:rFonts w:ascii="Tahoma" w:eastAsia="Times New Roman" w:hAnsi="Tahoma" w:cs="Times New Roman"/>
            <w:b/>
            <w:noProof/>
            <w:webHidden/>
            <w:sz w:val="26"/>
            <w:szCs w:val="36"/>
          </w:rPr>
          <w:fldChar w:fldCharType="end"/>
        </w:r>
      </w:hyperlink>
    </w:p>
    <w:p w14:paraId="52E1A778"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42" w:history="1">
        <w:r w:rsidR="002F4B81" w:rsidRPr="002F4B81">
          <w:rPr>
            <w:rFonts w:ascii="Calibri" w:eastAsia="Times New Roman" w:hAnsi="Calibri" w:cs="Times New Roman"/>
            <w:noProof/>
            <w:color w:val="0563C1"/>
            <w:szCs w:val="20"/>
            <w:u w:val="single"/>
          </w:rPr>
          <w:t>5.1</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Name and Description of withdrawn Medication</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_Toc83029342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12</w:t>
        </w:r>
        <w:r w:rsidR="002F4B81" w:rsidRPr="002F4B81">
          <w:rPr>
            <w:rFonts w:ascii="Calibri" w:eastAsia="Times New Roman" w:hAnsi="Calibri" w:cs="Times New Roman"/>
            <w:noProof/>
            <w:webHidden/>
            <w:szCs w:val="20"/>
          </w:rPr>
          <w:fldChar w:fldCharType="end"/>
        </w:r>
      </w:hyperlink>
    </w:p>
    <w:p w14:paraId="35E28EE5"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43" w:history="1">
        <w:r w:rsidR="002F4B81" w:rsidRPr="002F4B81">
          <w:rPr>
            <w:rFonts w:ascii="Calibri" w:eastAsia="Times New Roman" w:hAnsi="Calibri" w:cs="Times New Roman"/>
            <w:noProof/>
            <w:color w:val="0563C1"/>
            <w:szCs w:val="20"/>
            <w:u w:val="single"/>
          </w:rPr>
          <w:t>5.1.1.</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Eculizumab</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_Toc83029343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12</w:t>
        </w:r>
        <w:r w:rsidR="002F4B81" w:rsidRPr="002F4B81">
          <w:rPr>
            <w:rFonts w:ascii="Calibri" w:eastAsia="Times New Roman" w:hAnsi="Calibri" w:cs="Times New Roman"/>
            <w:noProof/>
            <w:webHidden/>
            <w:szCs w:val="20"/>
          </w:rPr>
          <w:fldChar w:fldCharType="end"/>
        </w:r>
      </w:hyperlink>
    </w:p>
    <w:p w14:paraId="4F90BB09"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44" w:history="1">
        <w:r w:rsidR="002F4B81" w:rsidRPr="002F4B81">
          <w:rPr>
            <w:rFonts w:ascii="Calibri" w:eastAsia="Times New Roman" w:hAnsi="Calibri" w:cs="Times New Roman"/>
            <w:noProof/>
            <w:color w:val="0563C1"/>
            <w:szCs w:val="20"/>
            <w:u w:val="single"/>
          </w:rPr>
          <w:t>5.1.2.</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Access to Eculizumab</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_Toc83029344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12</w:t>
        </w:r>
        <w:r w:rsidR="002F4B81" w:rsidRPr="002F4B81">
          <w:rPr>
            <w:rFonts w:ascii="Calibri" w:eastAsia="Times New Roman" w:hAnsi="Calibri" w:cs="Times New Roman"/>
            <w:noProof/>
            <w:webHidden/>
            <w:szCs w:val="20"/>
          </w:rPr>
          <w:fldChar w:fldCharType="end"/>
        </w:r>
      </w:hyperlink>
    </w:p>
    <w:p w14:paraId="7E642BEC"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45" w:history="1">
        <w:r w:rsidR="002F4B81" w:rsidRPr="002F4B81">
          <w:rPr>
            <w:rFonts w:ascii="Calibri" w:eastAsia="Times New Roman" w:hAnsi="Calibri" w:cs="Times New Roman"/>
            <w:noProof/>
            <w:color w:val="0563C1"/>
            <w:szCs w:val="20"/>
            <w:u w:val="single"/>
          </w:rPr>
          <w:t>5.2</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Relapse Information</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_Toc83029345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12</w:t>
        </w:r>
        <w:r w:rsidR="002F4B81" w:rsidRPr="002F4B81">
          <w:rPr>
            <w:rFonts w:ascii="Calibri" w:eastAsia="Times New Roman" w:hAnsi="Calibri" w:cs="Times New Roman"/>
            <w:noProof/>
            <w:webHidden/>
            <w:szCs w:val="20"/>
          </w:rPr>
          <w:fldChar w:fldCharType="end"/>
        </w:r>
      </w:hyperlink>
    </w:p>
    <w:p w14:paraId="63F5ECE6"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46" w:history="1">
        <w:r w:rsidR="002F4B81" w:rsidRPr="002F4B81">
          <w:rPr>
            <w:rFonts w:ascii="Calibri" w:eastAsia="Times New Roman" w:hAnsi="Calibri" w:cs="Times New Roman"/>
            <w:noProof/>
            <w:color w:val="0563C1"/>
            <w:szCs w:val="20"/>
            <w:u w:val="single"/>
          </w:rPr>
          <w:t>5.3</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Dosage Schedule</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_Toc83029346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13</w:t>
        </w:r>
        <w:r w:rsidR="002F4B81" w:rsidRPr="002F4B81">
          <w:rPr>
            <w:rFonts w:ascii="Calibri" w:eastAsia="Times New Roman" w:hAnsi="Calibri" w:cs="Times New Roman"/>
            <w:noProof/>
            <w:webHidden/>
            <w:szCs w:val="20"/>
          </w:rPr>
          <w:fldChar w:fldCharType="end"/>
        </w:r>
      </w:hyperlink>
    </w:p>
    <w:p w14:paraId="6C8E309C"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47" w:history="1">
        <w:r w:rsidR="002F4B81" w:rsidRPr="002F4B81">
          <w:rPr>
            <w:rFonts w:ascii="Calibri" w:eastAsia="Times New Roman" w:hAnsi="Calibri" w:cs="Times New Roman"/>
            <w:noProof/>
            <w:color w:val="0563C1"/>
            <w:szCs w:val="20"/>
            <w:u w:val="single"/>
          </w:rPr>
          <w:t>5.4</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Concomitant Medications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_Toc83029347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13</w:t>
        </w:r>
        <w:r w:rsidR="002F4B81" w:rsidRPr="002F4B81">
          <w:rPr>
            <w:rFonts w:ascii="Calibri" w:eastAsia="Times New Roman" w:hAnsi="Calibri" w:cs="Times New Roman"/>
            <w:noProof/>
            <w:webHidden/>
            <w:szCs w:val="20"/>
          </w:rPr>
          <w:fldChar w:fldCharType="end"/>
        </w:r>
      </w:hyperlink>
    </w:p>
    <w:p w14:paraId="25EBB095"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48" w:history="1">
        <w:r w:rsidR="002F4B81" w:rsidRPr="002F4B81">
          <w:rPr>
            <w:rFonts w:ascii="Calibri" w:eastAsia="Times New Roman" w:hAnsi="Calibri" w:cs="Times New Roman"/>
            <w:b/>
            <w:noProof/>
            <w:color w:val="0563C1"/>
            <w:sz w:val="26"/>
            <w:szCs w:val="36"/>
            <w:u w:val="single"/>
          </w:rPr>
          <w:t>6.</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SAFETY ANALYSIS</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_Toc83029348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13</w:t>
        </w:r>
        <w:r w:rsidR="002F4B81" w:rsidRPr="002F4B81">
          <w:rPr>
            <w:rFonts w:ascii="Tahoma" w:eastAsia="Times New Roman" w:hAnsi="Tahoma" w:cs="Times New Roman"/>
            <w:b/>
            <w:noProof/>
            <w:webHidden/>
            <w:sz w:val="26"/>
            <w:szCs w:val="36"/>
          </w:rPr>
          <w:fldChar w:fldCharType="end"/>
        </w:r>
      </w:hyperlink>
    </w:p>
    <w:p w14:paraId="5DE20AC9"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49" w:history="1">
        <w:r w:rsidR="002F4B81" w:rsidRPr="002F4B81">
          <w:rPr>
            <w:rFonts w:ascii="Calibri" w:eastAsia="Times New Roman" w:hAnsi="Calibri" w:cs="Times New Roman"/>
            <w:noProof/>
            <w:color w:val="0563C1"/>
            <w:szCs w:val="20"/>
            <w:u w:val="single"/>
          </w:rPr>
          <w:t>6.1</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Summary</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_Toc83029349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13</w:t>
        </w:r>
        <w:r w:rsidR="002F4B81" w:rsidRPr="002F4B81">
          <w:rPr>
            <w:rFonts w:ascii="Calibri" w:eastAsia="Times New Roman" w:hAnsi="Calibri" w:cs="Times New Roman"/>
            <w:noProof/>
            <w:webHidden/>
            <w:szCs w:val="20"/>
          </w:rPr>
          <w:fldChar w:fldCharType="end"/>
        </w:r>
      </w:hyperlink>
    </w:p>
    <w:p w14:paraId="43C4A5E0"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50" w:history="1">
        <w:r w:rsidR="002F4B81" w:rsidRPr="002F4B81">
          <w:rPr>
            <w:rFonts w:ascii="Calibri" w:eastAsia="Times New Roman" w:hAnsi="Calibri" w:cs="Times New Roman"/>
            <w:noProof/>
            <w:color w:val="0563C1"/>
            <w:szCs w:val="20"/>
            <w:u w:val="single"/>
          </w:rPr>
          <w:t>6.2</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Definitions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_Toc83029350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13</w:t>
        </w:r>
        <w:r w:rsidR="002F4B81" w:rsidRPr="002F4B81">
          <w:rPr>
            <w:rFonts w:ascii="Calibri" w:eastAsia="Times New Roman" w:hAnsi="Calibri" w:cs="Times New Roman"/>
            <w:noProof/>
            <w:webHidden/>
            <w:szCs w:val="20"/>
          </w:rPr>
          <w:fldChar w:fldCharType="end"/>
        </w:r>
      </w:hyperlink>
    </w:p>
    <w:p w14:paraId="6A1C4895"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51" w:history="1">
        <w:r w:rsidR="002F4B81" w:rsidRPr="002F4B81">
          <w:rPr>
            <w:rFonts w:ascii="Calibri" w:eastAsia="Times New Roman" w:hAnsi="Calibri" w:cs="Times New Roman"/>
            <w:noProof/>
            <w:color w:val="0563C1"/>
            <w:szCs w:val="20"/>
            <w:u w:val="single"/>
          </w:rPr>
          <w:t>6.3</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Recording and Reporting AEs and SAEs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_Toc83029351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14</w:t>
        </w:r>
        <w:r w:rsidR="002F4B81" w:rsidRPr="002F4B81">
          <w:rPr>
            <w:rFonts w:ascii="Calibri" w:eastAsia="Times New Roman" w:hAnsi="Calibri" w:cs="Times New Roman"/>
            <w:noProof/>
            <w:webHidden/>
            <w:szCs w:val="20"/>
          </w:rPr>
          <w:fldChar w:fldCharType="end"/>
        </w:r>
      </w:hyperlink>
    </w:p>
    <w:p w14:paraId="5A195D89"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52" w:history="1">
        <w:r w:rsidR="002F4B81" w:rsidRPr="002F4B81">
          <w:rPr>
            <w:rFonts w:ascii="Calibri" w:eastAsia="Times New Roman" w:hAnsi="Calibri" w:cs="Times New Roman"/>
            <w:noProof/>
            <w:color w:val="0563C1"/>
            <w:szCs w:val="20"/>
            <w:u w:val="single"/>
          </w:rPr>
          <w:t>6.4</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Recording and Reporting SUSARs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_Toc83029352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15</w:t>
        </w:r>
        <w:r w:rsidR="002F4B81" w:rsidRPr="002F4B81">
          <w:rPr>
            <w:rFonts w:ascii="Calibri" w:eastAsia="Times New Roman" w:hAnsi="Calibri" w:cs="Times New Roman"/>
            <w:noProof/>
            <w:webHidden/>
            <w:szCs w:val="20"/>
          </w:rPr>
          <w:fldChar w:fldCharType="end"/>
        </w:r>
      </w:hyperlink>
    </w:p>
    <w:p w14:paraId="1A262FB5"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53" w:history="1">
        <w:r w:rsidR="002F4B81" w:rsidRPr="002F4B81">
          <w:rPr>
            <w:rFonts w:ascii="Calibri" w:eastAsia="Times New Roman" w:hAnsi="Calibri" w:cs="Times New Roman"/>
            <w:noProof/>
            <w:color w:val="0563C1"/>
            <w:szCs w:val="20"/>
            <w:u w:val="single"/>
          </w:rPr>
          <w:t>6.5</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Notification of Deaths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_Toc83029353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16</w:t>
        </w:r>
        <w:r w:rsidR="002F4B81" w:rsidRPr="002F4B81">
          <w:rPr>
            <w:rFonts w:ascii="Calibri" w:eastAsia="Times New Roman" w:hAnsi="Calibri" w:cs="Times New Roman"/>
            <w:noProof/>
            <w:webHidden/>
            <w:szCs w:val="20"/>
          </w:rPr>
          <w:fldChar w:fldCharType="end"/>
        </w:r>
      </w:hyperlink>
    </w:p>
    <w:p w14:paraId="4600EB8D"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54" w:history="1">
        <w:r w:rsidR="002F4B81" w:rsidRPr="002F4B81">
          <w:rPr>
            <w:rFonts w:ascii="Calibri" w:eastAsia="Times New Roman" w:hAnsi="Calibri" w:cs="Times New Roman"/>
            <w:b/>
            <w:noProof/>
            <w:color w:val="0563C1"/>
            <w:sz w:val="26"/>
            <w:szCs w:val="36"/>
            <w:u w:val="single"/>
          </w:rPr>
          <w:t>7.</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TRIAL ASSESSMENTS AND VISIT DETAILS</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_Toc83029354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16</w:t>
        </w:r>
        <w:r w:rsidR="002F4B81" w:rsidRPr="002F4B81">
          <w:rPr>
            <w:rFonts w:ascii="Tahoma" w:eastAsia="Times New Roman" w:hAnsi="Tahoma" w:cs="Times New Roman"/>
            <w:b/>
            <w:noProof/>
            <w:webHidden/>
            <w:sz w:val="26"/>
            <w:szCs w:val="36"/>
          </w:rPr>
          <w:fldChar w:fldCharType="end"/>
        </w:r>
      </w:hyperlink>
    </w:p>
    <w:p w14:paraId="2C594DED"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55" w:history="1">
        <w:r w:rsidR="002F4B81" w:rsidRPr="002F4B81">
          <w:rPr>
            <w:rFonts w:ascii="Calibri" w:eastAsia="Times New Roman" w:hAnsi="Calibri" w:cs="Times New Roman"/>
            <w:noProof/>
            <w:color w:val="0563C1"/>
            <w:szCs w:val="20"/>
            <w:u w:val="single"/>
          </w:rPr>
          <w:t>7.1</w:t>
        </w:r>
        <w:r w:rsidR="002F4B81" w:rsidRPr="002F4B81">
          <w:rPr>
            <w:rFonts w:ascii="Calibri" w:eastAsia="Times New Roman" w:hAnsi="Calibri" w:cs="Times New Roman"/>
            <w:noProof/>
            <w:lang w:eastAsia="en-GB"/>
          </w:rPr>
          <w:tab/>
        </w:r>
        <w:r w:rsidR="002F4B81" w:rsidRPr="002F4B81">
          <w:rPr>
            <w:rFonts w:ascii="Calibri" w:eastAsia="Times New Roman" w:hAnsi="Calibri" w:cs="TimesNewRomanPSMT"/>
            <w:noProof/>
            <w:color w:val="0563C1"/>
            <w:szCs w:val="20"/>
            <w:u w:val="single"/>
          </w:rPr>
          <w:t>Clinical Assessments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_Toc83029355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16</w:t>
        </w:r>
        <w:r w:rsidR="002F4B81" w:rsidRPr="002F4B81">
          <w:rPr>
            <w:rFonts w:ascii="Calibri" w:eastAsia="Times New Roman" w:hAnsi="Calibri" w:cs="Times New Roman"/>
            <w:noProof/>
            <w:webHidden/>
            <w:szCs w:val="20"/>
          </w:rPr>
          <w:fldChar w:fldCharType="end"/>
        </w:r>
      </w:hyperlink>
    </w:p>
    <w:p w14:paraId="790F3E6F"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56" w:history="1">
        <w:r w:rsidR="002F4B81" w:rsidRPr="002F4B81">
          <w:rPr>
            <w:rFonts w:ascii="Calibri" w:eastAsia="Times New Roman" w:hAnsi="Calibri" w:cs="Times New Roman"/>
            <w:noProof/>
            <w:color w:val="0563C1"/>
            <w:szCs w:val="20"/>
            <w:u w:val="single"/>
          </w:rPr>
          <w:t>7.2</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Table 1 Schedule of Events day -42 to 672</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_Toc83029356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18</w:t>
        </w:r>
        <w:r w:rsidR="002F4B81" w:rsidRPr="002F4B81">
          <w:rPr>
            <w:rFonts w:ascii="Calibri" w:eastAsia="Times New Roman" w:hAnsi="Calibri" w:cs="Times New Roman"/>
            <w:noProof/>
            <w:webHidden/>
            <w:szCs w:val="20"/>
          </w:rPr>
          <w:fldChar w:fldCharType="end"/>
        </w:r>
      </w:hyperlink>
    </w:p>
    <w:p w14:paraId="58DB1126"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57" w:history="1">
        <w:r w:rsidR="002F4B81" w:rsidRPr="002F4B81">
          <w:rPr>
            <w:rFonts w:ascii="Calibri" w:eastAsia="Times New Roman" w:hAnsi="Calibri" w:cs="Times New Roman"/>
            <w:noProof/>
            <w:color w:val="0563C1"/>
            <w:szCs w:val="20"/>
            <w:u w:val="single"/>
          </w:rPr>
          <w:t>7.3</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Trial withdrawal criteria</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_Toc83029357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20</w:t>
        </w:r>
        <w:r w:rsidR="002F4B81" w:rsidRPr="002F4B81">
          <w:rPr>
            <w:rFonts w:ascii="Calibri" w:eastAsia="Times New Roman" w:hAnsi="Calibri" w:cs="Times New Roman"/>
            <w:noProof/>
            <w:webHidden/>
            <w:szCs w:val="20"/>
          </w:rPr>
          <w:fldChar w:fldCharType="end"/>
        </w:r>
      </w:hyperlink>
    </w:p>
    <w:p w14:paraId="672DBD23"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58" w:history="1">
        <w:r w:rsidR="002F4B81" w:rsidRPr="002F4B81">
          <w:rPr>
            <w:rFonts w:ascii="Calibri" w:eastAsia="Times New Roman" w:hAnsi="Calibri" w:cs="Times New Roman"/>
            <w:noProof/>
            <w:color w:val="0563C1"/>
            <w:szCs w:val="20"/>
            <w:u w:val="single"/>
          </w:rPr>
          <w:t>7.4</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End of trial</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_Toc83029358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20</w:t>
        </w:r>
        <w:r w:rsidR="002F4B81" w:rsidRPr="002F4B81">
          <w:rPr>
            <w:rFonts w:ascii="Calibri" w:eastAsia="Times New Roman" w:hAnsi="Calibri" w:cs="Times New Roman"/>
            <w:noProof/>
            <w:webHidden/>
            <w:szCs w:val="20"/>
          </w:rPr>
          <w:fldChar w:fldCharType="end"/>
        </w:r>
      </w:hyperlink>
    </w:p>
    <w:p w14:paraId="60BDDBDA"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59" w:history="1">
        <w:r w:rsidR="002F4B81" w:rsidRPr="002F4B81">
          <w:rPr>
            <w:rFonts w:ascii="Calibri" w:eastAsia="Times New Roman" w:hAnsi="Calibri" w:cs="Times New Roman"/>
            <w:b/>
            <w:noProof/>
            <w:color w:val="0563C1"/>
            <w:sz w:val="26"/>
            <w:szCs w:val="36"/>
            <w:u w:val="single"/>
          </w:rPr>
          <w:t>8.</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OUTCOMES</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_Toc83029359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20</w:t>
        </w:r>
        <w:r w:rsidR="002F4B81" w:rsidRPr="002F4B81">
          <w:rPr>
            <w:rFonts w:ascii="Tahoma" w:eastAsia="Times New Roman" w:hAnsi="Tahoma" w:cs="Times New Roman"/>
            <w:b/>
            <w:noProof/>
            <w:webHidden/>
            <w:sz w:val="26"/>
            <w:szCs w:val="36"/>
          </w:rPr>
          <w:fldChar w:fldCharType="end"/>
        </w:r>
      </w:hyperlink>
    </w:p>
    <w:p w14:paraId="6EA828DD"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60" w:history="1">
        <w:r w:rsidR="002F4B81" w:rsidRPr="002F4B81">
          <w:rPr>
            <w:rFonts w:ascii="Calibri" w:eastAsia="Times New Roman" w:hAnsi="Calibri" w:cs="Times New Roman"/>
            <w:noProof/>
            <w:color w:val="0563C1"/>
            <w:szCs w:val="20"/>
            <w:u w:val="single"/>
          </w:rPr>
          <w:t>8.1</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Primary Outcome Measures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_Toc83029360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20</w:t>
        </w:r>
        <w:r w:rsidR="002F4B81" w:rsidRPr="002F4B81">
          <w:rPr>
            <w:rFonts w:ascii="Calibri" w:eastAsia="Times New Roman" w:hAnsi="Calibri" w:cs="Times New Roman"/>
            <w:noProof/>
            <w:webHidden/>
            <w:szCs w:val="20"/>
          </w:rPr>
          <w:fldChar w:fldCharType="end"/>
        </w:r>
      </w:hyperlink>
    </w:p>
    <w:p w14:paraId="44348AFD"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61" w:history="1">
        <w:r w:rsidR="002F4B81" w:rsidRPr="002F4B81">
          <w:rPr>
            <w:rFonts w:ascii="Calibri" w:eastAsia="Times New Roman" w:hAnsi="Calibri" w:cs="Times New Roman"/>
            <w:noProof/>
            <w:color w:val="0563C1"/>
            <w:szCs w:val="20"/>
            <w:u w:val="single"/>
          </w:rPr>
          <w:t>8.1.1.</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Calculation of eGFR</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_Toc83029361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21</w:t>
        </w:r>
        <w:r w:rsidR="002F4B81" w:rsidRPr="002F4B81">
          <w:rPr>
            <w:rFonts w:ascii="Calibri" w:eastAsia="Times New Roman" w:hAnsi="Calibri" w:cs="Times New Roman"/>
            <w:noProof/>
            <w:webHidden/>
            <w:szCs w:val="20"/>
          </w:rPr>
          <w:fldChar w:fldCharType="end"/>
        </w:r>
      </w:hyperlink>
    </w:p>
    <w:p w14:paraId="2EC4EA8C"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62" w:history="1">
        <w:r w:rsidR="002F4B81" w:rsidRPr="002F4B81">
          <w:rPr>
            <w:rFonts w:ascii="Calibri" w:eastAsia="Times New Roman" w:hAnsi="Calibri" w:cs="Times New Roman"/>
            <w:noProof/>
            <w:color w:val="0563C1"/>
            <w:szCs w:val="20"/>
            <w:u w:val="single"/>
          </w:rPr>
          <w:t>8.2</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Secondary Outcome Measures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_Toc83029362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21</w:t>
        </w:r>
        <w:r w:rsidR="002F4B81" w:rsidRPr="002F4B81">
          <w:rPr>
            <w:rFonts w:ascii="Calibri" w:eastAsia="Times New Roman" w:hAnsi="Calibri" w:cs="Times New Roman"/>
            <w:noProof/>
            <w:webHidden/>
            <w:szCs w:val="20"/>
          </w:rPr>
          <w:fldChar w:fldCharType="end"/>
        </w:r>
      </w:hyperlink>
    </w:p>
    <w:p w14:paraId="5366C025"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63" w:history="1">
        <w:r w:rsidR="002F4B81" w:rsidRPr="002F4B81">
          <w:rPr>
            <w:rFonts w:ascii="Calibri" w:eastAsia="Times New Roman" w:hAnsi="Calibri" w:cs="Times New Roman"/>
            <w:noProof/>
            <w:color w:val="0563C1"/>
            <w:szCs w:val="20"/>
            <w:u w:val="single"/>
          </w:rPr>
          <w:t>8.3</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Disease Relapse</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_Toc83029363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22</w:t>
        </w:r>
        <w:r w:rsidR="002F4B81" w:rsidRPr="002F4B81">
          <w:rPr>
            <w:rFonts w:ascii="Calibri" w:eastAsia="Times New Roman" w:hAnsi="Calibri" w:cs="Times New Roman"/>
            <w:noProof/>
            <w:webHidden/>
            <w:szCs w:val="20"/>
          </w:rPr>
          <w:fldChar w:fldCharType="end"/>
        </w:r>
      </w:hyperlink>
    </w:p>
    <w:p w14:paraId="27E629A1"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64" w:history="1">
        <w:r w:rsidR="002F4B81" w:rsidRPr="002F4B81">
          <w:rPr>
            <w:rFonts w:ascii="Calibri" w:eastAsia="Times New Roman" w:hAnsi="Calibri" w:cs="Times New Roman"/>
            <w:noProof/>
            <w:color w:val="0563C1"/>
            <w:szCs w:val="20"/>
            <w:u w:val="single"/>
          </w:rPr>
          <w:t>8.3.1.</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Definition of disease relapse</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_Toc83029364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22</w:t>
        </w:r>
        <w:r w:rsidR="002F4B81" w:rsidRPr="002F4B81">
          <w:rPr>
            <w:rFonts w:ascii="Calibri" w:eastAsia="Times New Roman" w:hAnsi="Calibri" w:cs="Times New Roman"/>
            <w:noProof/>
            <w:webHidden/>
            <w:szCs w:val="20"/>
          </w:rPr>
          <w:fldChar w:fldCharType="end"/>
        </w:r>
      </w:hyperlink>
    </w:p>
    <w:p w14:paraId="43D7C554"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65" w:history="1">
        <w:r w:rsidR="002F4B81" w:rsidRPr="002F4B81">
          <w:rPr>
            <w:rFonts w:ascii="Calibri" w:eastAsia="Times New Roman" w:hAnsi="Calibri" w:cs="Times New Roman"/>
            <w:b/>
            <w:noProof/>
            <w:color w:val="0563C1"/>
            <w:sz w:val="26"/>
            <w:szCs w:val="36"/>
            <w:u w:val="single"/>
          </w:rPr>
          <w:t>9.</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STATISTICAL ANALYSES</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_Toc83029365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22</w:t>
        </w:r>
        <w:r w:rsidR="002F4B81" w:rsidRPr="002F4B81">
          <w:rPr>
            <w:rFonts w:ascii="Tahoma" w:eastAsia="Times New Roman" w:hAnsi="Tahoma" w:cs="Times New Roman"/>
            <w:b/>
            <w:noProof/>
            <w:webHidden/>
            <w:sz w:val="26"/>
            <w:szCs w:val="36"/>
          </w:rPr>
          <w:fldChar w:fldCharType="end"/>
        </w:r>
      </w:hyperlink>
    </w:p>
    <w:p w14:paraId="47B9F810"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66" w:history="1">
        <w:r w:rsidR="002F4B81" w:rsidRPr="002F4B81">
          <w:rPr>
            <w:rFonts w:ascii="Calibri" w:eastAsia="Times New Roman" w:hAnsi="Calibri" w:cs="Times New Roman"/>
            <w:noProof/>
            <w:color w:val="0563C1"/>
            <w:szCs w:val="20"/>
            <w:u w:val="single"/>
          </w:rPr>
          <w:t>9.1</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Sample size calculation and clinically important difference</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_Toc83029366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22</w:t>
        </w:r>
        <w:r w:rsidR="002F4B81" w:rsidRPr="002F4B81">
          <w:rPr>
            <w:rFonts w:ascii="Calibri" w:eastAsia="Times New Roman" w:hAnsi="Calibri" w:cs="Times New Roman"/>
            <w:noProof/>
            <w:webHidden/>
            <w:szCs w:val="20"/>
          </w:rPr>
          <w:fldChar w:fldCharType="end"/>
        </w:r>
      </w:hyperlink>
    </w:p>
    <w:p w14:paraId="446E61C4"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67" w:history="1">
        <w:r w:rsidR="002F4B81" w:rsidRPr="002F4B81">
          <w:rPr>
            <w:rFonts w:ascii="Calibri" w:eastAsia="Times New Roman" w:hAnsi="Calibri" w:cs="Times New Roman"/>
            <w:noProof/>
            <w:color w:val="0563C1"/>
            <w:szCs w:val="20"/>
            <w:u w:val="single"/>
          </w:rPr>
          <w:t>9.2</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Missing data</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_Toc83029367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23</w:t>
        </w:r>
        <w:r w:rsidR="002F4B81" w:rsidRPr="002F4B81">
          <w:rPr>
            <w:rFonts w:ascii="Calibri" w:eastAsia="Times New Roman" w:hAnsi="Calibri" w:cs="Times New Roman"/>
            <w:noProof/>
            <w:webHidden/>
            <w:szCs w:val="20"/>
          </w:rPr>
          <w:fldChar w:fldCharType="end"/>
        </w:r>
      </w:hyperlink>
    </w:p>
    <w:p w14:paraId="59A981E1"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68" w:history="1">
        <w:r w:rsidR="002F4B81" w:rsidRPr="002F4B81">
          <w:rPr>
            <w:rFonts w:ascii="Calibri" w:eastAsia="Times New Roman" w:hAnsi="Calibri" w:cs="Times New Roman"/>
            <w:noProof/>
            <w:color w:val="0563C1"/>
            <w:szCs w:val="20"/>
            <w:u w:val="single"/>
          </w:rPr>
          <w:t>9.3</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Descriptive Analyses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_Toc83029368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23</w:t>
        </w:r>
        <w:r w:rsidR="002F4B81" w:rsidRPr="002F4B81">
          <w:rPr>
            <w:rFonts w:ascii="Calibri" w:eastAsia="Times New Roman" w:hAnsi="Calibri" w:cs="Times New Roman"/>
            <w:noProof/>
            <w:webHidden/>
            <w:szCs w:val="20"/>
          </w:rPr>
          <w:fldChar w:fldCharType="end"/>
        </w:r>
      </w:hyperlink>
    </w:p>
    <w:p w14:paraId="56E8813C"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69" w:history="1">
        <w:r w:rsidR="002F4B81" w:rsidRPr="002F4B81">
          <w:rPr>
            <w:rFonts w:ascii="Calibri" w:eastAsia="Times New Roman" w:hAnsi="Calibri" w:cs="Times New Roman"/>
            <w:noProof/>
            <w:color w:val="0563C1"/>
            <w:szCs w:val="20"/>
            <w:u w:val="single"/>
          </w:rPr>
          <w:t>9.4</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Analysis of the Primary Outcome Measure</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_Toc83029369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23</w:t>
        </w:r>
        <w:r w:rsidR="002F4B81" w:rsidRPr="002F4B81">
          <w:rPr>
            <w:rFonts w:ascii="Calibri" w:eastAsia="Times New Roman" w:hAnsi="Calibri" w:cs="Times New Roman"/>
            <w:noProof/>
            <w:webHidden/>
            <w:szCs w:val="20"/>
          </w:rPr>
          <w:fldChar w:fldCharType="end"/>
        </w:r>
      </w:hyperlink>
    </w:p>
    <w:p w14:paraId="30B2B53D"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70" w:history="1">
        <w:r w:rsidR="002F4B81" w:rsidRPr="002F4B81">
          <w:rPr>
            <w:rFonts w:ascii="Calibri" w:eastAsia="Times New Roman" w:hAnsi="Calibri" w:cs="Times New Roman"/>
            <w:noProof/>
            <w:color w:val="0563C1"/>
            <w:szCs w:val="20"/>
            <w:u w:val="single"/>
          </w:rPr>
          <w:t>9.5</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Analysis of Secondary Outcome Measures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_Toc83029370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26</w:t>
        </w:r>
        <w:r w:rsidR="002F4B81" w:rsidRPr="002F4B81">
          <w:rPr>
            <w:rFonts w:ascii="Calibri" w:eastAsia="Times New Roman" w:hAnsi="Calibri" w:cs="Times New Roman"/>
            <w:noProof/>
            <w:webHidden/>
            <w:szCs w:val="20"/>
          </w:rPr>
          <w:fldChar w:fldCharType="end"/>
        </w:r>
      </w:hyperlink>
    </w:p>
    <w:p w14:paraId="52DFA1DA"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71" w:history="1">
        <w:r w:rsidR="002F4B81" w:rsidRPr="002F4B81">
          <w:rPr>
            <w:rFonts w:ascii="Calibri" w:eastAsia="Times New Roman" w:hAnsi="Calibri" w:cs="Times New Roman"/>
            <w:noProof/>
            <w:color w:val="0563C1"/>
            <w:szCs w:val="20"/>
            <w:u w:val="single"/>
          </w:rPr>
          <w:t>9.6</w:t>
        </w:r>
        <w:r w:rsidR="002F4B81" w:rsidRPr="002F4B81">
          <w:rPr>
            <w:rFonts w:ascii="Calibri" w:eastAsia="Times New Roman" w:hAnsi="Calibri" w:cs="Times New Roman"/>
            <w:noProof/>
            <w:lang w:eastAsia="en-GB"/>
          </w:rPr>
          <w:tab/>
        </w:r>
        <w:r w:rsidR="002F4B81" w:rsidRPr="002F4B81">
          <w:rPr>
            <w:rFonts w:ascii="Calibri" w:eastAsia="Times New Roman" w:hAnsi="Calibri" w:cs="Times New Roman"/>
            <w:noProof/>
            <w:color w:val="0563C1"/>
            <w:szCs w:val="20"/>
            <w:u w:val="single"/>
          </w:rPr>
          <w:t>Statistical Software</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_Toc83029371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28</w:t>
        </w:r>
        <w:r w:rsidR="002F4B81" w:rsidRPr="002F4B81">
          <w:rPr>
            <w:rFonts w:ascii="Calibri" w:eastAsia="Times New Roman" w:hAnsi="Calibri" w:cs="Times New Roman"/>
            <w:noProof/>
            <w:webHidden/>
            <w:szCs w:val="20"/>
          </w:rPr>
          <w:fldChar w:fldCharType="end"/>
        </w:r>
      </w:hyperlink>
    </w:p>
    <w:p w14:paraId="685106FA"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72" w:history="1">
        <w:r w:rsidR="002F4B81" w:rsidRPr="002F4B81">
          <w:rPr>
            <w:rFonts w:ascii="Calibri" w:eastAsia="Times New Roman" w:hAnsi="Calibri" w:cs="Times New Roman"/>
            <w:b/>
            <w:noProof/>
            <w:color w:val="0563C1"/>
            <w:sz w:val="26"/>
            <w:szCs w:val="36"/>
            <w:u w:val="single"/>
          </w:rPr>
          <w:t>10.</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SUBGROUP ANALYSES</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_Toc83029372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29</w:t>
        </w:r>
        <w:r w:rsidR="002F4B81" w:rsidRPr="002F4B81">
          <w:rPr>
            <w:rFonts w:ascii="Tahoma" w:eastAsia="Times New Roman" w:hAnsi="Tahoma" w:cs="Times New Roman"/>
            <w:b/>
            <w:noProof/>
            <w:webHidden/>
            <w:sz w:val="26"/>
            <w:szCs w:val="36"/>
          </w:rPr>
          <w:fldChar w:fldCharType="end"/>
        </w:r>
      </w:hyperlink>
    </w:p>
    <w:p w14:paraId="07859C69"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73" w:history="1">
        <w:r w:rsidR="002F4B81" w:rsidRPr="002F4B81">
          <w:rPr>
            <w:rFonts w:ascii="Calibri" w:eastAsia="Times New Roman" w:hAnsi="Calibri" w:cs="Times New Roman"/>
            <w:b/>
            <w:noProof/>
            <w:color w:val="0563C1"/>
            <w:sz w:val="26"/>
            <w:szCs w:val="36"/>
            <w:u w:val="single"/>
          </w:rPr>
          <w:t>11.</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FUTURE ANALYSES</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_Toc83029373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29</w:t>
        </w:r>
        <w:r w:rsidR="002F4B81" w:rsidRPr="002F4B81">
          <w:rPr>
            <w:rFonts w:ascii="Tahoma" w:eastAsia="Times New Roman" w:hAnsi="Tahoma" w:cs="Times New Roman"/>
            <w:b/>
            <w:noProof/>
            <w:webHidden/>
            <w:sz w:val="26"/>
            <w:szCs w:val="36"/>
          </w:rPr>
          <w:fldChar w:fldCharType="end"/>
        </w:r>
      </w:hyperlink>
    </w:p>
    <w:p w14:paraId="2BCE17BA"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74" w:history="1">
        <w:r w:rsidR="002F4B81" w:rsidRPr="002F4B81">
          <w:rPr>
            <w:rFonts w:ascii="Calibri" w:eastAsia="Times New Roman" w:hAnsi="Calibri" w:cs="Times New Roman"/>
            <w:b/>
            <w:noProof/>
            <w:color w:val="0563C1"/>
            <w:sz w:val="26"/>
            <w:szCs w:val="36"/>
            <w:u w:val="single"/>
          </w:rPr>
          <w:t>12.</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STORAGE AND ARCHIVING</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_Toc83029374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29</w:t>
        </w:r>
        <w:r w:rsidR="002F4B81" w:rsidRPr="002F4B81">
          <w:rPr>
            <w:rFonts w:ascii="Tahoma" w:eastAsia="Times New Roman" w:hAnsi="Tahoma" w:cs="Times New Roman"/>
            <w:b/>
            <w:noProof/>
            <w:webHidden/>
            <w:sz w:val="26"/>
            <w:szCs w:val="36"/>
          </w:rPr>
          <w:fldChar w:fldCharType="end"/>
        </w:r>
      </w:hyperlink>
    </w:p>
    <w:p w14:paraId="1C70FB29"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75" w:history="1">
        <w:r w:rsidR="002F4B81" w:rsidRPr="002F4B81">
          <w:rPr>
            <w:rFonts w:ascii="Calibri" w:eastAsia="Times New Roman" w:hAnsi="Calibri" w:cs="Times New Roman"/>
            <w:noProof/>
            <w:color w:val="0563C1"/>
            <w:szCs w:val="20"/>
            <w:u w:val="single"/>
          </w:rPr>
          <w:t>Access to the Final Trial Dataset</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_Toc83029375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29</w:t>
        </w:r>
        <w:r w:rsidR="002F4B81" w:rsidRPr="002F4B81">
          <w:rPr>
            <w:rFonts w:ascii="Calibri" w:eastAsia="Times New Roman" w:hAnsi="Calibri" w:cs="Times New Roman"/>
            <w:noProof/>
            <w:webHidden/>
            <w:szCs w:val="20"/>
          </w:rPr>
          <w:fldChar w:fldCharType="end"/>
        </w:r>
      </w:hyperlink>
    </w:p>
    <w:p w14:paraId="35601D66"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76" w:history="1">
        <w:r w:rsidR="002F4B81" w:rsidRPr="002F4B81">
          <w:rPr>
            <w:rFonts w:ascii="Calibri" w:eastAsia="Times New Roman" w:hAnsi="Calibri" w:cs="Times New Roman"/>
            <w:noProof/>
            <w:color w:val="0563C1"/>
            <w:szCs w:val="20"/>
            <w:u w:val="single"/>
          </w:rPr>
          <w:t>Archiving</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_Toc83029376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30</w:t>
        </w:r>
        <w:r w:rsidR="002F4B81" w:rsidRPr="002F4B81">
          <w:rPr>
            <w:rFonts w:ascii="Calibri" w:eastAsia="Times New Roman" w:hAnsi="Calibri" w:cs="Times New Roman"/>
            <w:noProof/>
            <w:webHidden/>
            <w:szCs w:val="20"/>
          </w:rPr>
          <w:fldChar w:fldCharType="end"/>
        </w:r>
      </w:hyperlink>
    </w:p>
    <w:p w14:paraId="4354B329"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77" w:history="1">
        <w:r w:rsidR="002F4B81" w:rsidRPr="002F4B81">
          <w:rPr>
            <w:rFonts w:ascii="Calibri" w:eastAsia="Times New Roman" w:hAnsi="Calibri" w:cs="Times New Roman"/>
            <w:b/>
            <w:noProof/>
            <w:color w:val="0563C1"/>
            <w:sz w:val="26"/>
            <w:szCs w:val="36"/>
            <w:u w:val="single"/>
          </w:rPr>
          <w:t>13.</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REFERENCES</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_Toc83029377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30</w:t>
        </w:r>
        <w:r w:rsidR="002F4B81" w:rsidRPr="002F4B81">
          <w:rPr>
            <w:rFonts w:ascii="Tahoma" w:eastAsia="Times New Roman" w:hAnsi="Tahoma" w:cs="Times New Roman"/>
            <w:b/>
            <w:noProof/>
            <w:webHidden/>
            <w:sz w:val="26"/>
            <w:szCs w:val="36"/>
          </w:rPr>
          <w:fldChar w:fldCharType="end"/>
        </w:r>
      </w:hyperlink>
    </w:p>
    <w:p w14:paraId="236A1552" w14:textId="77777777" w:rsidR="002F4B81" w:rsidRPr="002F4B81" w:rsidRDefault="00BB214F" w:rsidP="002F4B81">
      <w:pPr>
        <w:tabs>
          <w:tab w:val="left" w:pos="851"/>
          <w:tab w:val="right" w:leader="dot" w:pos="8959"/>
        </w:tabs>
        <w:spacing w:before="120" w:after="0" w:line="240" w:lineRule="auto"/>
        <w:rPr>
          <w:rFonts w:ascii="Calibri" w:eastAsia="Times New Roman" w:hAnsi="Calibri" w:cs="Times New Roman"/>
          <w:b/>
          <w:noProof/>
          <w:lang w:eastAsia="en-GB"/>
        </w:rPr>
      </w:pPr>
      <w:hyperlink w:anchor="_Toc83029378" w:history="1">
        <w:r w:rsidR="002F4B81" w:rsidRPr="002F4B81">
          <w:rPr>
            <w:rFonts w:ascii="Calibri" w:eastAsia="Times New Roman" w:hAnsi="Calibri" w:cs="Times New Roman"/>
            <w:b/>
            <w:noProof/>
            <w:color w:val="0563C1"/>
            <w:sz w:val="26"/>
            <w:szCs w:val="36"/>
            <w:u w:val="single"/>
          </w:rPr>
          <w:t>14.</w:t>
        </w:r>
        <w:r w:rsidR="002F4B81" w:rsidRPr="002F4B81">
          <w:rPr>
            <w:rFonts w:ascii="Calibri" w:eastAsia="Times New Roman" w:hAnsi="Calibri" w:cs="Times New Roman"/>
            <w:b/>
            <w:noProof/>
            <w:lang w:eastAsia="en-GB"/>
          </w:rPr>
          <w:tab/>
        </w:r>
        <w:r w:rsidR="002F4B81" w:rsidRPr="002F4B81">
          <w:rPr>
            <w:rFonts w:ascii="Calibri" w:eastAsia="Times New Roman" w:hAnsi="Calibri" w:cs="Times New Roman"/>
            <w:b/>
            <w:noProof/>
            <w:color w:val="0563C1"/>
            <w:sz w:val="26"/>
            <w:szCs w:val="36"/>
            <w:u w:val="single"/>
          </w:rPr>
          <w:t>APPENDIX 1</w:t>
        </w:r>
        <w:r w:rsidR="002F4B81" w:rsidRPr="002F4B81">
          <w:rPr>
            <w:rFonts w:ascii="Tahoma" w:eastAsia="Times New Roman" w:hAnsi="Tahoma" w:cs="Times New Roman"/>
            <w:b/>
            <w:noProof/>
            <w:webHidden/>
            <w:sz w:val="26"/>
            <w:szCs w:val="36"/>
          </w:rPr>
          <w:tab/>
        </w:r>
        <w:r w:rsidR="002F4B81" w:rsidRPr="002F4B81">
          <w:rPr>
            <w:rFonts w:ascii="Tahoma" w:eastAsia="Times New Roman" w:hAnsi="Tahoma" w:cs="Times New Roman"/>
            <w:b/>
            <w:noProof/>
            <w:webHidden/>
            <w:sz w:val="26"/>
            <w:szCs w:val="36"/>
          </w:rPr>
          <w:fldChar w:fldCharType="begin"/>
        </w:r>
        <w:r w:rsidR="002F4B81" w:rsidRPr="002F4B81">
          <w:rPr>
            <w:rFonts w:ascii="Tahoma" w:eastAsia="Times New Roman" w:hAnsi="Tahoma" w:cs="Times New Roman"/>
            <w:b/>
            <w:noProof/>
            <w:webHidden/>
            <w:sz w:val="26"/>
            <w:szCs w:val="36"/>
          </w:rPr>
          <w:instrText xml:space="preserve"> PAGEREF _Toc83029378 \h </w:instrText>
        </w:r>
        <w:r w:rsidR="002F4B81" w:rsidRPr="002F4B81">
          <w:rPr>
            <w:rFonts w:ascii="Tahoma" w:eastAsia="Times New Roman" w:hAnsi="Tahoma" w:cs="Times New Roman"/>
            <w:b/>
            <w:noProof/>
            <w:webHidden/>
            <w:sz w:val="26"/>
            <w:szCs w:val="36"/>
          </w:rPr>
        </w:r>
        <w:r w:rsidR="002F4B81" w:rsidRPr="002F4B81">
          <w:rPr>
            <w:rFonts w:ascii="Tahoma" w:eastAsia="Times New Roman" w:hAnsi="Tahoma" w:cs="Times New Roman"/>
            <w:b/>
            <w:noProof/>
            <w:webHidden/>
            <w:sz w:val="26"/>
            <w:szCs w:val="36"/>
          </w:rPr>
          <w:fldChar w:fldCharType="separate"/>
        </w:r>
        <w:r w:rsidR="002F4B81" w:rsidRPr="002F4B81">
          <w:rPr>
            <w:rFonts w:ascii="Tahoma" w:eastAsia="Times New Roman" w:hAnsi="Tahoma" w:cs="Times New Roman"/>
            <w:b/>
            <w:noProof/>
            <w:webHidden/>
            <w:sz w:val="26"/>
            <w:szCs w:val="36"/>
          </w:rPr>
          <w:t>30</w:t>
        </w:r>
        <w:r w:rsidR="002F4B81" w:rsidRPr="002F4B81">
          <w:rPr>
            <w:rFonts w:ascii="Tahoma" w:eastAsia="Times New Roman" w:hAnsi="Tahoma" w:cs="Times New Roman"/>
            <w:b/>
            <w:noProof/>
            <w:webHidden/>
            <w:sz w:val="26"/>
            <w:szCs w:val="36"/>
          </w:rPr>
          <w:fldChar w:fldCharType="end"/>
        </w:r>
      </w:hyperlink>
    </w:p>
    <w:p w14:paraId="37C0B412"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79" w:history="1">
        <w:r w:rsidR="002F4B81" w:rsidRPr="002F4B81">
          <w:rPr>
            <w:rFonts w:ascii="Calibri" w:eastAsia="Times New Roman" w:hAnsi="Calibri" w:cs="Times New Roman"/>
            <w:noProof/>
            <w:color w:val="0563C1"/>
            <w:szCs w:val="20"/>
            <w:u w:val="single"/>
          </w:rPr>
          <w:t>Trial Assessments</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_Toc83029379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30</w:t>
        </w:r>
        <w:r w:rsidR="002F4B81" w:rsidRPr="002F4B81">
          <w:rPr>
            <w:rFonts w:ascii="Calibri" w:eastAsia="Times New Roman" w:hAnsi="Calibri" w:cs="Times New Roman"/>
            <w:noProof/>
            <w:webHidden/>
            <w:szCs w:val="20"/>
          </w:rPr>
          <w:fldChar w:fldCharType="end"/>
        </w:r>
      </w:hyperlink>
    </w:p>
    <w:p w14:paraId="76C8E2BD"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80" w:history="1">
        <w:r w:rsidR="002F4B81" w:rsidRPr="002F4B81">
          <w:rPr>
            <w:rFonts w:ascii="Calibri" w:eastAsia="Times New Roman" w:hAnsi="Calibri" w:cs="Times New Roman"/>
            <w:noProof/>
            <w:color w:val="0563C1"/>
            <w:szCs w:val="20"/>
            <w:u w:val="single"/>
          </w:rPr>
          <w:t>Baseline Assessments &amp; Data (Visit 2, Day 0)</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_Toc83029380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30</w:t>
        </w:r>
        <w:r w:rsidR="002F4B81" w:rsidRPr="002F4B81">
          <w:rPr>
            <w:rFonts w:ascii="Calibri" w:eastAsia="Times New Roman" w:hAnsi="Calibri" w:cs="Times New Roman"/>
            <w:noProof/>
            <w:webHidden/>
            <w:szCs w:val="20"/>
          </w:rPr>
          <w:fldChar w:fldCharType="end"/>
        </w:r>
      </w:hyperlink>
    </w:p>
    <w:p w14:paraId="13AF6273" w14:textId="77777777" w:rsidR="002F4B81" w:rsidRPr="002F4B81" w:rsidRDefault="00BB214F" w:rsidP="002F4B81">
      <w:pPr>
        <w:tabs>
          <w:tab w:val="left" w:pos="1100"/>
          <w:tab w:val="right" w:leader="dot" w:pos="8959"/>
        </w:tabs>
        <w:spacing w:after="0" w:line="240" w:lineRule="auto"/>
        <w:ind w:left="360" w:right="256"/>
        <w:rPr>
          <w:rFonts w:ascii="Calibri" w:eastAsia="Times New Roman" w:hAnsi="Calibri" w:cs="Times New Roman"/>
          <w:noProof/>
          <w:lang w:eastAsia="en-GB"/>
        </w:rPr>
      </w:pPr>
      <w:hyperlink w:anchor="_Toc83029381" w:history="1">
        <w:r w:rsidR="002F4B81" w:rsidRPr="002F4B81">
          <w:rPr>
            <w:rFonts w:ascii="Calibri" w:eastAsia="Times New Roman" w:hAnsi="Calibri" w:cs="Times New Roman"/>
            <w:noProof/>
            <w:color w:val="0563C1"/>
            <w:szCs w:val="20"/>
            <w:u w:val="single"/>
          </w:rPr>
          <w:t>Study Visits (Visits 3-34)</w:t>
        </w:r>
        <w:r w:rsidR="002F4B81" w:rsidRPr="002F4B81">
          <w:rPr>
            <w:rFonts w:ascii="Calibri" w:eastAsia="Times New Roman" w:hAnsi="Calibri" w:cs="Times New Roman"/>
            <w:noProof/>
            <w:webHidden/>
            <w:szCs w:val="20"/>
          </w:rPr>
          <w:tab/>
        </w:r>
        <w:r w:rsidR="002F4B81" w:rsidRPr="002F4B81">
          <w:rPr>
            <w:rFonts w:ascii="Calibri" w:eastAsia="Times New Roman" w:hAnsi="Calibri" w:cs="Times New Roman"/>
            <w:noProof/>
            <w:webHidden/>
            <w:szCs w:val="20"/>
          </w:rPr>
          <w:fldChar w:fldCharType="begin"/>
        </w:r>
        <w:r w:rsidR="002F4B81" w:rsidRPr="002F4B81">
          <w:rPr>
            <w:rFonts w:ascii="Calibri" w:eastAsia="Times New Roman" w:hAnsi="Calibri" w:cs="Times New Roman"/>
            <w:noProof/>
            <w:webHidden/>
            <w:szCs w:val="20"/>
          </w:rPr>
          <w:instrText xml:space="preserve"> PAGEREF _Toc83029381 \h </w:instrText>
        </w:r>
        <w:r w:rsidR="002F4B81" w:rsidRPr="002F4B81">
          <w:rPr>
            <w:rFonts w:ascii="Calibri" w:eastAsia="Times New Roman" w:hAnsi="Calibri" w:cs="Times New Roman"/>
            <w:noProof/>
            <w:webHidden/>
            <w:szCs w:val="20"/>
          </w:rPr>
        </w:r>
        <w:r w:rsidR="002F4B81" w:rsidRPr="002F4B81">
          <w:rPr>
            <w:rFonts w:ascii="Calibri" w:eastAsia="Times New Roman" w:hAnsi="Calibri" w:cs="Times New Roman"/>
            <w:noProof/>
            <w:webHidden/>
            <w:szCs w:val="20"/>
          </w:rPr>
          <w:fldChar w:fldCharType="separate"/>
        </w:r>
        <w:r w:rsidR="002F4B81" w:rsidRPr="002F4B81">
          <w:rPr>
            <w:rFonts w:ascii="Calibri" w:eastAsia="Times New Roman" w:hAnsi="Calibri" w:cs="Times New Roman"/>
            <w:noProof/>
            <w:webHidden/>
            <w:szCs w:val="20"/>
          </w:rPr>
          <w:t>31</w:t>
        </w:r>
        <w:r w:rsidR="002F4B81" w:rsidRPr="002F4B81">
          <w:rPr>
            <w:rFonts w:ascii="Calibri" w:eastAsia="Times New Roman" w:hAnsi="Calibri" w:cs="Times New Roman"/>
            <w:noProof/>
            <w:webHidden/>
            <w:szCs w:val="20"/>
          </w:rPr>
          <w:fldChar w:fldCharType="end"/>
        </w:r>
      </w:hyperlink>
    </w:p>
    <w:p w14:paraId="4A609DEF" w14:textId="77777777" w:rsidR="002F4B81" w:rsidRPr="002F4B81" w:rsidRDefault="002F4B81" w:rsidP="002F4B81">
      <w:pPr>
        <w:tabs>
          <w:tab w:val="left" w:pos="851"/>
          <w:tab w:val="right" w:leader="dot" w:pos="8959"/>
        </w:tabs>
        <w:spacing w:before="120" w:after="0" w:line="240" w:lineRule="auto"/>
        <w:rPr>
          <w:rFonts w:ascii="Tahoma" w:eastAsia="Times New Roman" w:hAnsi="Tahoma" w:cs="Times New Roman"/>
          <w:b/>
          <w:noProof/>
          <w:sz w:val="26"/>
          <w:szCs w:val="36"/>
        </w:rPr>
      </w:pPr>
      <w:r w:rsidRPr="002F4B81">
        <w:rPr>
          <w:rFonts w:ascii="Tahoma" w:eastAsia="Times New Roman" w:hAnsi="Tahoma" w:cs="Times New Roman"/>
          <w:b/>
          <w:noProof/>
          <w:sz w:val="26"/>
          <w:szCs w:val="36"/>
        </w:rPr>
        <w:fldChar w:fldCharType="end"/>
      </w:r>
    </w:p>
    <w:p w14:paraId="7797B097" w14:textId="77777777" w:rsidR="002F4B81" w:rsidRPr="002F4B81" w:rsidRDefault="002F4B81" w:rsidP="002F4B81">
      <w:pPr>
        <w:spacing w:after="0" w:line="240" w:lineRule="auto"/>
        <w:rPr>
          <w:rFonts w:ascii="Tahoma" w:eastAsia="Times New Roman" w:hAnsi="Tahoma" w:cs="Times New Roman"/>
          <w:szCs w:val="20"/>
        </w:rPr>
      </w:pPr>
    </w:p>
    <w:p w14:paraId="115E77BC" w14:textId="77777777" w:rsidR="002F4B81" w:rsidRPr="002F4B81" w:rsidRDefault="002F4B81" w:rsidP="002F4B81">
      <w:pPr>
        <w:spacing w:after="0" w:line="240" w:lineRule="auto"/>
        <w:rPr>
          <w:rFonts w:ascii="Tahoma" w:eastAsia="Times New Roman" w:hAnsi="Tahoma" w:cs="Times New Roman"/>
          <w:szCs w:val="20"/>
        </w:rPr>
      </w:pPr>
    </w:p>
    <w:p w14:paraId="702429E8" w14:textId="77777777" w:rsidR="002F4B81" w:rsidRPr="002F4B81" w:rsidRDefault="002F4B81" w:rsidP="002F4B81">
      <w:pPr>
        <w:spacing w:after="0" w:line="240" w:lineRule="auto"/>
        <w:rPr>
          <w:rFonts w:ascii="Tahoma" w:eastAsia="Times New Roman" w:hAnsi="Tahoma" w:cs="Times New Roman"/>
          <w:szCs w:val="20"/>
        </w:rPr>
      </w:pPr>
    </w:p>
    <w:p w14:paraId="3668957B" w14:textId="77777777" w:rsidR="002F4B81" w:rsidRPr="002F4B81" w:rsidRDefault="002F4B81" w:rsidP="002F4B81">
      <w:pPr>
        <w:spacing w:after="0" w:line="240" w:lineRule="auto"/>
        <w:rPr>
          <w:rFonts w:ascii="Tahoma" w:eastAsia="Times New Roman" w:hAnsi="Tahoma" w:cs="Times New Roman"/>
          <w:szCs w:val="20"/>
        </w:rPr>
      </w:pPr>
    </w:p>
    <w:p w14:paraId="653B4E3F" w14:textId="77777777" w:rsidR="002F4B81" w:rsidRPr="002F4B81" w:rsidRDefault="002F4B81" w:rsidP="002F4B81">
      <w:pPr>
        <w:spacing w:after="0" w:line="240" w:lineRule="auto"/>
        <w:rPr>
          <w:rFonts w:ascii="Tahoma" w:eastAsia="Times New Roman" w:hAnsi="Tahoma" w:cs="Times New Roman"/>
          <w:szCs w:val="20"/>
        </w:rPr>
      </w:pPr>
    </w:p>
    <w:p w14:paraId="2F35BA6D" w14:textId="77777777" w:rsidR="002F4B81" w:rsidRPr="002F4B81" w:rsidRDefault="002F4B81" w:rsidP="002F4B81">
      <w:pPr>
        <w:spacing w:after="0" w:line="240" w:lineRule="auto"/>
        <w:rPr>
          <w:rFonts w:ascii="Tahoma" w:eastAsia="Times New Roman" w:hAnsi="Tahoma" w:cs="Times New Roman"/>
          <w:szCs w:val="20"/>
        </w:rPr>
      </w:pPr>
    </w:p>
    <w:p w14:paraId="3B3DC4E2" w14:textId="77777777" w:rsidR="002F4B81" w:rsidRPr="002F4B81" w:rsidRDefault="002F4B81" w:rsidP="002F4B81">
      <w:pPr>
        <w:spacing w:after="0" w:line="240" w:lineRule="auto"/>
        <w:rPr>
          <w:rFonts w:ascii="Tahoma" w:eastAsia="Times New Roman" w:hAnsi="Tahoma" w:cs="Times New Roman"/>
          <w:szCs w:val="20"/>
        </w:rPr>
      </w:pPr>
    </w:p>
    <w:p w14:paraId="4BB6F169" w14:textId="77777777" w:rsidR="002F4B81" w:rsidRPr="002F4B81" w:rsidRDefault="002F4B81" w:rsidP="002F4B81">
      <w:pPr>
        <w:spacing w:after="0" w:line="240" w:lineRule="auto"/>
        <w:rPr>
          <w:rFonts w:ascii="Tahoma" w:eastAsia="Times New Roman" w:hAnsi="Tahoma" w:cs="Times New Roman"/>
          <w:szCs w:val="20"/>
        </w:rPr>
      </w:pPr>
    </w:p>
    <w:p w14:paraId="445824C8" w14:textId="77777777" w:rsidR="002F4B81" w:rsidRPr="002F4B81" w:rsidRDefault="002F4B81" w:rsidP="002F4B81">
      <w:pPr>
        <w:spacing w:after="0" w:line="240" w:lineRule="auto"/>
        <w:rPr>
          <w:rFonts w:ascii="Tahoma" w:eastAsia="Times New Roman" w:hAnsi="Tahoma" w:cs="Times New Roman"/>
          <w:szCs w:val="20"/>
        </w:rPr>
      </w:pPr>
    </w:p>
    <w:p w14:paraId="0487EC1E" w14:textId="77777777" w:rsidR="002F4B81" w:rsidRPr="002F4B81" w:rsidRDefault="002F4B81" w:rsidP="002F4B81">
      <w:pPr>
        <w:spacing w:after="0" w:line="240" w:lineRule="auto"/>
        <w:rPr>
          <w:rFonts w:ascii="Tahoma" w:eastAsia="Times New Roman" w:hAnsi="Tahoma" w:cs="Times New Roman"/>
          <w:szCs w:val="20"/>
        </w:rPr>
      </w:pPr>
    </w:p>
    <w:p w14:paraId="6D79FE1B" w14:textId="77777777" w:rsidR="002F4B81" w:rsidRPr="002F4B81" w:rsidRDefault="002F4B81" w:rsidP="002F4B81">
      <w:pPr>
        <w:spacing w:after="0" w:line="240" w:lineRule="auto"/>
        <w:rPr>
          <w:rFonts w:ascii="Tahoma" w:eastAsia="Times New Roman" w:hAnsi="Tahoma" w:cs="Times New Roman"/>
          <w:szCs w:val="20"/>
        </w:rPr>
      </w:pPr>
    </w:p>
    <w:p w14:paraId="7C164F63" w14:textId="77777777" w:rsidR="002F4B81" w:rsidRPr="002F4B81" w:rsidRDefault="002F4B81" w:rsidP="002F4B81">
      <w:pPr>
        <w:spacing w:after="0" w:line="240" w:lineRule="auto"/>
        <w:rPr>
          <w:rFonts w:ascii="Tahoma" w:eastAsia="Times New Roman" w:hAnsi="Tahoma" w:cs="Times New Roman"/>
          <w:szCs w:val="20"/>
        </w:rPr>
      </w:pPr>
    </w:p>
    <w:p w14:paraId="7EF07349" w14:textId="77777777" w:rsidR="002F4B81" w:rsidRPr="002F4B81" w:rsidRDefault="002F4B81" w:rsidP="002F4B81">
      <w:pPr>
        <w:spacing w:after="0" w:line="240" w:lineRule="auto"/>
        <w:rPr>
          <w:rFonts w:ascii="Tahoma" w:eastAsia="Times New Roman" w:hAnsi="Tahoma" w:cs="Times New Roman"/>
          <w:szCs w:val="20"/>
        </w:rPr>
      </w:pPr>
    </w:p>
    <w:p w14:paraId="6983AE21" w14:textId="77777777" w:rsidR="002F4B81" w:rsidRPr="002F4B81" w:rsidRDefault="002F4B81" w:rsidP="002F4B81">
      <w:pPr>
        <w:spacing w:after="0" w:line="240" w:lineRule="auto"/>
        <w:rPr>
          <w:rFonts w:ascii="Tahoma" w:eastAsia="Times New Roman" w:hAnsi="Tahoma" w:cs="Times New Roman"/>
          <w:szCs w:val="20"/>
        </w:rPr>
      </w:pPr>
    </w:p>
    <w:p w14:paraId="7BBC1681" w14:textId="77777777" w:rsidR="002F4B81" w:rsidRPr="002F4B81" w:rsidRDefault="002F4B81" w:rsidP="002F4B81">
      <w:pPr>
        <w:spacing w:after="0" w:line="240" w:lineRule="auto"/>
        <w:rPr>
          <w:rFonts w:ascii="Tahoma" w:eastAsia="Times New Roman" w:hAnsi="Tahoma" w:cs="Times New Roman"/>
          <w:szCs w:val="20"/>
        </w:rPr>
      </w:pPr>
    </w:p>
    <w:p w14:paraId="79B84FFE" w14:textId="77777777" w:rsidR="002F4B81" w:rsidRPr="002F4B81" w:rsidRDefault="002F4B81" w:rsidP="002F4B81">
      <w:pPr>
        <w:spacing w:after="0" w:line="240" w:lineRule="auto"/>
        <w:rPr>
          <w:rFonts w:ascii="Tahoma" w:eastAsia="Times New Roman" w:hAnsi="Tahoma" w:cs="Times New Roman"/>
          <w:szCs w:val="20"/>
        </w:rPr>
      </w:pPr>
    </w:p>
    <w:p w14:paraId="2EE1AA4D" w14:textId="77777777" w:rsidR="002F4B81" w:rsidRPr="002F4B81" w:rsidRDefault="002F4B81" w:rsidP="002F4B81">
      <w:pPr>
        <w:spacing w:after="0" w:line="240" w:lineRule="auto"/>
        <w:rPr>
          <w:rFonts w:ascii="Tahoma" w:eastAsia="Times New Roman" w:hAnsi="Tahoma" w:cs="Times New Roman"/>
          <w:szCs w:val="20"/>
        </w:rPr>
      </w:pPr>
    </w:p>
    <w:p w14:paraId="224F1C86" w14:textId="77777777" w:rsidR="002F4B81" w:rsidRPr="002F4B81" w:rsidRDefault="002F4B81" w:rsidP="002F4B81">
      <w:pPr>
        <w:spacing w:after="0" w:line="240" w:lineRule="auto"/>
        <w:rPr>
          <w:rFonts w:ascii="Tahoma" w:eastAsia="Times New Roman" w:hAnsi="Tahoma" w:cs="Times New Roman"/>
          <w:szCs w:val="20"/>
        </w:rPr>
      </w:pPr>
    </w:p>
    <w:p w14:paraId="5005FE45" w14:textId="77777777" w:rsidR="002F4B81" w:rsidRPr="002F4B81" w:rsidRDefault="002F4B81" w:rsidP="002F4B81">
      <w:pPr>
        <w:spacing w:after="0" w:line="240" w:lineRule="auto"/>
        <w:rPr>
          <w:rFonts w:ascii="Tahoma" w:eastAsia="Times New Roman" w:hAnsi="Tahoma" w:cs="Times New Roman"/>
          <w:szCs w:val="20"/>
        </w:rPr>
      </w:pPr>
    </w:p>
    <w:p w14:paraId="10F882BF" w14:textId="77777777" w:rsidR="002F4B81" w:rsidRPr="002F4B81" w:rsidRDefault="002F4B81" w:rsidP="002F4B81">
      <w:pPr>
        <w:spacing w:after="0" w:line="240" w:lineRule="auto"/>
        <w:rPr>
          <w:rFonts w:ascii="Tahoma" w:eastAsia="Times New Roman" w:hAnsi="Tahoma" w:cs="Times New Roman"/>
          <w:szCs w:val="20"/>
        </w:rPr>
      </w:pPr>
    </w:p>
    <w:p w14:paraId="28BC9F85" w14:textId="77777777" w:rsidR="002F4B81" w:rsidRPr="002F4B81" w:rsidRDefault="002F4B81" w:rsidP="002F4B81">
      <w:pPr>
        <w:spacing w:after="0" w:line="240" w:lineRule="auto"/>
        <w:rPr>
          <w:rFonts w:ascii="Tahoma" w:eastAsia="Times New Roman" w:hAnsi="Tahoma" w:cs="Times New Roman"/>
          <w:szCs w:val="20"/>
        </w:rPr>
      </w:pPr>
    </w:p>
    <w:p w14:paraId="67408BC1" w14:textId="77777777" w:rsidR="002F4B81" w:rsidRPr="002F4B81" w:rsidRDefault="002F4B81" w:rsidP="002F4B81">
      <w:pPr>
        <w:spacing w:after="0" w:line="240" w:lineRule="auto"/>
        <w:rPr>
          <w:rFonts w:ascii="Tahoma" w:eastAsia="Times New Roman" w:hAnsi="Tahoma" w:cs="Times New Roman"/>
          <w:szCs w:val="20"/>
        </w:rPr>
      </w:pPr>
    </w:p>
    <w:p w14:paraId="323E4E2B" w14:textId="77777777" w:rsidR="002F4B81" w:rsidRPr="002F4B81" w:rsidRDefault="002F4B81" w:rsidP="002F4B81">
      <w:pPr>
        <w:spacing w:after="0" w:line="240" w:lineRule="auto"/>
        <w:rPr>
          <w:rFonts w:ascii="Tahoma" w:eastAsia="Times New Roman" w:hAnsi="Tahoma" w:cs="Times New Roman"/>
          <w:szCs w:val="20"/>
        </w:rPr>
      </w:pPr>
    </w:p>
    <w:p w14:paraId="1B49A668" w14:textId="77777777" w:rsidR="002F4B81" w:rsidRPr="002F4B81" w:rsidRDefault="002F4B81" w:rsidP="002F4B81">
      <w:pPr>
        <w:spacing w:after="0" w:line="240" w:lineRule="auto"/>
        <w:rPr>
          <w:rFonts w:ascii="Tahoma" w:eastAsia="Times New Roman" w:hAnsi="Tahoma" w:cs="Times New Roman"/>
          <w:szCs w:val="20"/>
        </w:rPr>
      </w:pPr>
    </w:p>
    <w:p w14:paraId="7381B500" w14:textId="77777777" w:rsidR="002F4B81" w:rsidRPr="002F4B81" w:rsidRDefault="002F4B81" w:rsidP="002F4B81">
      <w:pPr>
        <w:spacing w:after="0" w:line="240" w:lineRule="auto"/>
        <w:rPr>
          <w:rFonts w:ascii="Tahoma" w:eastAsia="Times New Roman" w:hAnsi="Tahoma" w:cs="Times New Roman"/>
          <w:szCs w:val="20"/>
        </w:rPr>
      </w:pPr>
    </w:p>
    <w:p w14:paraId="5209BD4E" w14:textId="77777777" w:rsidR="002F4B81" w:rsidRPr="002F4B81" w:rsidRDefault="002F4B81" w:rsidP="002F4B81">
      <w:pPr>
        <w:spacing w:after="0" w:line="240" w:lineRule="auto"/>
        <w:rPr>
          <w:rFonts w:ascii="Tahoma" w:eastAsia="Times New Roman" w:hAnsi="Tahoma" w:cs="Times New Roman"/>
          <w:szCs w:val="20"/>
        </w:rPr>
      </w:pPr>
    </w:p>
    <w:p w14:paraId="5AB0405C" w14:textId="77777777" w:rsidR="002F4B81" w:rsidRPr="002F4B81" w:rsidRDefault="002F4B81" w:rsidP="002F4B81">
      <w:pPr>
        <w:spacing w:after="0" w:line="240" w:lineRule="auto"/>
        <w:rPr>
          <w:rFonts w:ascii="Tahoma" w:eastAsia="Times New Roman" w:hAnsi="Tahoma" w:cs="Times New Roman"/>
          <w:szCs w:val="20"/>
        </w:rPr>
      </w:pPr>
    </w:p>
    <w:p w14:paraId="36A20042" w14:textId="77777777" w:rsidR="002F4B81" w:rsidRPr="002F4B81" w:rsidRDefault="002F4B81" w:rsidP="002F4B81">
      <w:pPr>
        <w:spacing w:after="0" w:line="240" w:lineRule="auto"/>
        <w:rPr>
          <w:rFonts w:ascii="Tahoma" w:eastAsia="Times New Roman" w:hAnsi="Tahoma" w:cs="Times New Roman"/>
          <w:szCs w:val="20"/>
        </w:rPr>
      </w:pPr>
    </w:p>
    <w:p w14:paraId="7FF0C0F6" w14:textId="77777777" w:rsidR="002F4B81" w:rsidRPr="002F4B81" w:rsidRDefault="002F4B81" w:rsidP="002F4B81">
      <w:pPr>
        <w:spacing w:after="0" w:line="240" w:lineRule="auto"/>
        <w:rPr>
          <w:rFonts w:ascii="Tahoma" w:eastAsia="Times New Roman" w:hAnsi="Tahoma" w:cs="Times New Roman"/>
          <w:szCs w:val="20"/>
        </w:rPr>
      </w:pPr>
    </w:p>
    <w:p w14:paraId="5227872A" w14:textId="77777777" w:rsidR="002F4B81" w:rsidRPr="002F4B81" w:rsidRDefault="002F4B81" w:rsidP="002F4B81">
      <w:pPr>
        <w:spacing w:after="0" w:line="240" w:lineRule="auto"/>
        <w:rPr>
          <w:rFonts w:ascii="Tahoma" w:eastAsia="Times New Roman" w:hAnsi="Tahoma" w:cs="Times New Roman"/>
          <w:szCs w:val="20"/>
        </w:rPr>
      </w:pPr>
    </w:p>
    <w:p w14:paraId="51794261" w14:textId="77777777" w:rsidR="002F4B81" w:rsidRPr="002F4B81" w:rsidRDefault="002F4B81" w:rsidP="002F4B81">
      <w:pPr>
        <w:spacing w:after="0" w:line="240" w:lineRule="auto"/>
        <w:rPr>
          <w:rFonts w:ascii="Tahoma" w:eastAsia="Times New Roman" w:hAnsi="Tahoma" w:cs="Times New Roman"/>
          <w:szCs w:val="20"/>
        </w:rPr>
      </w:pPr>
    </w:p>
    <w:p w14:paraId="33F46133" w14:textId="77777777" w:rsidR="002F4B81" w:rsidRPr="002F4B81" w:rsidRDefault="002F4B81" w:rsidP="002F4B81">
      <w:pPr>
        <w:spacing w:after="0" w:line="240" w:lineRule="auto"/>
        <w:rPr>
          <w:rFonts w:ascii="Tahoma" w:eastAsia="Times New Roman" w:hAnsi="Tahoma" w:cs="Times New Roman"/>
          <w:szCs w:val="20"/>
        </w:rPr>
      </w:pPr>
    </w:p>
    <w:p w14:paraId="4141B2D3" w14:textId="77777777" w:rsidR="002F4B81" w:rsidRPr="002F4B81" w:rsidRDefault="002F4B81" w:rsidP="002F4B81">
      <w:pPr>
        <w:spacing w:after="0" w:line="240" w:lineRule="auto"/>
        <w:rPr>
          <w:rFonts w:ascii="Tahoma" w:eastAsia="Times New Roman" w:hAnsi="Tahoma" w:cs="Times New Roman"/>
          <w:szCs w:val="20"/>
        </w:rPr>
      </w:pPr>
    </w:p>
    <w:p w14:paraId="10762591" w14:textId="77777777" w:rsidR="002F4B81" w:rsidRPr="002F4B81" w:rsidRDefault="002F4B81" w:rsidP="002F4B81">
      <w:pPr>
        <w:spacing w:after="0" w:line="240" w:lineRule="auto"/>
        <w:rPr>
          <w:rFonts w:ascii="Tahoma" w:eastAsia="Times New Roman" w:hAnsi="Tahoma" w:cs="Times New Roman"/>
          <w:szCs w:val="20"/>
        </w:rPr>
      </w:pPr>
    </w:p>
    <w:p w14:paraId="1F8BE825" w14:textId="77777777" w:rsidR="002F4B81" w:rsidRPr="002F4B81" w:rsidRDefault="002F4B81" w:rsidP="002F4B81">
      <w:pPr>
        <w:spacing w:after="0" w:line="240" w:lineRule="auto"/>
        <w:rPr>
          <w:rFonts w:ascii="Tahoma" w:eastAsia="Times New Roman" w:hAnsi="Tahoma" w:cs="Times New Roman"/>
          <w:szCs w:val="20"/>
        </w:rPr>
      </w:pPr>
    </w:p>
    <w:p w14:paraId="55559D52" w14:textId="77777777" w:rsidR="002F4B81" w:rsidRPr="002F4B81" w:rsidRDefault="002F4B81" w:rsidP="002F4B81">
      <w:pPr>
        <w:spacing w:after="0" w:line="240" w:lineRule="auto"/>
        <w:rPr>
          <w:rFonts w:ascii="Tahoma" w:eastAsia="Times New Roman" w:hAnsi="Tahoma" w:cs="Times New Roman"/>
          <w:szCs w:val="20"/>
        </w:rPr>
      </w:pPr>
    </w:p>
    <w:p w14:paraId="50813060" w14:textId="77777777" w:rsidR="002F4B81" w:rsidRPr="002F4B81" w:rsidRDefault="002F4B81" w:rsidP="002F4B81">
      <w:pPr>
        <w:spacing w:after="0" w:line="240" w:lineRule="auto"/>
        <w:rPr>
          <w:rFonts w:ascii="Tahoma" w:eastAsia="Times New Roman" w:hAnsi="Tahoma" w:cs="Times New Roman"/>
          <w:szCs w:val="20"/>
        </w:rPr>
      </w:pPr>
    </w:p>
    <w:p w14:paraId="0729A7B3" w14:textId="77777777" w:rsidR="002F4B81" w:rsidRPr="002F4B81" w:rsidRDefault="002F4B81" w:rsidP="002F4B81">
      <w:pPr>
        <w:spacing w:after="0" w:line="240" w:lineRule="auto"/>
        <w:rPr>
          <w:rFonts w:ascii="Tahoma" w:eastAsia="Times New Roman" w:hAnsi="Tahoma" w:cs="Times New Roman"/>
          <w:szCs w:val="20"/>
        </w:rPr>
      </w:pPr>
    </w:p>
    <w:p w14:paraId="641322D1" w14:textId="77777777" w:rsidR="002F4B81" w:rsidRPr="002F4B81" w:rsidRDefault="002F4B81" w:rsidP="002F4B81">
      <w:pPr>
        <w:keepNext/>
        <w:tabs>
          <w:tab w:val="num" w:pos="567"/>
        </w:tabs>
        <w:spacing w:after="0" w:line="240" w:lineRule="auto"/>
        <w:ind w:left="567" w:right="-154" w:hanging="567"/>
        <w:outlineLvl w:val="0"/>
        <w:rPr>
          <w:rFonts w:ascii="Calibri" w:eastAsia="Times New Roman" w:hAnsi="Calibri" w:cs="Times New Roman"/>
          <w:b/>
          <w:caps/>
          <w:sz w:val="36"/>
          <w:szCs w:val="20"/>
        </w:rPr>
      </w:pPr>
      <w:bookmarkStart w:id="2" w:name="_Toc7082706"/>
      <w:bookmarkStart w:id="3" w:name="_Toc83029328"/>
      <w:r w:rsidRPr="002F4B81">
        <w:rPr>
          <w:rFonts w:ascii="Calibri" w:eastAsia="Times New Roman" w:hAnsi="Calibri" w:cs="Times New Roman"/>
          <w:b/>
          <w:caps/>
          <w:sz w:val="36"/>
          <w:szCs w:val="20"/>
        </w:rPr>
        <w:t>Introduction</w:t>
      </w:r>
      <w:bookmarkEnd w:id="2"/>
      <w:bookmarkEnd w:id="3"/>
    </w:p>
    <w:p w14:paraId="4D2B8CE2" w14:textId="77777777" w:rsidR="002F4B81" w:rsidRPr="002F4B81" w:rsidRDefault="002F4B81" w:rsidP="002F4B81">
      <w:pPr>
        <w:spacing w:after="0" w:line="240" w:lineRule="auto"/>
        <w:rPr>
          <w:rFonts w:ascii="Tahoma" w:eastAsia="Times New Roman" w:hAnsi="Tahoma" w:cs="Times New Roman"/>
          <w:szCs w:val="20"/>
        </w:rPr>
      </w:pPr>
    </w:p>
    <w:p w14:paraId="1AC89597" w14:textId="77777777" w:rsidR="002F4B81" w:rsidRPr="002F4B81" w:rsidRDefault="002F4B81" w:rsidP="002F4B81">
      <w:pPr>
        <w:suppressAutoHyphens/>
        <w:spacing w:before="120" w:after="0" w:line="240" w:lineRule="auto"/>
        <w:ind w:right="-153"/>
        <w:jc w:val="both"/>
        <w:rPr>
          <w:rFonts w:ascii="Calibri" w:eastAsia="Times New Roman" w:hAnsi="Calibri" w:cs="Times New Roman"/>
          <w:szCs w:val="20"/>
        </w:rPr>
      </w:pPr>
      <w:r w:rsidRPr="002F4B81">
        <w:rPr>
          <w:rFonts w:ascii="Calibri" w:eastAsia="Times New Roman" w:hAnsi="Calibri" w:cs="Times New Roman"/>
          <w:szCs w:val="20"/>
        </w:rPr>
        <w:t>This statistical analysis plan describes the analysis and presentation of the SETS aHUS trial. This plan, along with all other documents relating to the analysis of this trial, will be stored in the SETS aHUS trial folder in ‘School Statistics’ on a shared drive only assessable to the trial statisticians.</w:t>
      </w:r>
    </w:p>
    <w:p w14:paraId="1C1F9361" w14:textId="77777777" w:rsidR="002F4B81" w:rsidRPr="002F4B81" w:rsidRDefault="002F4B81" w:rsidP="002F4B81">
      <w:pPr>
        <w:suppressAutoHyphens/>
        <w:spacing w:after="0" w:line="240" w:lineRule="auto"/>
        <w:ind w:right="-154"/>
        <w:jc w:val="both"/>
        <w:rPr>
          <w:rFonts w:ascii="Calibri" w:eastAsia="Times New Roman" w:hAnsi="Calibri" w:cs="Times New Roman"/>
          <w:szCs w:val="20"/>
        </w:rPr>
      </w:pPr>
      <w:r w:rsidRPr="002F4B81">
        <w:rPr>
          <w:rFonts w:ascii="Calibri" w:eastAsia="Times New Roman" w:hAnsi="Calibri" w:cs="Times New Roman"/>
          <w:szCs w:val="20"/>
        </w:rPr>
        <w:tab/>
      </w:r>
    </w:p>
    <w:p w14:paraId="0265BBB2" w14:textId="77777777" w:rsidR="002F4B81" w:rsidRPr="002F4B81" w:rsidRDefault="002F4B81" w:rsidP="002F4B81">
      <w:pPr>
        <w:keepNext/>
        <w:numPr>
          <w:ilvl w:val="1"/>
          <w:numId w:val="0"/>
        </w:numPr>
        <w:tabs>
          <w:tab w:val="num" w:pos="567"/>
        </w:tabs>
        <w:spacing w:after="0" w:line="240" w:lineRule="auto"/>
        <w:ind w:left="567" w:right="-154" w:hanging="567"/>
        <w:outlineLvl w:val="1"/>
        <w:rPr>
          <w:rFonts w:ascii="Calibri" w:eastAsia="Times New Roman" w:hAnsi="Calibri" w:cs="Times New Roman"/>
          <w:b/>
        </w:rPr>
      </w:pPr>
      <w:bookmarkStart w:id="4" w:name="_Toc72221675"/>
      <w:bookmarkStart w:id="5" w:name="_Toc7082707"/>
      <w:bookmarkStart w:id="6" w:name="_Toc83029329"/>
      <w:r w:rsidRPr="002F4B81">
        <w:rPr>
          <w:rFonts w:ascii="Calibri" w:eastAsia="Times New Roman" w:hAnsi="Calibri" w:cs="Times New Roman"/>
          <w:b/>
        </w:rPr>
        <w:t>Trial Summary</w:t>
      </w:r>
      <w:bookmarkEnd w:id="4"/>
      <w:bookmarkEnd w:id="5"/>
      <w:bookmarkEnd w:id="6"/>
    </w:p>
    <w:p w14:paraId="13DE4BC5" w14:textId="77777777" w:rsidR="002F4B81" w:rsidRPr="002F4B81" w:rsidRDefault="002F4B81" w:rsidP="002F4B81">
      <w:pPr>
        <w:spacing w:after="0" w:line="240" w:lineRule="auto"/>
        <w:rPr>
          <w:rFonts w:ascii="Calibri" w:eastAsia="Times New Roman" w:hAnsi="Calibri" w:cs="Times New Roman"/>
        </w:rPr>
      </w:pPr>
    </w:p>
    <w:tbl>
      <w:tblPr>
        <w:tblW w:w="0" w:type="auto"/>
        <w:tblLook w:val="04A0" w:firstRow="1" w:lastRow="0" w:firstColumn="1" w:lastColumn="0" w:noHBand="0" w:noVBand="1"/>
      </w:tblPr>
      <w:tblGrid>
        <w:gridCol w:w="2333"/>
        <w:gridCol w:w="5738"/>
        <w:gridCol w:w="235"/>
      </w:tblGrid>
      <w:tr w:rsidR="002F4B81" w:rsidRPr="002F4B81" w14:paraId="410D467A" w14:textId="77777777" w:rsidTr="00C667E5">
        <w:tc>
          <w:tcPr>
            <w:tcW w:w="2475" w:type="dxa"/>
          </w:tcPr>
          <w:p w14:paraId="520D8F92"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Trial Title</w:t>
            </w:r>
          </w:p>
        </w:tc>
        <w:tc>
          <w:tcPr>
            <w:tcW w:w="6551" w:type="dxa"/>
            <w:gridSpan w:val="2"/>
          </w:tcPr>
          <w:p w14:paraId="6D49BE0F"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 xml:space="preserve">Stopping Eculizumab Treatment Safely in </w:t>
            </w:r>
            <w:r w:rsidRPr="002F4B81">
              <w:rPr>
                <w:rFonts w:ascii="Calibri" w:eastAsia="Times New Roman" w:hAnsi="Calibri" w:cs="TimesNewRomanPSMT"/>
              </w:rPr>
              <w:t>atypical Haemolytic Uraemic Syndrome</w:t>
            </w:r>
            <w:r w:rsidRPr="002F4B81">
              <w:rPr>
                <w:rFonts w:ascii="Calibri" w:eastAsia="Times New Roman" w:hAnsi="Calibri" w:cs="Times New Roman"/>
              </w:rPr>
              <w:t xml:space="preserve"> (aHUS)</w:t>
            </w:r>
          </w:p>
        </w:tc>
      </w:tr>
      <w:tr w:rsidR="002F4B81" w:rsidRPr="002F4B81" w14:paraId="375355E0" w14:textId="77777777" w:rsidTr="00C667E5">
        <w:tc>
          <w:tcPr>
            <w:tcW w:w="2475" w:type="dxa"/>
          </w:tcPr>
          <w:p w14:paraId="35558811"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Acronym</w:t>
            </w:r>
          </w:p>
        </w:tc>
        <w:tc>
          <w:tcPr>
            <w:tcW w:w="6551" w:type="dxa"/>
            <w:gridSpan w:val="2"/>
          </w:tcPr>
          <w:p w14:paraId="2D51D489"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SETS aHUS</w:t>
            </w:r>
          </w:p>
        </w:tc>
      </w:tr>
      <w:tr w:rsidR="002F4B81" w:rsidRPr="002F4B81" w14:paraId="6D2A4D10" w14:textId="77777777" w:rsidTr="00C667E5">
        <w:tc>
          <w:tcPr>
            <w:tcW w:w="2475" w:type="dxa"/>
          </w:tcPr>
          <w:p w14:paraId="13123E81"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Clinical Phase</w:t>
            </w:r>
          </w:p>
        </w:tc>
        <w:tc>
          <w:tcPr>
            <w:tcW w:w="6551" w:type="dxa"/>
            <w:gridSpan w:val="2"/>
          </w:tcPr>
          <w:p w14:paraId="3DF4A352"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 xml:space="preserve">Phase IIb </w:t>
            </w:r>
          </w:p>
        </w:tc>
      </w:tr>
      <w:tr w:rsidR="002F4B81" w:rsidRPr="002F4B81" w14:paraId="788FF3E9" w14:textId="77777777" w:rsidTr="00C667E5">
        <w:tc>
          <w:tcPr>
            <w:tcW w:w="2475" w:type="dxa"/>
          </w:tcPr>
          <w:p w14:paraId="0ADB5B92"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Summary of Trial Design</w:t>
            </w:r>
          </w:p>
        </w:tc>
        <w:tc>
          <w:tcPr>
            <w:tcW w:w="6551" w:type="dxa"/>
            <w:gridSpan w:val="2"/>
          </w:tcPr>
          <w:p w14:paraId="1C54B427"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rPr>
            </w:pPr>
            <w:r w:rsidRPr="002F4B81">
              <w:rPr>
                <w:rFonts w:ascii="Calibri" w:eastAsia="Times New Roman" w:hAnsi="Calibri" w:cs="TimesNewRomanPSMT"/>
              </w:rPr>
              <w:t>Single arm, non-blinded assessment of the safety of Eculizumab withdrawal in patients with aHUS with continuous monitoring of adverse events using the Bayes factor single arm design.</w:t>
            </w:r>
          </w:p>
        </w:tc>
      </w:tr>
      <w:tr w:rsidR="002F4B81" w:rsidRPr="002F4B81" w14:paraId="21358D41" w14:textId="77777777" w:rsidTr="00C667E5">
        <w:tc>
          <w:tcPr>
            <w:tcW w:w="2475" w:type="dxa"/>
          </w:tcPr>
          <w:p w14:paraId="458D373E"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Summary of Participant Population</w:t>
            </w:r>
          </w:p>
        </w:tc>
        <w:tc>
          <w:tcPr>
            <w:tcW w:w="6551" w:type="dxa"/>
            <w:gridSpan w:val="2"/>
          </w:tcPr>
          <w:p w14:paraId="558D1A44"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Patients with atypical Haemolytic Uraemic Syndrome who are receiving Eculizumab therapy</w:t>
            </w:r>
          </w:p>
        </w:tc>
      </w:tr>
      <w:tr w:rsidR="002F4B81" w:rsidRPr="002F4B81" w14:paraId="67168476" w14:textId="77777777" w:rsidTr="00C667E5">
        <w:tc>
          <w:tcPr>
            <w:tcW w:w="2475" w:type="dxa"/>
          </w:tcPr>
          <w:p w14:paraId="1E78B555"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Planned Sample Size</w:t>
            </w:r>
          </w:p>
        </w:tc>
        <w:tc>
          <w:tcPr>
            <w:tcW w:w="6551" w:type="dxa"/>
            <w:gridSpan w:val="2"/>
          </w:tcPr>
          <w:p w14:paraId="17D132A2"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30 patients who withdraw from Eculizumab (only these patients will be considered in SAP)</w:t>
            </w:r>
          </w:p>
          <w:p w14:paraId="4F901F88"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20 patients who will remain on treatment (completing Health Economic assessments only)</w:t>
            </w:r>
          </w:p>
        </w:tc>
      </w:tr>
      <w:tr w:rsidR="002F4B81" w:rsidRPr="002F4B81" w14:paraId="7FE9EBA8" w14:textId="77777777" w:rsidTr="00C667E5">
        <w:tc>
          <w:tcPr>
            <w:tcW w:w="2475" w:type="dxa"/>
          </w:tcPr>
          <w:p w14:paraId="65E49DD3"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Planned Number of Sites</w:t>
            </w:r>
          </w:p>
        </w:tc>
        <w:tc>
          <w:tcPr>
            <w:tcW w:w="6551" w:type="dxa"/>
            <w:gridSpan w:val="2"/>
          </w:tcPr>
          <w:p w14:paraId="0E878444"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20</w:t>
            </w:r>
          </w:p>
        </w:tc>
      </w:tr>
      <w:tr w:rsidR="002F4B81" w:rsidRPr="002F4B81" w14:paraId="361398F6" w14:textId="77777777" w:rsidTr="00C667E5">
        <w:tc>
          <w:tcPr>
            <w:tcW w:w="2475" w:type="dxa"/>
          </w:tcPr>
          <w:p w14:paraId="4C028CC2"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Treatment withdrawal Duration</w:t>
            </w:r>
          </w:p>
        </w:tc>
        <w:tc>
          <w:tcPr>
            <w:tcW w:w="6551" w:type="dxa"/>
            <w:gridSpan w:val="2"/>
          </w:tcPr>
          <w:p w14:paraId="18DECAB7"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24 months</w:t>
            </w:r>
          </w:p>
        </w:tc>
      </w:tr>
      <w:tr w:rsidR="002F4B81" w:rsidRPr="002F4B81" w14:paraId="2F895BA3" w14:textId="77777777" w:rsidTr="00C667E5">
        <w:tc>
          <w:tcPr>
            <w:tcW w:w="2475" w:type="dxa"/>
          </w:tcPr>
          <w:p w14:paraId="28DFDDF9"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Follow Up Duration</w:t>
            </w:r>
          </w:p>
        </w:tc>
        <w:tc>
          <w:tcPr>
            <w:tcW w:w="6551" w:type="dxa"/>
            <w:gridSpan w:val="2"/>
          </w:tcPr>
          <w:p w14:paraId="2F5373AC"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24 months</w:t>
            </w:r>
          </w:p>
        </w:tc>
      </w:tr>
      <w:tr w:rsidR="002F4B81" w:rsidRPr="002F4B81" w14:paraId="277D3897" w14:textId="77777777" w:rsidTr="00C667E5">
        <w:tc>
          <w:tcPr>
            <w:tcW w:w="2475" w:type="dxa"/>
          </w:tcPr>
          <w:p w14:paraId="438D4100"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Planned Trial Period</w:t>
            </w:r>
          </w:p>
        </w:tc>
        <w:tc>
          <w:tcPr>
            <w:tcW w:w="6551" w:type="dxa"/>
            <w:gridSpan w:val="2"/>
          </w:tcPr>
          <w:p w14:paraId="1D036D1A"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48 months</w:t>
            </w:r>
          </w:p>
        </w:tc>
      </w:tr>
      <w:tr w:rsidR="002F4B81" w:rsidRPr="002F4B81" w14:paraId="62E49F08" w14:textId="77777777" w:rsidTr="00C667E5">
        <w:tc>
          <w:tcPr>
            <w:tcW w:w="2475" w:type="dxa"/>
          </w:tcPr>
          <w:p w14:paraId="09F0D0E6" w14:textId="77777777" w:rsidR="002F4B81" w:rsidRPr="002F4B81" w:rsidRDefault="002F4B81" w:rsidP="002F4B81">
            <w:pPr>
              <w:spacing w:after="0" w:line="240" w:lineRule="auto"/>
              <w:rPr>
                <w:rFonts w:ascii="Calibri" w:eastAsia="Times New Roman" w:hAnsi="Calibri" w:cs="Times New Roman"/>
                <w:b/>
              </w:rPr>
            </w:pPr>
          </w:p>
        </w:tc>
        <w:tc>
          <w:tcPr>
            <w:tcW w:w="6314" w:type="dxa"/>
          </w:tcPr>
          <w:p w14:paraId="768ACB70" w14:textId="77777777" w:rsidR="002F4B81" w:rsidRPr="002F4B81" w:rsidRDefault="002F4B81" w:rsidP="002F4B81">
            <w:pPr>
              <w:spacing w:after="0" w:line="240" w:lineRule="auto"/>
              <w:rPr>
                <w:rFonts w:ascii="Calibri" w:eastAsia="Times New Roman" w:hAnsi="Calibri" w:cs="Times New Roman"/>
                <w:b/>
              </w:rPr>
            </w:pPr>
          </w:p>
          <w:p w14:paraId="45AB7741"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Objectives</w:t>
            </w:r>
          </w:p>
        </w:tc>
        <w:tc>
          <w:tcPr>
            <w:tcW w:w="237" w:type="dxa"/>
          </w:tcPr>
          <w:p w14:paraId="5E0AE449" w14:textId="77777777" w:rsidR="002F4B81" w:rsidRPr="002F4B81" w:rsidRDefault="002F4B81" w:rsidP="002F4B81">
            <w:pPr>
              <w:spacing w:after="0" w:line="240" w:lineRule="auto"/>
              <w:rPr>
                <w:rFonts w:ascii="Calibri" w:eastAsia="Times New Roman" w:hAnsi="Calibri" w:cs="Times New Roman"/>
                <w:b/>
              </w:rPr>
            </w:pPr>
          </w:p>
        </w:tc>
      </w:tr>
      <w:tr w:rsidR="002F4B81" w:rsidRPr="002F4B81" w14:paraId="2DDDEDDF" w14:textId="77777777" w:rsidTr="00C667E5">
        <w:tc>
          <w:tcPr>
            <w:tcW w:w="2475" w:type="dxa"/>
          </w:tcPr>
          <w:p w14:paraId="77B5DFED"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Primary</w:t>
            </w:r>
          </w:p>
        </w:tc>
        <w:tc>
          <w:tcPr>
            <w:tcW w:w="6314" w:type="dxa"/>
          </w:tcPr>
          <w:p w14:paraId="175C8821"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To</w:t>
            </w:r>
            <w:r w:rsidRPr="002F4B81">
              <w:rPr>
                <w:rFonts w:ascii="Calibri" w:eastAsia="Times New Roman" w:hAnsi="Calibri" w:cs="TimesNewRomanPSMT"/>
              </w:rPr>
              <w:t xml:space="preserve"> determine the safety of Eculizumab withdrawal in patients with aHUS </w:t>
            </w:r>
          </w:p>
        </w:tc>
        <w:tc>
          <w:tcPr>
            <w:tcW w:w="237" w:type="dxa"/>
          </w:tcPr>
          <w:p w14:paraId="53DF055F" w14:textId="77777777" w:rsidR="002F4B81" w:rsidRPr="002F4B81" w:rsidRDefault="002F4B81" w:rsidP="002F4B81">
            <w:pPr>
              <w:spacing w:after="0" w:line="240" w:lineRule="auto"/>
              <w:rPr>
                <w:rFonts w:ascii="Calibri" w:eastAsia="Times New Roman" w:hAnsi="Calibri" w:cs="Times New Roman"/>
              </w:rPr>
            </w:pPr>
          </w:p>
        </w:tc>
      </w:tr>
      <w:tr w:rsidR="002F4B81" w:rsidRPr="002F4B81" w14:paraId="0223B3F8" w14:textId="77777777" w:rsidTr="00C667E5">
        <w:tc>
          <w:tcPr>
            <w:tcW w:w="2475" w:type="dxa"/>
          </w:tcPr>
          <w:p w14:paraId="35FB4E1E"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 xml:space="preserve">Secondary </w:t>
            </w:r>
          </w:p>
        </w:tc>
        <w:tc>
          <w:tcPr>
            <w:tcW w:w="6314" w:type="dxa"/>
          </w:tcPr>
          <w:p w14:paraId="04F0A108"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rPr>
            </w:pPr>
            <w:r w:rsidRPr="002F4B81">
              <w:rPr>
                <w:rFonts w:ascii="Calibri" w:eastAsia="Times New Roman" w:hAnsi="Calibri" w:cs="TimesNewRomanPSMT"/>
              </w:rPr>
              <w:t>1. Measure the effectiveness of a monitoring protocol to detect disease relapse following withdrawal of Eculizumab.</w:t>
            </w:r>
          </w:p>
          <w:p w14:paraId="1E5E5200"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rPr>
            </w:pPr>
            <w:r w:rsidRPr="002F4B81">
              <w:rPr>
                <w:rFonts w:ascii="Calibri" w:eastAsia="Times New Roman" w:hAnsi="Calibri" w:cs="TimesNewRomanPSMT"/>
              </w:rPr>
              <w:t>2. Describe the relapse rate after withdrawal of Eculizumab.</w:t>
            </w:r>
          </w:p>
          <w:p w14:paraId="237C9647"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rPr>
            </w:pPr>
            <w:r w:rsidRPr="002F4B81">
              <w:rPr>
                <w:rFonts w:ascii="Calibri" w:eastAsia="Times New Roman" w:hAnsi="Calibri" w:cs="TimesNewRomanPSMT"/>
              </w:rPr>
              <w:t>3. Estimate the proportion of patients, currently on long-term treatment with Eculizumab, who can be maintained off treatment.</w:t>
            </w:r>
          </w:p>
          <w:p w14:paraId="7D9DF82F"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rPr>
            </w:pPr>
            <w:r w:rsidRPr="002F4B81">
              <w:rPr>
                <w:rFonts w:ascii="Calibri" w:eastAsia="Times New Roman" w:hAnsi="Calibri" w:cs="TimesNewRomanPSMT"/>
              </w:rPr>
              <w:t>4. Describe the period from withdrawal to relapse in those patients who restart treatment.</w:t>
            </w:r>
          </w:p>
          <w:p w14:paraId="30470D79"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rPr>
            </w:pPr>
            <w:r w:rsidRPr="002F4B81">
              <w:rPr>
                <w:rFonts w:ascii="Calibri" w:eastAsia="Times New Roman" w:hAnsi="Calibri" w:cs="TimesNewRomanPSMT"/>
              </w:rPr>
              <w:t>5. Measure the change in estimated Glomerular Filtration rate (GFR) over the course of the study.</w:t>
            </w:r>
          </w:p>
          <w:p w14:paraId="30DCB21A"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rPr>
            </w:pPr>
            <w:r w:rsidRPr="002F4B81">
              <w:rPr>
                <w:rFonts w:ascii="Calibri" w:eastAsia="Times New Roman" w:hAnsi="Calibri" w:cs="TimesNewRomanPSMT"/>
              </w:rPr>
              <w:t>6. Identify important clinical and laboratory indicators of imminent relapse.</w:t>
            </w:r>
          </w:p>
          <w:p w14:paraId="1DA94C70" w14:textId="77777777" w:rsidR="002F4B81" w:rsidRPr="002F4B81" w:rsidRDefault="002F4B81" w:rsidP="002F4B81">
            <w:pPr>
              <w:autoSpaceDE w:val="0"/>
              <w:autoSpaceDN w:val="0"/>
              <w:adjustRightInd w:val="0"/>
              <w:spacing w:after="0" w:line="240" w:lineRule="auto"/>
              <w:ind w:left="345"/>
              <w:rPr>
                <w:rFonts w:ascii="Calibri" w:eastAsia="Times New Roman" w:hAnsi="Calibri" w:cs="TimesNewRomanPSMT"/>
              </w:rPr>
            </w:pPr>
          </w:p>
          <w:p w14:paraId="02E638FC"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 xml:space="preserve"> </w:t>
            </w:r>
          </w:p>
        </w:tc>
        <w:tc>
          <w:tcPr>
            <w:tcW w:w="237" w:type="dxa"/>
          </w:tcPr>
          <w:p w14:paraId="5524DC49" w14:textId="77777777" w:rsidR="002F4B81" w:rsidRPr="002F4B81" w:rsidRDefault="002F4B81" w:rsidP="002F4B81">
            <w:pPr>
              <w:spacing w:after="0" w:line="240" w:lineRule="auto"/>
              <w:rPr>
                <w:rFonts w:ascii="Calibri" w:eastAsia="Times New Roman" w:hAnsi="Calibri" w:cs="Times New Roman"/>
              </w:rPr>
            </w:pPr>
          </w:p>
        </w:tc>
      </w:tr>
      <w:tr w:rsidR="002F4B81" w:rsidRPr="002F4B81" w14:paraId="3A12B859" w14:textId="77777777" w:rsidTr="00C667E5">
        <w:tc>
          <w:tcPr>
            <w:tcW w:w="2475" w:type="dxa"/>
          </w:tcPr>
          <w:p w14:paraId="2EBBD43D"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Withdrawn Medicinal Product</w:t>
            </w:r>
          </w:p>
        </w:tc>
        <w:tc>
          <w:tcPr>
            <w:tcW w:w="6551" w:type="dxa"/>
            <w:gridSpan w:val="2"/>
          </w:tcPr>
          <w:p w14:paraId="76C9E2E7"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 xml:space="preserve"> Eculizumab (Trade name – Soliris)</w:t>
            </w:r>
          </w:p>
        </w:tc>
      </w:tr>
    </w:tbl>
    <w:p w14:paraId="7B36EEB1" w14:textId="77777777" w:rsidR="002F4B81" w:rsidRPr="002F4B81" w:rsidRDefault="002F4B81" w:rsidP="002F4B81">
      <w:pPr>
        <w:spacing w:after="0" w:line="240" w:lineRule="auto"/>
        <w:ind w:right="-154"/>
        <w:rPr>
          <w:rFonts w:ascii="Calibri" w:eastAsia="Times New Roman" w:hAnsi="Calibri" w:cs="Times New Roman"/>
          <w:szCs w:val="20"/>
        </w:rPr>
      </w:pPr>
    </w:p>
    <w:p w14:paraId="056FFDA2" w14:textId="77777777" w:rsidR="002F4B81" w:rsidRPr="002F4B81" w:rsidRDefault="002F4B81" w:rsidP="002F4B81">
      <w:pPr>
        <w:spacing w:after="0" w:line="240" w:lineRule="auto"/>
        <w:ind w:right="-154"/>
        <w:rPr>
          <w:rFonts w:ascii="Calibri" w:eastAsia="Times New Roman" w:hAnsi="Calibri" w:cs="Times New Roman"/>
          <w:szCs w:val="20"/>
        </w:rPr>
      </w:pPr>
      <w:r w:rsidRPr="002F4B81">
        <w:rPr>
          <w:rFonts w:ascii="Calibri" w:eastAsia="Times New Roman" w:hAnsi="Calibri" w:cs="Times New Roman"/>
          <w:szCs w:val="20"/>
        </w:rPr>
        <w:lastRenderedPageBreak/>
        <w:t xml:space="preserve">  </w:t>
      </w:r>
    </w:p>
    <w:p w14:paraId="3461D0BF" w14:textId="77777777" w:rsidR="002F4B81" w:rsidRPr="002F4B81" w:rsidRDefault="002F4B81" w:rsidP="002F4B81">
      <w:pPr>
        <w:keepNext/>
        <w:tabs>
          <w:tab w:val="num" w:pos="567"/>
        </w:tabs>
        <w:spacing w:after="0" w:line="240" w:lineRule="auto"/>
        <w:ind w:left="567" w:right="-154" w:hanging="567"/>
        <w:outlineLvl w:val="0"/>
        <w:rPr>
          <w:rFonts w:ascii="Calibri" w:eastAsia="Times New Roman" w:hAnsi="Calibri" w:cs="Times New Roman"/>
          <w:b/>
          <w:caps/>
          <w:sz w:val="36"/>
          <w:szCs w:val="20"/>
        </w:rPr>
      </w:pPr>
      <w:bookmarkStart w:id="7" w:name="_Toc7082708"/>
      <w:bookmarkStart w:id="8" w:name="_Toc83029330"/>
      <w:r w:rsidRPr="002F4B81">
        <w:rPr>
          <w:rFonts w:ascii="Calibri" w:eastAsia="Times New Roman" w:hAnsi="Calibri" w:cs="Times New Roman"/>
          <w:b/>
          <w:caps/>
          <w:sz w:val="36"/>
          <w:szCs w:val="20"/>
        </w:rPr>
        <w:t>TIMING AND REPORTING of ANALYSES</w:t>
      </w:r>
      <w:bookmarkEnd w:id="7"/>
      <w:bookmarkEnd w:id="8"/>
    </w:p>
    <w:p w14:paraId="2791FF43" w14:textId="77777777" w:rsidR="002F4B81" w:rsidRPr="002F4B81" w:rsidRDefault="002F4B81" w:rsidP="002F4B81">
      <w:pPr>
        <w:tabs>
          <w:tab w:val="left" w:pos="720"/>
        </w:tabs>
        <w:spacing w:before="120" w:after="0" w:line="240" w:lineRule="auto"/>
        <w:ind w:right="-153"/>
        <w:jc w:val="both"/>
        <w:rPr>
          <w:rFonts w:ascii="Calibri" w:eastAsia="Times New Roman" w:hAnsi="Calibri" w:cs="Times New Roman"/>
          <w:szCs w:val="20"/>
        </w:rPr>
      </w:pPr>
      <w:r w:rsidRPr="002F4B81">
        <w:rPr>
          <w:rFonts w:ascii="Calibri" w:eastAsia="Times New Roman" w:hAnsi="Calibri" w:cs="Times New Roman"/>
          <w:szCs w:val="20"/>
        </w:rPr>
        <w:t xml:space="preserve">Formal stopping rules will be implemented within the </w:t>
      </w:r>
      <w:proofErr w:type="gramStart"/>
      <w:r w:rsidRPr="002F4B81">
        <w:rPr>
          <w:rFonts w:ascii="Calibri" w:eastAsia="Times New Roman" w:hAnsi="Calibri" w:cs="Times New Roman"/>
          <w:szCs w:val="20"/>
        </w:rPr>
        <w:t>trial</w:t>
      </w:r>
      <w:proofErr w:type="gramEnd"/>
      <w:r w:rsidRPr="002F4B81">
        <w:rPr>
          <w:rFonts w:ascii="Calibri" w:eastAsia="Times New Roman" w:hAnsi="Calibri" w:cs="Times New Roman"/>
          <w:szCs w:val="20"/>
        </w:rPr>
        <w:t xml:space="preserve"> and they are outlined in detail in the statistical analysis section. The primary outcome is assessed continually (see section 7) and is ongoing during study. This is due to the serious nature and rarity of the condition and the stopping rules imposed as part of the trial design for the primary outcome.</w:t>
      </w:r>
    </w:p>
    <w:p w14:paraId="26FA78F2" w14:textId="77777777" w:rsidR="002F4B81" w:rsidRPr="002F4B81" w:rsidRDefault="002F4B81" w:rsidP="002F4B81">
      <w:pPr>
        <w:spacing w:before="120" w:after="120" w:line="240" w:lineRule="auto"/>
        <w:jc w:val="both"/>
        <w:rPr>
          <w:rFonts w:ascii="Calibri" w:eastAsia="Times New Roman" w:hAnsi="Calibri" w:cs="Tahoma"/>
          <w:szCs w:val="20"/>
        </w:rPr>
      </w:pPr>
      <w:r w:rsidRPr="002F4B81">
        <w:rPr>
          <w:rFonts w:ascii="Calibri" w:eastAsia="Times New Roman" w:hAnsi="Calibri" w:cs="Tahoma"/>
          <w:szCs w:val="20"/>
        </w:rPr>
        <w:t>This study involves the withdrawal of a treatment that is currently standard medical care. Eculizumab is licenced for the treatment of aHUS and indefinite treatment is recommended once treatment has been started. However, treatment with Eculizumab is associated with significant side effects, in particular a risk of serious infection. There has been no formal assessment comparing the risk of continuing treatment with withdrawal and reintroduction of treatment if relapse occurs.</w:t>
      </w:r>
    </w:p>
    <w:p w14:paraId="71FE99F4" w14:textId="77777777" w:rsidR="002F4B81" w:rsidRPr="002F4B81" w:rsidRDefault="002F4B81" w:rsidP="002F4B81">
      <w:pPr>
        <w:spacing w:before="120" w:after="120" w:line="240" w:lineRule="auto"/>
        <w:jc w:val="both"/>
        <w:rPr>
          <w:rFonts w:ascii="Calibri" w:eastAsia="Times New Roman" w:hAnsi="Calibri" w:cs="Tahoma"/>
          <w:szCs w:val="20"/>
        </w:rPr>
      </w:pPr>
      <w:r w:rsidRPr="002F4B81">
        <w:rPr>
          <w:rFonts w:ascii="Calibri" w:eastAsia="Times New Roman" w:hAnsi="Calibri" w:cs="Tahoma"/>
          <w:szCs w:val="20"/>
        </w:rPr>
        <w:t>There is data from case series to suggest that Eculizumab withdrawal with rapid re-initiation of treatment in the case of relapse is a safe and effective treatment strategy. This study will formally assess the safety and cost-effectiveness of Eculizumab withdrawal. The protocol has been designed to detect disease relapse early and therefore facilitate rapid re-initiation of treatment.</w:t>
      </w:r>
    </w:p>
    <w:p w14:paraId="4F650EC4" w14:textId="77777777" w:rsidR="002F4B81" w:rsidRPr="002F4B81" w:rsidRDefault="002F4B81" w:rsidP="002F4B81">
      <w:pPr>
        <w:spacing w:after="0" w:line="240" w:lineRule="auto"/>
        <w:jc w:val="both"/>
        <w:rPr>
          <w:rFonts w:ascii="Calibri" w:eastAsia="Times New Roman" w:hAnsi="Calibri" w:cs="Times New Roman"/>
          <w:i/>
          <w:szCs w:val="20"/>
        </w:rPr>
      </w:pPr>
    </w:p>
    <w:p w14:paraId="72F4490C"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This trial is categorised as:</w:t>
      </w:r>
    </w:p>
    <w:p w14:paraId="20A33504" w14:textId="77777777" w:rsidR="002F4B81" w:rsidRPr="002F4B81" w:rsidRDefault="002F4B81" w:rsidP="002F4B81">
      <w:pPr>
        <w:spacing w:after="0" w:line="240" w:lineRule="auto"/>
        <w:ind w:leftChars="773" w:left="1702" w:hanging="1"/>
        <w:jc w:val="both"/>
        <w:rPr>
          <w:rFonts w:ascii="Calibri" w:eastAsia="Times New Roman" w:hAnsi="Calibri" w:cs="Times New Roman"/>
          <w:szCs w:val="20"/>
        </w:rPr>
      </w:pPr>
    </w:p>
    <w:p w14:paraId="3035A469" w14:textId="77777777" w:rsidR="002F4B81" w:rsidRPr="002F4B81" w:rsidRDefault="002F4B81" w:rsidP="002F4B81">
      <w:pPr>
        <w:spacing w:after="0" w:line="240" w:lineRule="auto"/>
        <w:contextualSpacing/>
        <w:jc w:val="both"/>
        <w:rPr>
          <w:rFonts w:ascii="Calibri" w:eastAsia="Calibri" w:hAnsi="Calibri" w:cs="Times New Roman"/>
        </w:rPr>
      </w:pPr>
      <w:r w:rsidRPr="002F4B81">
        <w:rPr>
          <w:rFonts w:ascii="Calibri" w:eastAsia="Calibri" w:hAnsi="Calibri" w:cs="Times New Roman"/>
        </w:rPr>
        <w:t>Type B = somewhat higher than the risk of standard clinical care</w:t>
      </w:r>
    </w:p>
    <w:p w14:paraId="14F10E57" w14:textId="77777777" w:rsidR="002F4B81" w:rsidRPr="002F4B81" w:rsidRDefault="002F4B81" w:rsidP="002F4B81">
      <w:pPr>
        <w:spacing w:after="0" w:line="240" w:lineRule="auto"/>
        <w:contextualSpacing/>
        <w:jc w:val="both"/>
        <w:rPr>
          <w:rFonts w:ascii="Calibri" w:eastAsia="Calibri" w:hAnsi="Calibri" w:cs="Times New Roman"/>
        </w:rPr>
      </w:pPr>
    </w:p>
    <w:p w14:paraId="7EBFC9F0"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The trial will be managed through the Newcastle Clinical Trials Unit. The study will be co-ordinated by a Trial Management Group (TMG) that will include those individuals responsible for the day-to-day management of the trial.  The TMG will monitor all aspects of the conduct and progress of the study, ensure that the protocol is adhered to and take appropriate action to safeguard participants and the quality of the study itself. TMG meetings will occur at least monthly and include a teleconference link to other trial sites, where required. Progress will be monitored proactively according to timelines and any issues addressed. The TMG will liaise with the Trial Steering Committee (TSC), providing updates on trial progress and highlighting any issues arising.</w:t>
      </w:r>
    </w:p>
    <w:p w14:paraId="1EB2EE15" w14:textId="77777777" w:rsidR="002F4B81" w:rsidRPr="002F4B81" w:rsidRDefault="002F4B81" w:rsidP="002F4B81">
      <w:pPr>
        <w:spacing w:after="0" w:line="240" w:lineRule="auto"/>
        <w:jc w:val="both"/>
        <w:rPr>
          <w:rFonts w:ascii="Calibri" w:eastAsia="Times New Roman" w:hAnsi="Calibri" w:cs="Times New Roman"/>
          <w:szCs w:val="20"/>
        </w:rPr>
      </w:pPr>
    </w:p>
    <w:p w14:paraId="516452B3"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The Principal Investigators will be responsible for highlighting day-to-day study conduct at each site. The NCTU will provide day-to-day support for the sites and training, via Investigator meetings, site initiation visits and routine monitoring visits.</w:t>
      </w:r>
    </w:p>
    <w:p w14:paraId="10C58A47" w14:textId="77777777" w:rsidR="002F4B81" w:rsidRPr="002F4B81" w:rsidRDefault="002F4B81" w:rsidP="002F4B81">
      <w:pPr>
        <w:spacing w:after="0" w:line="240" w:lineRule="auto"/>
        <w:jc w:val="both"/>
        <w:rPr>
          <w:rFonts w:ascii="Calibri" w:eastAsia="Times New Roman" w:hAnsi="Calibri" w:cs="Times New Roman"/>
          <w:szCs w:val="20"/>
        </w:rPr>
      </w:pPr>
    </w:p>
    <w:p w14:paraId="055672D4"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 xml:space="preserve">Quality control will be maintained through adherence to NCTU SOPS, Newcastle Joint Research Office SOPs, study protocol, GCP principles, research governance and clinical trial regulations. </w:t>
      </w:r>
    </w:p>
    <w:p w14:paraId="607FE8DC" w14:textId="77777777" w:rsidR="002F4B81" w:rsidRPr="002F4B81" w:rsidRDefault="002F4B81" w:rsidP="002F4B81">
      <w:pPr>
        <w:spacing w:after="0" w:line="240" w:lineRule="auto"/>
        <w:jc w:val="both"/>
        <w:rPr>
          <w:rFonts w:ascii="Calibri" w:eastAsia="Times New Roman" w:hAnsi="Calibri" w:cs="Times New Roman"/>
          <w:szCs w:val="20"/>
        </w:rPr>
      </w:pPr>
    </w:p>
    <w:p w14:paraId="26152274"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 xml:space="preserve">An independent Data Monitoring Committee (DMC) will be established to oversee treatment outcomes during the study.  During the trial, interim analyses of baseline, follow-up data and any other analyses requested by the committee, will be supplied, in strict confidence, to the DMC chair. The DMC will include an independent statistician. This committee will monitor efficacy, </w:t>
      </w:r>
      <w:proofErr w:type="gramStart"/>
      <w:r w:rsidRPr="002F4B81">
        <w:rPr>
          <w:rFonts w:ascii="Calibri" w:eastAsia="Times New Roman" w:hAnsi="Calibri" w:cs="Times New Roman"/>
          <w:szCs w:val="20"/>
        </w:rPr>
        <w:t>safety</w:t>
      </w:r>
      <w:proofErr w:type="gramEnd"/>
      <w:r w:rsidRPr="002F4B81">
        <w:rPr>
          <w:rFonts w:ascii="Calibri" w:eastAsia="Times New Roman" w:hAnsi="Calibri" w:cs="Times New Roman"/>
          <w:szCs w:val="20"/>
        </w:rPr>
        <w:t xml:space="preserve"> and clinical outcomes. At the first meeting, the DMC will agree on its charter of operation, and discuss and advise on the inclusion of an interim analysis and possible adoption of a formal stopping rule for efficacy or safety.</w:t>
      </w:r>
    </w:p>
    <w:p w14:paraId="13D79083" w14:textId="77777777" w:rsidR="002F4B81" w:rsidRPr="002F4B81" w:rsidRDefault="002F4B81" w:rsidP="002F4B81">
      <w:pPr>
        <w:spacing w:after="0" w:line="240" w:lineRule="auto"/>
        <w:jc w:val="both"/>
        <w:rPr>
          <w:rFonts w:ascii="Calibri" w:eastAsia="Times New Roman" w:hAnsi="Calibri" w:cs="Times New Roman"/>
          <w:szCs w:val="20"/>
        </w:rPr>
      </w:pPr>
    </w:p>
    <w:p w14:paraId="4FCFB94C"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lastRenderedPageBreak/>
        <w:t xml:space="preserve">A Trial Steering Committee (TSC) will be established to provide overall –independent oversight of the </w:t>
      </w:r>
      <w:proofErr w:type="gramStart"/>
      <w:r w:rsidRPr="002F4B81">
        <w:rPr>
          <w:rFonts w:ascii="Calibri" w:eastAsia="Times New Roman" w:hAnsi="Calibri" w:cs="Times New Roman"/>
          <w:szCs w:val="20"/>
        </w:rPr>
        <w:t>trial, and</w:t>
      </w:r>
      <w:proofErr w:type="gramEnd"/>
      <w:r w:rsidRPr="002F4B81">
        <w:rPr>
          <w:rFonts w:ascii="Calibri" w:eastAsia="Times New Roman" w:hAnsi="Calibri" w:cs="Times New Roman"/>
          <w:szCs w:val="20"/>
        </w:rPr>
        <w:t xml:space="preserve"> will oversee trial conduct and progress. The Chair will be an independent consultant, and the committee will include one lay member. Members of the Trial Management Group (TMG) will attend these meetings. The TSC terms of reference and members’ names and contact details will be published ahead of its first meeting. At the first meeting, the TSC will agree on its charter of operation. The committee will meet at least annually for the duration of the trial.</w:t>
      </w:r>
    </w:p>
    <w:p w14:paraId="6F046BED" w14:textId="77777777" w:rsidR="002F4B81" w:rsidRPr="002F4B81" w:rsidRDefault="002F4B81" w:rsidP="002F4B81">
      <w:pPr>
        <w:spacing w:after="0" w:line="240" w:lineRule="auto"/>
        <w:jc w:val="both"/>
        <w:rPr>
          <w:rFonts w:ascii="Calibri" w:eastAsia="Times New Roman" w:hAnsi="Calibri" w:cs="Times New Roman"/>
          <w:szCs w:val="20"/>
        </w:rPr>
      </w:pPr>
    </w:p>
    <w:p w14:paraId="17AD62B4"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Clinical management of participants will remain subject to individual sites internal audit procedures. The Newcastle CTU will carry out monitoring to ensure appropriate study conduct and data collection. Electronic data will be stored on secure, password-protected computers. NCTU staff will use a combination of central review and site monitoring visits to ensure the study is conducted in accordance with GCP. The trial manager will conduct the site monitoring and will require access to the patients’ clinical notes and consent forms.</w:t>
      </w:r>
    </w:p>
    <w:p w14:paraId="71B053C0" w14:textId="77777777" w:rsidR="002F4B81" w:rsidRPr="002F4B81" w:rsidRDefault="002F4B81" w:rsidP="002F4B81">
      <w:pPr>
        <w:spacing w:after="0" w:line="240" w:lineRule="auto"/>
        <w:ind w:firstLine="720"/>
        <w:rPr>
          <w:rFonts w:ascii="Calibri" w:eastAsia="Times New Roman" w:hAnsi="Calibri" w:cs="Times New Roman"/>
          <w:szCs w:val="20"/>
        </w:rPr>
      </w:pPr>
    </w:p>
    <w:p w14:paraId="1489EE14" w14:textId="77777777" w:rsidR="002F4B81" w:rsidRPr="002F4B81" w:rsidRDefault="002F4B81" w:rsidP="002F4B81">
      <w:pPr>
        <w:spacing w:after="0" w:line="240" w:lineRule="auto"/>
        <w:ind w:firstLine="720"/>
        <w:rPr>
          <w:rFonts w:ascii="Calibri" w:eastAsia="Times New Roman" w:hAnsi="Calibri" w:cs="Times New Roman"/>
          <w:szCs w:val="20"/>
        </w:rPr>
      </w:pPr>
      <w:r w:rsidRPr="002F4B81">
        <w:rPr>
          <w:rFonts w:ascii="Calibri" w:eastAsia="Times New Roman" w:hAnsi="Calibri" w:cs="Times New Roman"/>
          <w:szCs w:val="20"/>
        </w:rPr>
        <w:t>The following will be monitored:</w:t>
      </w:r>
    </w:p>
    <w:p w14:paraId="0A7F3C87" w14:textId="77777777" w:rsidR="002F4B81" w:rsidRPr="002F4B81" w:rsidRDefault="002F4B81" w:rsidP="002F4B81">
      <w:pPr>
        <w:numPr>
          <w:ilvl w:val="0"/>
          <w:numId w:val="38"/>
        </w:numPr>
        <w:spacing w:after="0" w:line="276" w:lineRule="auto"/>
        <w:ind w:left="608" w:firstLine="76"/>
        <w:jc w:val="both"/>
        <w:rPr>
          <w:rFonts w:ascii="Calibri" w:eastAsia="Times New Roman" w:hAnsi="Calibri" w:cs="Times New Roman"/>
          <w:szCs w:val="20"/>
        </w:rPr>
      </w:pPr>
      <w:r w:rsidRPr="002F4B81">
        <w:rPr>
          <w:rFonts w:ascii="Calibri" w:eastAsia="Times New Roman" w:hAnsi="Calibri" w:cs="Times New Roman"/>
          <w:szCs w:val="20"/>
        </w:rPr>
        <w:t>Presence of completed original consent forms in the Investigator Site File (ISF) and copies in patients’ notes.</w:t>
      </w:r>
    </w:p>
    <w:p w14:paraId="4E41B08D" w14:textId="77777777" w:rsidR="002F4B81" w:rsidRPr="002F4B81" w:rsidRDefault="002F4B81" w:rsidP="002F4B81">
      <w:pPr>
        <w:numPr>
          <w:ilvl w:val="0"/>
          <w:numId w:val="38"/>
        </w:numPr>
        <w:spacing w:after="0" w:line="276" w:lineRule="auto"/>
        <w:ind w:left="608" w:firstLine="76"/>
        <w:jc w:val="both"/>
        <w:rPr>
          <w:rFonts w:ascii="Calibri" w:eastAsia="Times New Roman" w:hAnsi="Calibri" w:cs="Times New Roman"/>
          <w:szCs w:val="20"/>
        </w:rPr>
      </w:pPr>
      <w:r w:rsidRPr="002F4B81">
        <w:rPr>
          <w:rFonts w:ascii="Calibri" w:eastAsia="Times New Roman" w:hAnsi="Calibri" w:cs="Times New Roman"/>
          <w:szCs w:val="20"/>
        </w:rPr>
        <w:t>Existence of patients, by comparison of original consent forms with patient identification (enrolment) list.</w:t>
      </w:r>
    </w:p>
    <w:p w14:paraId="491F0330" w14:textId="77777777" w:rsidR="002F4B81" w:rsidRPr="002F4B81" w:rsidRDefault="002F4B81" w:rsidP="002F4B81">
      <w:pPr>
        <w:numPr>
          <w:ilvl w:val="0"/>
          <w:numId w:val="38"/>
        </w:numPr>
        <w:spacing w:after="0" w:line="276" w:lineRule="auto"/>
        <w:ind w:left="608" w:firstLine="76"/>
        <w:jc w:val="both"/>
        <w:rPr>
          <w:rFonts w:ascii="Calibri" w:eastAsia="Times New Roman" w:hAnsi="Calibri" w:cs="Times New Roman"/>
          <w:szCs w:val="20"/>
        </w:rPr>
      </w:pPr>
      <w:r w:rsidRPr="002F4B81">
        <w:rPr>
          <w:rFonts w:ascii="Calibri" w:eastAsia="Times New Roman" w:hAnsi="Calibri" w:cs="Times New Roman"/>
          <w:szCs w:val="20"/>
        </w:rPr>
        <w:t>Reported serious adverse events, by verification against patient notes (source data verification).</w:t>
      </w:r>
    </w:p>
    <w:p w14:paraId="45CA2CD7" w14:textId="77777777" w:rsidR="002F4B81" w:rsidRPr="002F4B81" w:rsidRDefault="002F4B81" w:rsidP="002F4B81">
      <w:pPr>
        <w:numPr>
          <w:ilvl w:val="0"/>
          <w:numId w:val="38"/>
        </w:numPr>
        <w:spacing w:after="0" w:line="276" w:lineRule="auto"/>
        <w:ind w:left="608" w:firstLine="76"/>
        <w:jc w:val="both"/>
        <w:rPr>
          <w:rFonts w:ascii="Calibri" w:eastAsia="Times New Roman" w:hAnsi="Calibri" w:cs="Times New Roman"/>
          <w:szCs w:val="20"/>
        </w:rPr>
      </w:pPr>
      <w:r w:rsidRPr="002F4B81">
        <w:rPr>
          <w:rFonts w:ascii="Calibri" w:eastAsia="Times New Roman" w:hAnsi="Calibri" w:cs="Times New Roman"/>
          <w:szCs w:val="20"/>
        </w:rPr>
        <w:t xml:space="preserve">Presence of essential documents in the ISF and study files. </w:t>
      </w:r>
    </w:p>
    <w:p w14:paraId="78271D3A" w14:textId="77777777" w:rsidR="002F4B81" w:rsidRPr="002F4B81" w:rsidRDefault="002F4B81" w:rsidP="002F4B81">
      <w:pPr>
        <w:numPr>
          <w:ilvl w:val="0"/>
          <w:numId w:val="38"/>
        </w:numPr>
        <w:spacing w:after="0" w:line="276" w:lineRule="auto"/>
        <w:ind w:left="608" w:firstLine="76"/>
        <w:jc w:val="both"/>
        <w:rPr>
          <w:rFonts w:ascii="Calibri" w:eastAsia="Times New Roman" w:hAnsi="Calibri" w:cs="Times New Roman"/>
          <w:szCs w:val="20"/>
        </w:rPr>
      </w:pPr>
      <w:r w:rsidRPr="002F4B81">
        <w:rPr>
          <w:rFonts w:ascii="Calibri" w:eastAsia="Times New Roman" w:hAnsi="Calibri" w:cs="Times New Roman"/>
          <w:szCs w:val="20"/>
        </w:rPr>
        <w:t>Primary endpoint data for a percentage of study participants, by source data verification.</w:t>
      </w:r>
    </w:p>
    <w:p w14:paraId="0F993435" w14:textId="77777777" w:rsidR="002F4B81" w:rsidRPr="002F4B81" w:rsidRDefault="002F4B81" w:rsidP="002F4B81">
      <w:pPr>
        <w:numPr>
          <w:ilvl w:val="0"/>
          <w:numId w:val="38"/>
        </w:numPr>
        <w:spacing w:after="0" w:line="276" w:lineRule="auto"/>
        <w:ind w:left="608" w:firstLine="76"/>
        <w:jc w:val="both"/>
        <w:rPr>
          <w:rFonts w:ascii="Calibri" w:eastAsia="Times New Roman" w:hAnsi="Calibri" w:cs="Times New Roman"/>
          <w:szCs w:val="20"/>
        </w:rPr>
      </w:pPr>
      <w:r w:rsidRPr="002F4B81">
        <w:rPr>
          <w:rFonts w:ascii="Calibri" w:eastAsia="Times New Roman" w:hAnsi="Calibri" w:cs="Times New Roman"/>
          <w:szCs w:val="20"/>
        </w:rPr>
        <w:t>Applications for study authorisations and submissions of progress/safety reports, for accuracy and completeness, prior to submission.</w:t>
      </w:r>
    </w:p>
    <w:p w14:paraId="03748BBB" w14:textId="77777777" w:rsidR="002F4B81" w:rsidRPr="002F4B81" w:rsidRDefault="002F4B81" w:rsidP="002F4B81">
      <w:pPr>
        <w:numPr>
          <w:ilvl w:val="0"/>
          <w:numId w:val="38"/>
        </w:numPr>
        <w:spacing w:after="0" w:line="276" w:lineRule="auto"/>
        <w:ind w:left="608" w:firstLine="76"/>
        <w:jc w:val="both"/>
        <w:rPr>
          <w:rFonts w:ascii="Calibri" w:eastAsia="Times New Roman" w:hAnsi="Calibri" w:cs="Times New Roman"/>
          <w:szCs w:val="20"/>
        </w:rPr>
      </w:pPr>
      <w:r w:rsidRPr="002F4B81">
        <w:rPr>
          <w:rFonts w:ascii="Calibri" w:eastAsia="Times New Roman" w:hAnsi="Calibri" w:cs="Times New Roman"/>
          <w:szCs w:val="20"/>
        </w:rPr>
        <w:t>Eligibility data for a percentage of study participants, by source data verification.</w:t>
      </w:r>
    </w:p>
    <w:p w14:paraId="29213A6F" w14:textId="77777777" w:rsidR="002F4B81" w:rsidRPr="002F4B81" w:rsidRDefault="002F4B81" w:rsidP="002F4B81">
      <w:pPr>
        <w:spacing w:after="0" w:line="240" w:lineRule="auto"/>
        <w:ind w:left="1328"/>
        <w:jc w:val="both"/>
        <w:rPr>
          <w:rFonts w:ascii="Calibri" w:eastAsia="Times New Roman" w:hAnsi="Calibri" w:cs="Times New Roman"/>
          <w:szCs w:val="20"/>
        </w:rPr>
      </w:pPr>
    </w:p>
    <w:p w14:paraId="7ACB8252"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All monitoring findings will be reported and followed up with the appropriate persons in a timely manner.  The study may be subject to inspection and audit by The Newcastle upon Tyne Hospitals NHS Foundation Trust under its remit as Sponsor, and other regulatory bodies, to ensure adherence to GCP. The investigators and institutions will permit study-related monitoring, audits, REC review and regulatory inspection(s), providing direct access to source data and documents relating to the study.</w:t>
      </w:r>
    </w:p>
    <w:p w14:paraId="6C53875C" w14:textId="77777777" w:rsidR="002F4B81" w:rsidRPr="002F4B81" w:rsidRDefault="002F4B81" w:rsidP="002F4B81">
      <w:pPr>
        <w:spacing w:after="0" w:line="240" w:lineRule="auto"/>
        <w:contextualSpacing/>
        <w:jc w:val="both"/>
        <w:rPr>
          <w:rFonts w:ascii="Calibri" w:eastAsia="Calibri" w:hAnsi="Calibri" w:cs="Times New Roman"/>
        </w:rPr>
      </w:pPr>
    </w:p>
    <w:p w14:paraId="5B7CD320" w14:textId="77777777" w:rsidR="002F4B81" w:rsidRPr="002F4B81" w:rsidRDefault="002F4B81" w:rsidP="002F4B81">
      <w:pPr>
        <w:keepNext/>
        <w:tabs>
          <w:tab w:val="num" w:pos="567"/>
        </w:tabs>
        <w:spacing w:after="0" w:line="360" w:lineRule="auto"/>
        <w:ind w:left="567" w:right="-154" w:hanging="567"/>
        <w:outlineLvl w:val="0"/>
        <w:rPr>
          <w:rFonts w:ascii="Calibri" w:eastAsia="Times New Roman" w:hAnsi="Calibri" w:cs="Times New Roman"/>
          <w:b/>
          <w:caps/>
          <w:sz w:val="36"/>
          <w:szCs w:val="20"/>
        </w:rPr>
      </w:pPr>
      <w:bookmarkStart w:id="9" w:name="_Toc7082709"/>
      <w:bookmarkStart w:id="10" w:name="_Toc83029331"/>
      <w:bookmarkStart w:id="11" w:name="_Toc72221682"/>
      <w:r w:rsidRPr="002F4B81">
        <w:rPr>
          <w:rFonts w:ascii="Calibri" w:eastAsia="Times New Roman" w:hAnsi="Calibri" w:cs="Times New Roman"/>
          <w:b/>
          <w:caps/>
          <w:sz w:val="36"/>
          <w:szCs w:val="20"/>
        </w:rPr>
        <w:t>Recruitment</w:t>
      </w:r>
      <w:bookmarkEnd w:id="9"/>
      <w:bookmarkEnd w:id="10"/>
    </w:p>
    <w:p w14:paraId="5EBC5275" w14:textId="77777777" w:rsidR="002F4B81" w:rsidRPr="002F4B81" w:rsidRDefault="002F4B81" w:rsidP="002F4B81">
      <w:pPr>
        <w:keepNext/>
        <w:numPr>
          <w:ilvl w:val="1"/>
          <w:numId w:val="0"/>
        </w:numPr>
        <w:tabs>
          <w:tab w:val="num" w:pos="567"/>
        </w:tabs>
        <w:spacing w:after="0" w:line="240" w:lineRule="auto"/>
        <w:ind w:left="567" w:right="-154" w:hanging="567"/>
        <w:outlineLvl w:val="1"/>
        <w:rPr>
          <w:rFonts w:ascii="Calibri" w:eastAsia="Times New Roman" w:hAnsi="Calibri" w:cs="Times New Roman"/>
          <w:b/>
          <w:sz w:val="26"/>
          <w:szCs w:val="26"/>
        </w:rPr>
      </w:pPr>
      <w:bookmarkStart w:id="12" w:name="_Toc499302670"/>
      <w:bookmarkStart w:id="13" w:name="_Toc7082710"/>
      <w:bookmarkStart w:id="14" w:name="_Toc83029332"/>
      <w:r w:rsidRPr="002F4B81">
        <w:rPr>
          <w:rFonts w:ascii="Calibri" w:eastAsia="Times New Roman" w:hAnsi="Calibri" w:cs="Times New Roman"/>
          <w:b/>
          <w:sz w:val="26"/>
          <w:szCs w:val="26"/>
        </w:rPr>
        <w:t>Patient Identification</w:t>
      </w:r>
      <w:bookmarkEnd w:id="12"/>
      <w:bookmarkEnd w:id="13"/>
      <w:r w:rsidRPr="002F4B81">
        <w:rPr>
          <w:rFonts w:ascii="Calibri" w:eastAsia="Times New Roman" w:hAnsi="Calibri" w:cs="Times New Roman"/>
          <w:b/>
          <w:sz w:val="26"/>
          <w:szCs w:val="26"/>
        </w:rPr>
        <w:t xml:space="preserve"> and Central Pre-Screening</w:t>
      </w:r>
      <w:bookmarkEnd w:id="14"/>
      <w:r w:rsidRPr="002F4B81">
        <w:rPr>
          <w:rFonts w:ascii="Calibri" w:eastAsia="Times New Roman" w:hAnsi="Calibri" w:cs="Times New Roman"/>
          <w:b/>
          <w:sz w:val="26"/>
          <w:szCs w:val="26"/>
        </w:rPr>
        <w:t xml:space="preserve"> </w:t>
      </w:r>
    </w:p>
    <w:p w14:paraId="79B4388E"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rPr>
      </w:pPr>
      <w:r w:rsidRPr="002F4B81">
        <w:rPr>
          <w:rFonts w:ascii="Calibri" w:eastAsia="Times New Roman" w:hAnsi="Calibri" w:cs="TimesNewRomanPSMT"/>
        </w:rPr>
        <w:t xml:space="preserve">Patients with a diagnosis of aHUS (based on defined criteria – </w:t>
      </w:r>
      <w:hyperlink r:id="rId11" w:history="1">
        <w:r w:rsidRPr="002F4B81">
          <w:rPr>
            <w:rFonts w:ascii="Calibri" w:eastAsia="Times New Roman" w:hAnsi="Calibri" w:cs="Times New Roman"/>
            <w:color w:val="0563C1"/>
            <w:szCs w:val="20"/>
            <w:u w:val="single"/>
          </w:rPr>
          <w:t>www.</w:t>
        </w:r>
        <w:r w:rsidRPr="002F4B81">
          <w:rPr>
            <w:rFonts w:ascii="Calibri" w:eastAsia="Times New Roman" w:hAnsi="Calibri" w:cs="TimesNewRomanPSMT"/>
            <w:color w:val="0563C1"/>
            <w:u w:val="single"/>
          </w:rPr>
          <w:t>rarerenal.org</w:t>
        </w:r>
      </w:hyperlink>
      <w:r w:rsidRPr="002F4B81">
        <w:rPr>
          <w:rFonts w:ascii="Calibri" w:eastAsia="Times New Roman" w:hAnsi="Calibri" w:cs="TimesNewRomanPSMT"/>
        </w:rPr>
        <w:t xml:space="preserve">) receiving Eculizumab to treat disease in native or transplanted kidneys will be identified by the central clinical team at Newcastle as potentially eligible for the trial. A list of patients who fulfil these criteria is maintained by the National aHUS Service based within the NRCTC as part of the NHS England commissioned service. This information is available to the central clinical trial team and will allow identification of patients who potentially fulfil the eligibility criteria. The central clinical trial team will assess eligibility by review of the patient’s medical history available on the National aHUS service database. Those patients who meet the generic eligibility criteria will be highlighted to sites. </w:t>
      </w:r>
    </w:p>
    <w:p w14:paraId="11EA8890"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rPr>
      </w:pPr>
    </w:p>
    <w:p w14:paraId="6D85C238"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rPr>
      </w:pPr>
      <w:r w:rsidRPr="002F4B81">
        <w:rPr>
          <w:rFonts w:ascii="Calibri" w:eastAsia="Times New Roman" w:hAnsi="Calibri" w:cs="TimesNewRomanPSMT"/>
        </w:rPr>
        <w:t>It is estimated that there will be 180 patients in the UK who are on Eculizumab for the treatment of aHUS during the study period (130 prevalent patients (01/04/2018) and 25 incident patients per year). From our preliminary assessment of the current patient cohort approximately 30% will not meet the inclusion/exclusion criteria, leaving a pool of approximately 80-90 prevalent patients eligible to participate in the study.</w:t>
      </w:r>
    </w:p>
    <w:p w14:paraId="3F78CA3E"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rPr>
      </w:pPr>
    </w:p>
    <w:p w14:paraId="17F37595" w14:textId="77777777" w:rsidR="002F4B81" w:rsidRPr="002F4B81" w:rsidRDefault="002F4B81" w:rsidP="002F4B81">
      <w:pPr>
        <w:keepNext/>
        <w:numPr>
          <w:ilvl w:val="1"/>
          <w:numId w:val="0"/>
        </w:numPr>
        <w:tabs>
          <w:tab w:val="num" w:pos="-153"/>
        </w:tabs>
        <w:spacing w:after="0" w:line="240" w:lineRule="auto"/>
        <w:ind w:right="-154" w:hanging="567"/>
        <w:outlineLvl w:val="1"/>
        <w:rPr>
          <w:rFonts w:ascii="Calibri" w:eastAsia="Times New Roman" w:hAnsi="Calibri" w:cs="Times New Roman"/>
          <w:b/>
          <w:sz w:val="26"/>
          <w:szCs w:val="26"/>
        </w:rPr>
      </w:pPr>
      <w:bookmarkStart w:id="15" w:name="_Toc7082711"/>
      <w:bookmarkStart w:id="16" w:name="_Toc83029333"/>
      <w:r w:rsidRPr="002F4B81">
        <w:rPr>
          <w:rFonts w:ascii="Calibri" w:eastAsia="Times New Roman" w:hAnsi="Calibri" w:cs="Times New Roman"/>
          <w:b/>
          <w:sz w:val="26"/>
          <w:szCs w:val="26"/>
        </w:rPr>
        <w:t>Setting</w:t>
      </w:r>
      <w:bookmarkEnd w:id="15"/>
      <w:bookmarkEnd w:id="16"/>
    </w:p>
    <w:p w14:paraId="71F28C6C"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szCs w:val="20"/>
        </w:rPr>
      </w:pPr>
      <w:r w:rsidRPr="002F4B81">
        <w:rPr>
          <w:rFonts w:ascii="Calibri" w:eastAsia="Times New Roman" w:hAnsi="Calibri" w:cs="TimesNewRomanPSMT"/>
          <w:szCs w:val="20"/>
        </w:rPr>
        <w:t xml:space="preserve">20 </w:t>
      </w:r>
      <w:proofErr w:type="spellStart"/>
      <w:r w:rsidRPr="002F4B81">
        <w:rPr>
          <w:rFonts w:ascii="Calibri" w:eastAsia="Times New Roman" w:hAnsi="Calibri" w:cs="TimesNewRomanPSMT"/>
          <w:szCs w:val="20"/>
        </w:rPr>
        <w:t>Renal</w:t>
      </w:r>
      <w:proofErr w:type="spellEnd"/>
      <w:r w:rsidRPr="002F4B81">
        <w:rPr>
          <w:rFonts w:ascii="Calibri" w:eastAsia="Times New Roman" w:hAnsi="Calibri" w:cs="TimesNewRomanPSMT"/>
          <w:szCs w:val="20"/>
        </w:rPr>
        <w:t xml:space="preserve"> units (secondary care) in the UK who are using Eculizumab to treat patients with aHUS. All NHS organisations providing care for patients with aHUS on Eculizumab treatment will be eligible to participate in this study. We will invite one physician responsible for these patients to act as principal investigator for the study at each site. A significant element of the study relates to safety assessments and will therefore involve clinical staff at the site.</w:t>
      </w:r>
    </w:p>
    <w:p w14:paraId="01020D64"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szCs w:val="20"/>
        </w:rPr>
      </w:pPr>
    </w:p>
    <w:p w14:paraId="46C85612"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szCs w:val="20"/>
        </w:rPr>
      </w:pPr>
      <w:r w:rsidRPr="002F4B81">
        <w:rPr>
          <w:rFonts w:ascii="Calibri" w:eastAsia="Times New Roman" w:hAnsi="Calibri" w:cs="TimesNewRomanPSMT"/>
          <w:szCs w:val="20"/>
        </w:rPr>
        <w:t>Research staff may also be involved in the visits, however, as many of the visits relate to safety the involvement of research nurses will not be an absolute requirement. This will allow sites with limited research infrastructure to participate in the study, however some research administration will be required. If this is not available in sites that want to participate, the CTU will explore options with local Research Networks.</w:t>
      </w:r>
    </w:p>
    <w:p w14:paraId="0E9AD8D8"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szCs w:val="20"/>
        </w:rPr>
      </w:pPr>
    </w:p>
    <w:p w14:paraId="657D8F6A"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szCs w:val="20"/>
        </w:rPr>
      </w:pPr>
      <w:r w:rsidRPr="002F4B81">
        <w:rPr>
          <w:rFonts w:ascii="Calibri" w:eastAsia="Times New Roman" w:hAnsi="Calibri" w:cs="TimesNewRomanPSMT"/>
          <w:szCs w:val="20"/>
        </w:rPr>
        <w:t>An additional consideration for participating sites is that the number of study visits for patients who withdraw from treatment is less than the visits required if treatment is continued. We have approached physicians at suitable sites and identified potential principal investigators who have expressed an interest in participating.</w:t>
      </w:r>
    </w:p>
    <w:p w14:paraId="1CF3B126" w14:textId="77777777" w:rsidR="002F4B81" w:rsidRPr="002F4B81" w:rsidRDefault="002F4B81" w:rsidP="002F4B81">
      <w:pPr>
        <w:autoSpaceDE w:val="0"/>
        <w:autoSpaceDN w:val="0"/>
        <w:adjustRightInd w:val="0"/>
        <w:spacing w:after="0" w:line="240" w:lineRule="auto"/>
        <w:ind w:left="-720"/>
        <w:jc w:val="both"/>
        <w:rPr>
          <w:rFonts w:ascii="Calibri" w:eastAsia="Times New Roman" w:hAnsi="Calibri" w:cs="TimesNewRomanPSMT"/>
        </w:rPr>
      </w:pPr>
    </w:p>
    <w:p w14:paraId="4BDFB7E6" w14:textId="77777777" w:rsidR="002F4B81" w:rsidRPr="002F4B81" w:rsidRDefault="002F4B81" w:rsidP="002F4B81">
      <w:pPr>
        <w:keepNext/>
        <w:numPr>
          <w:ilvl w:val="1"/>
          <w:numId w:val="0"/>
        </w:numPr>
        <w:tabs>
          <w:tab w:val="num" w:pos="-153"/>
        </w:tabs>
        <w:spacing w:after="0" w:line="240" w:lineRule="auto"/>
        <w:ind w:right="-154" w:hanging="567"/>
        <w:outlineLvl w:val="1"/>
        <w:rPr>
          <w:rFonts w:ascii="Calibri" w:eastAsia="Times New Roman" w:hAnsi="Calibri" w:cs="Times New Roman"/>
          <w:b/>
          <w:sz w:val="26"/>
          <w:szCs w:val="26"/>
        </w:rPr>
      </w:pPr>
      <w:bookmarkStart w:id="17" w:name="_Toc499302671"/>
      <w:bookmarkStart w:id="18" w:name="_Toc7082712"/>
      <w:bookmarkStart w:id="19" w:name="_Toc83029334"/>
      <w:r w:rsidRPr="002F4B81">
        <w:rPr>
          <w:rFonts w:ascii="Calibri" w:eastAsia="Times New Roman" w:hAnsi="Calibri" w:cs="Times New Roman"/>
          <w:b/>
          <w:sz w:val="26"/>
          <w:szCs w:val="26"/>
        </w:rPr>
        <w:t>Site Screening</w:t>
      </w:r>
      <w:bookmarkEnd w:id="17"/>
      <w:bookmarkEnd w:id="18"/>
      <w:r w:rsidRPr="002F4B81">
        <w:rPr>
          <w:rFonts w:ascii="Calibri" w:eastAsia="Times New Roman" w:hAnsi="Calibri" w:cs="Times New Roman"/>
          <w:b/>
          <w:sz w:val="26"/>
          <w:szCs w:val="26"/>
        </w:rPr>
        <w:t xml:space="preserve"> (day -28 to -14)</w:t>
      </w:r>
      <w:bookmarkEnd w:id="19"/>
    </w:p>
    <w:p w14:paraId="609EDC21" w14:textId="77777777" w:rsidR="002F4B81" w:rsidRPr="002F4B81" w:rsidRDefault="002F4B81" w:rsidP="002F4B81">
      <w:pPr>
        <w:spacing w:after="0" w:line="240" w:lineRule="auto"/>
        <w:ind w:left="1"/>
        <w:jc w:val="both"/>
        <w:rPr>
          <w:rFonts w:ascii="Calibri" w:eastAsia="Times New Roman" w:hAnsi="Calibri" w:cs="Times New Roman"/>
        </w:rPr>
      </w:pPr>
      <w:r w:rsidRPr="002F4B81">
        <w:rPr>
          <w:rFonts w:ascii="Calibri" w:eastAsia="Times New Roman" w:hAnsi="Calibri" w:cs="Times New Roman"/>
        </w:rPr>
        <w:t xml:space="preserve">On receipt of the central pre-screen eligibility checklist, the site can begin screening activities. This will include a review of the patients’ notes for their medical history and concomitant medications by the site research team. A physical examination and vital signs will be </w:t>
      </w:r>
      <w:proofErr w:type="gramStart"/>
      <w:r w:rsidRPr="002F4B81">
        <w:rPr>
          <w:rFonts w:ascii="Calibri" w:eastAsia="Times New Roman" w:hAnsi="Calibri" w:cs="Times New Roman"/>
        </w:rPr>
        <w:t>performed</w:t>
      </w:r>
      <w:proofErr w:type="gramEnd"/>
      <w:r w:rsidRPr="002F4B81">
        <w:rPr>
          <w:rFonts w:ascii="Calibri" w:eastAsia="Times New Roman" w:hAnsi="Calibri" w:cs="Times New Roman"/>
        </w:rPr>
        <w:t xml:space="preserve"> and routine safety laboratory tests will be reviewed to ensure that the patient fulfils all eligibility criteria (section 6.1 &amp; 6.2) for entry into the study (please see section 7.8-Schedule of events, day -28 to day -14). Site screening activities may occur </w:t>
      </w:r>
      <w:r w:rsidRPr="002F4B81">
        <w:rPr>
          <w:rFonts w:ascii="Calibri" w:eastAsia="Times New Roman" w:hAnsi="Calibri" w:cs="Calibri"/>
        </w:rPr>
        <w:t xml:space="preserve">up to 4 weeks prior to </w:t>
      </w:r>
      <w:r w:rsidRPr="002F4B81">
        <w:rPr>
          <w:rFonts w:ascii="Calibri" w:eastAsia="Times New Roman" w:hAnsi="Calibri" w:cs="Calibri"/>
          <w:szCs w:val="20"/>
        </w:rPr>
        <w:t>Baseline (Day 0 +/- 2 days) and may occur on day -14 when the patient receives their final Eculizumab infusion. Any queries regarding patient eligibility should be considered first by the PI at site and further discussed with the CI or member of the central clinical trial team before the patient is formally consented.</w:t>
      </w:r>
      <w:r w:rsidRPr="002F4B81">
        <w:rPr>
          <w:rFonts w:ascii="Calibri" w:eastAsia="Times New Roman" w:hAnsi="Calibri" w:cs="Times New Roman"/>
        </w:rPr>
        <w:t xml:space="preserve"> </w:t>
      </w:r>
    </w:p>
    <w:p w14:paraId="496FB534" w14:textId="77777777" w:rsidR="002F4B81" w:rsidRPr="002F4B81" w:rsidRDefault="002F4B81" w:rsidP="002F4B81">
      <w:pPr>
        <w:keepNext/>
        <w:numPr>
          <w:ilvl w:val="1"/>
          <w:numId w:val="0"/>
        </w:numPr>
        <w:tabs>
          <w:tab w:val="num" w:pos="-1133"/>
        </w:tabs>
        <w:spacing w:after="0" w:line="240" w:lineRule="auto"/>
        <w:ind w:left="1" w:hanging="567"/>
        <w:jc w:val="both"/>
        <w:outlineLvl w:val="1"/>
        <w:rPr>
          <w:rFonts w:ascii="Calibri" w:eastAsia="Times New Roman" w:hAnsi="Calibri" w:cs="Times New Roman"/>
          <w:b/>
          <w:sz w:val="26"/>
          <w:szCs w:val="26"/>
        </w:rPr>
      </w:pPr>
      <w:bookmarkStart w:id="20" w:name="_Toc499302672"/>
      <w:bookmarkStart w:id="21" w:name="_Toc7082713"/>
      <w:bookmarkStart w:id="22" w:name="_Toc83029335"/>
      <w:r w:rsidRPr="002F4B81">
        <w:rPr>
          <w:rFonts w:ascii="Calibri" w:eastAsia="Times New Roman" w:hAnsi="Calibri" w:cs="Times New Roman"/>
          <w:b/>
          <w:sz w:val="26"/>
          <w:szCs w:val="26"/>
        </w:rPr>
        <w:t>Consent</w:t>
      </w:r>
      <w:bookmarkEnd w:id="20"/>
      <w:bookmarkEnd w:id="21"/>
      <w:bookmarkEnd w:id="22"/>
    </w:p>
    <w:p w14:paraId="5D877636" w14:textId="77777777" w:rsidR="002F4B81" w:rsidRPr="002F4B81" w:rsidRDefault="002F4B81" w:rsidP="002F4B81">
      <w:pPr>
        <w:spacing w:after="0" w:line="240" w:lineRule="auto"/>
        <w:ind w:left="1"/>
        <w:jc w:val="both"/>
        <w:rPr>
          <w:rFonts w:ascii="Calibri" w:eastAsia="Times New Roman" w:hAnsi="Calibri" w:cs="Times New Roman"/>
        </w:rPr>
      </w:pPr>
      <w:r w:rsidRPr="002F4B81">
        <w:rPr>
          <w:rFonts w:ascii="Calibri" w:eastAsia="Times New Roman" w:hAnsi="Calibri" w:cs="Times New Roman"/>
        </w:rPr>
        <w:t xml:space="preserve">Informed consent and assent will be sought by a member of the trial team who is suitably qualified, appropriately trained and delegated to do so. Potential participants, or their parents/legal guardian for a minor, will be given at least 24 hours after being given the Patient Information Sheet (PIS) to consider their participation in the study. As part of the consent and/or assent discussion, the requirement for sexually active females to use effective contraception must be discussed and confirmation of this discussion documented as a statement in the patients notes. Consent will be sought from the parents/legal guardian on behalf of patients under the age of 16. Assent will be taken from those patients under 16 years old. </w:t>
      </w:r>
    </w:p>
    <w:p w14:paraId="30CEEC28" w14:textId="77777777" w:rsidR="002F4B81" w:rsidRPr="002F4B81" w:rsidRDefault="002F4B81" w:rsidP="002F4B81">
      <w:pPr>
        <w:spacing w:after="0" w:line="240" w:lineRule="auto"/>
        <w:ind w:left="1"/>
        <w:jc w:val="both"/>
        <w:rPr>
          <w:rFonts w:ascii="Calibri" w:eastAsia="Times New Roman" w:hAnsi="Calibri" w:cs="Times New Roman"/>
        </w:rPr>
      </w:pPr>
    </w:p>
    <w:p w14:paraId="0D467BA6" w14:textId="77777777" w:rsidR="002F4B81" w:rsidRPr="002F4B81" w:rsidRDefault="002F4B81" w:rsidP="002F4B81">
      <w:pPr>
        <w:spacing w:after="0" w:line="240" w:lineRule="auto"/>
        <w:ind w:left="1"/>
        <w:jc w:val="both"/>
        <w:rPr>
          <w:rFonts w:ascii="Calibri" w:eastAsia="Times New Roman" w:hAnsi="Calibri" w:cs="Calibri"/>
        </w:rPr>
      </w:pPr>
      <w:r w:rsidRPr="002F4B81">
        <w:rPr>
          <w:rFonts w:ascii="Calibri" w:eastAsia="Times New Roman" w:hAnsi="Calibri" w:cs="Times New Roman"/>
        </w:rPr>
        <w:t xml:space="preserve">The original signed Consent and assent forms will be retained in the Investigator Site File (ISF), with copies provided to the patient, a copy filed in the patients’ clinical notes and a copy sent by secure methods to NCTU. The copy sent to NCTU for monitoring purposes will be destroyed once reviewed. The site will allocate the participant their Unique Identification Number once </w:t>
      </w:r>
      <w:r w:rsidRPr="002F4B81">
        <w:rPr>
          <w:rFonts w:ascii="Calibri" w:eastAsia="Times New Roman" w:hAnsi="Calibri" w:cs="Times New Roman"/>
        </w:rPr>
        <w:lastRenderedPageBreak/>
        <w:t xml:space="preserve">they have consented to the study. Please note that this is different to the screening number that will be given to sites by the central trial team following genetic eligibility confirmation. </w:t>
      </w:r>
      <w:r w:rsidRPr="002F4B81">
        <w:rPr>
          <w:rFonts w:ascii="Calibri" w:eastAsia="Times New Roman" w:hAnsi="Calibri" w:cs="Times New Roman"/>
          <w:szCs w:val="20"/>
        </w:rPr>
        <w:t xml:space="preserve">The Unique ID number for withdrawal patients will be made up of the </w:t>
      </w:r>
      <w:proofErr w:type="gramStart"/>
      <w:r w:rsidRPr="002F4B81">
        <w:rPr>
          <w:rFonts w:ascii="Calibri" w:eastAsia="Times New Roman" w:hAnsi="Calibri" w:cs="Times New Roman"/>
          <w:szCs w:val="20"/>
        </w:rPr>
        <w:t>2 digit</w:t>
      </w:r>
      <w:proofErr w:type="gramEnd"/>
      <w:r w:rsidRPr="002F4B81">
        <w:rPr>
          <w:rFonts w:ascii="Calibri" w:eastAsia="Times New Roman" w:hAnsi="Calibri" w:cs="Times New Roman"/>
          <w:szCs w:val="20"/>
        </w:rPr>
        <w:t xml:space="preserve"> site code and a 3 digit patient code starting with 001 for the first Withdrawal patient and 101 for the first participant taking part in the Questionnaires only part, continuing sequentially with each consenting patient according to which part of the study they are taking part in</w:t>
      </w:r>
      <w:r w:rsidRPr="002F4B81">
        <w:rPr>
          <w:rFonts w:ascii="Calibri" w:eastAsia="Times New Roman" w:hAnsi="Calibri" w:cs="Calibri"/>
          <w:szCs w:val="20"/>
        </w:rPr>
        <w:t xml:space="preserve">. Those participants who are taking part in the Health Economics component only will have a unique ID number made up of the </w:t>
      </w:r>
      <w:proofErr w:type="gramStart"/>
      <w:r w:rsidRPr="002F4B81">
        <w:rPr>
          <w:rFonts w:ascii="Calibri" w:eastAsia="Times New Roman" w:hAnsi="Calibri" w:cs="Calibri"/>
          <w:szCs w:val="20"/>
        </w:rPr>
        <w:t>2 digit</w:t>
      </w:r>
      <w:proofErr w:type="gramEnd"/>
      <w:r w:rsidRPr="002F4B81">
        <w:rPr>
          <w:rFonts w:ascii="Calibri" w:eastAsia="Times New Roman" w:hAnsi="Calibri" w:cs="Calibri"/>
          <w:szCs w:val="20"/>
        </w:rPr>
        <w:t xml:space="preserve"> site code and a 3 digit patient code starting with 101 for the first patient and continuing sequentially with each consenting patient.</w:t>
      </w:r>
    </w:p>
    <w:p w14:paraId="64023CDC" w14:textId="77777777" w:rsidR="002F4B81" w:rsidRPr="002F4B81" w:rsidRDefault="002F4B81" w:rsidP="002F4B81">
      <w:pPr>
        <w:spacing w:after="0" w:line="240" w:lineRule="auto"/>
        <w:ind w:left="1"/>
        <w:jc w:val="both"/>
        <w:rPr>
          <w:rFonts w:ascii="Calibri" w:eastAsia="Times New Roman" w:hAnsi="Calibri" w:cs="Times New Roman"/>
        </w:rPr>
      </w:pPr>
    </w:p>
    <w:p w14:paraId="44E5AE8B" w14:textId="77777777" w:rsidR="002F4B81" w:rsidRPr="002F4B81" w:rsidRDefault="002F4B81" w:rsidP="002F4B81">
      <w:pPr>
        <w:keepNext/>
        <w:numPr>
          <w:ilvl w:val="1"/>
          <w:numId w:val="0"/>
        </w:numPr>
        <w:tabs>
          <w:tab w:val="num" w:pos="-153"/>
        </w:tabs>
        <w:spacing w:after="0" w:line="240" w:lineRule="auto"/>
        <w:ind w:right="-154" w:hanging="567"/>
        <w:outlineLvl w:val="1"/>
        <w:rPr>
          <w:rFonts w:ascii="Calibri" w:eastAsia="Times New Roman" w:hAnsi="Calibri" w:cs="Times New Roman"/>
          <w:b/>
          <w:sz w:val="26"/>
          <w:szCs w:val="26"/>
        </w:rPr>
      </w:pPr>
      <w:bookmarkStart w:id="23" w:name="_Toc7082714"/>
      <w:bookmarkStart w:id="24" w:name="_Toc83029336"/>
      <w:r w:rsidRPr="002F4B81">
        <w:rPr>
          <w:rFonts w:ascii="Calibri" w:eastAsia="Times New Roman" w:hAnsi="Calibri" w:cs="Times New Roman"/>
          <w:b/>
          <w:sz w:val="26"/>
          <w:szCs w:val="26"/>
        </w:rPr>
        <w:t>Final Eculizumab infusion (Visit 1, Day -14)</w:t>
      </w:r>
      <w:bookmarkEnd w:id="23"/>
      <w:bookmarkEnd w:id="24"/>
    </w:p>
    <w:p w14:paraId="3A65F68B" w14:textId="77777777" w:rsidR="002F4B81" w:rsidRPr="002F4B81" w:rsidRDefault="002F4B81" w:rsidP="002F4B81">
      <w:pPr>
        <w:spacing w:after="0" w:line="240" w:lineRule="auto"/>
        <w:rPr>
          <w:rFonts w:ascii="Calibri" w:eastAsia="Times New Roman" w:hAnsi="Calibri" w:cs="Calibri"/>
          <w:szCs w:val="20"/>
        </w:rPr>
      </w:pPr>
      <w:r w:rsidRPr="002F4B81">
        <w:rPr>
          <w:rFonts w:ascii="Calibri" w:eastAsia="Times New Roman" w:hAnsi="Calibri" w:cs="Calibri"/>
          <w:szCs w:val="20"/>
        </w:rPr>
        <w:t>Patients who consent to withdrawal will receive their last dose of Eculizumab at this visit (day -14). The patients will also receive their meningococcal prophylaxis as usual.</w:t>
      </w:r>
    </w:p>
    <w:p w14:paraId="74B0097C" w14:textId="77777777" w:rsidR="002F4B81" w:rsidRPr="002F4B81" w:rsidRDefault="002F4B81" w:rsidP="002F4B81">
      <w:pPr>
        <w:spacing w:after="0" w:line="240" w:lineRule="auto"/>
        <w:ind w:left="1"/>
        <w:jc w:val="both"/>
        <w:rPr>
          <w:rFonts w:ascii="Calibri" w:eastAsia="Times New Roman" w:hAnsi="Calibri" w:cs="TimesNewRomanPSMT"/>
        </w:rPr>
      </w:pPr>
    </w:p>
    <w:p w14:paraId="2068D5D5" w14:textId="77777777" w:rsidR="002F4B81" w:rsidRPr="002F4B81" w:rsidRDefault="002F4B81" w:rsidP="002F4B81">
      <w:pPr>
        <w:keepNext/>
        <w:numPr>
          <w:ilvl w:val="1"/>
          <w:numId w:val="0"/>
        </w:numPr>
        <w:tabs>
          <w:tab w:val="num" w:pos="-153"/>
        </w:tabs>
        <w:spacing w:after="0" w:line="240" w:lineRule="auto"/>
        <w:ind w:right="-154" w:hanging="567"/>
        <w:outlineLvl w:val="1"/>
        <w:rPr>
          <w:rFonts w:ascii="Calibri" w:eastAsia="Times New Roman" w:hAnsi="Calibri" w:cs="Times New Roman"/>
          <w:b/>
          <w:sz w:val="26"/>
          <w:szCs w:val="26"/>
        </w:rPr>
      </w:pPr>
      <w:bookmarkStart w:id="25" w:name="_Toc7082715"/>
      <w:bookmarkStart w:id="26" w:name="_Toc83029337"/>
      <w:r w:rsidRPr="002F4B81">
        <w:rPr>
          <w:rFonts w:ascii="Calibri" w:eastAsia="Times New Roman" w:hAnsi="Calibri" w:cs="Times New Roman"/>
          <w:b/>
          <w:sz w:val="26"/>
          <w:szCs w:val="26"/>
        </w:rPr>
        <w:t>End of trial</w:t>
      </w:r>
      <w:bookmarkEnd w:id="25"/>
      <w:bookmarkEnd w:id="26"/>
    </w:p>
    <w:p w14:paraId="70E0028D"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 xml:space="preserve">The last visit will be defined as the last patient attending their visit 34 on day 672 (+/-7 days). </w:t>
      </w:r>
    </w:p>
    <w:p w14:paraId="5CCEC193" w14:textId="77777777" w:rsidR="002F4B81" w:rsidRPr="002F4B81" w:rsidRDefault="002F4B81" w:rsidP="002F4B81">
      <w:pPr>
        <w:spacing w:after="0" w:line="240" w:lineRule="auto"/>
        <w:jc w:val="both"/>
        <w:rPr>
          <w:rFonts w:ascii="Calibri" w:eastAsia="Times New Roman" w:hAnsi="Calibri" w:cs="Times New Roman"/>
          <w:szCs w:val="20"/>
        </w:rPr>
      </w:pPr>
    </w:p>
    <w:p w14:paraId="02E5030A"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The final treatment outcome data will be collected when the final patient attends for their visit 34 At this point the end of study notification will be submitted to the Research Ethics Committee (REC). The data analysis and final report will be completed within a year of this study notification.</w:t>
      </w:r>
    </w:p>
    <w:p w14:paraId="26B259EC" w14:textId="77777777" w:rsidR="002F4B81" w:rsidRPr="002F4B81" w:rsidRDefault="002F4B81" w:rsidP="002F4B81">
      <w:pPr>
        <w:spacing w:after="0" w:line="240" w:lineRule="auto"/>
        <w:jc w:val="both"/>
        <w:rPr>
          <w:rFonts w:ascii="Calibri" w:eastAsia="Times New Roman" w:hAnsi="Calibri" w:cs="Times New Roman"/>
          <w:szCs w:val="20"/>
        </w:rPr>
      </w:pPr>
    </w:p>
    <w:p w14:paraId="23306A8F"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The trial may be ended prematurely on the recommendation of the DMC &amp; TSC if SAEs or interim analysis indicates that this is required.  The criteria of such decisions will be decided by the DMC &amp; TSC as specified in the respective charter and SAP.</w:t>
      </w:r>
    </w:p>
    <w:p w14:paraId="1374C6CB" w14:textId="77777777" w:rsidR="002F4B81" w:rsidRPr="002F4B81" w:rsidRDefault="002F4B81" w:rsidP="002F4B81">
      <w:pPr>
        <w:spacing w:after="0" w:line="240" w:lineRule="auto"/>
        <w:ind w:left="1"/>
        <w:jc w:val="both"/>
        <w:rPr>
          <w:rFonts w:ascii="Calibri" w:eastAsia="Times New Roman" w:hAnsi="Calibri" w:cs="TimesNewRomanPSMT"/>
        </w:rPr>
      </w:pPr>
    </w:p>
    <w:p w14:paraId="01FB213B" w14:textId="77777777" w:rsidR="002F4B81" w:rsidRPr="002F4B81" w:rsidRDefault="002F4B81" w:rsidP="002F4B81">
      <w:pPr>
        <w:spacing w:before="120" w:after="0" w:line="240" w:lineRule="auto"/>
        <w:jc w:val="both"/>
        <w:rPr>
          <w:rFonts w:ascii="Calibri" w:eastAsia="Times New Roman" w:hAnsi="Calibri" w:cs="Times New Roman"/>
        </w:rPr>
      </w:pPr>
    </w:p>
    <w:p w14:paraId="1A3692DA" w14:textId="77777777" w:rsidR="002F4B81" w:rsidRPr="002F4B81" w:rsidRDefault="002F4B81" w:rsidP="002F4B81">
      <w:pPr>
        <w:tabs>
          <w:tab w:val="left" w:pos="1980"/>
        </w:tabs>
        <w:spacing w:after="0" w:line="240" w:lineRule="auto"/>
        <w:ind w:right="-154"/>
        <w:rPr>
          <w:rFonts w:ascii="Tahoma" w:eastAsia="Times New Roman" w:hAnsi="Tahoma" w:cs="Times New Roman"/>
          <w:szCs w:val="20"/>
        </w:rPr>
      </w:pPr>
    </w:p>
    <w:p w14:paraId="3AAC7470" w14:textId="77777777" w:rsidR="002F4B81" w:rsidRPr="002F4B81" w:rsidRDefault="002F4B81" w:rsidP="002F4B81">
      <w:pPr>
        <w:tabs>
          <w:tab w:val="left" w:pos="1980"/>
        </w:tabs>
        <w:spacing w:after="0" w:line="240" w:lineRule="auto"/>
        <w:ind w:right="-154"/>
        <w:rPr>
          <w:rFonts w:ascii="Tahoma" w:eastAsia="Times New Roman" w:hAnsi="Tahoma" w:cs="Times New Roman"/>
          <w:szCs w:val="20"/>
        </w:rPr>
        <w:sectPr w:rsidR="002F4B81" w:rsidRPr="002F4B81">
          <w:headerReference w:type="default" r:id="rId12"/>
          <w:footerReference w:type="even" r:id="rId13"/>
          <w:footerReference w:type="default" r:id="rId14"/>
          <w:pgSz w:w="11906" w:h="16838"/>
          <w:pgMar w:top="1440" w:right="1800" w:bottom="1440" w:left="1800" w:header="708" w:footer="708" w:gutter="0"/>
          <w:cols w:space="708"/>
          <w:docGrid w:linePitch="360"/>
        </w:sectPr>
      </w:pPr>
    </w:p>
    <w:p w14:paraId="04FBC2DC" w14:textId="77777777" w:rsidR="002F4B81" w:rsidRPr="002F4B81" w:rsidRDefault="002F4B81" w:rsidP="002F4B81">
      <w:pPr>
        <w:keepNext/>
        <w:tabs>
          <w:tab w:val="num" w:pos="567"/>
        </w:tabs>
        <w:spacing w:after="0" w:line="360" w:lineRule="auto"/>
        <w:ind w:left="567" w:right="-154" w:hanging="567"/>
        <w:outlineLvl w:val="0"/>
        <w:rPr>
          <w:rFonts w:ascii="Calibri" w:eastAsia="Times New Roman" w:hAnsi="Calibri" w:cs="Times New Roman"/>
          <w:b/>
          <w:caps/>
          <w:sz w:val="36"/>
          <w:szCs w:val="20"/>
        </w:rPr>
      </w:pPr>
      <w:bookmarkStart w:id="27" w:name="_Toc7082716"/>
      <w:bookmarkStart w:id="28" w:name="_Toc83029338"/>
      <w:bookmarkStart w:id="29" w:name="_Toc72221685"/>
      <w:bookmarkEnd w:id="11"/>
      <w:r w:rsidRPr="002F4B81">
        <w:rPr>
          <w:rFonts w:ascii="Calibri" w:eastAsia="Times New Roman" w:hAnsi="Calibri" w:cs="Times New Roman"/>
          <w:b/>
          <w:caps/>
          <w:sz w:val="36"/>
          <w:szCs w:val="20"/>
        </w:rPr>
        <w:lastRenderedPageBreak/>
        <w:t>STUDY POPULATION</w:t>
      </w:r>
      <w:bookmarkEnd w:id="27"/>
      <w:bookmarkEnd w:id="28"/>
    </w:p>
    <w:p w14:paraId="496F210D" w14:textId="77777777" w:rsidR="002F4B81" w:rsidRPr="002F4B81" w:rsidRDefault="002F4B81" w:rsidP="002F4B81">
      <w:pPr>
        <w:keepNext/>
        <w:numPr>
          <w:ilvl w:val="1"/>
          <w:numId w:val="0"/>
        </w:numPr>
        <w:tabs>
          <w:tab w:val="num" w:pos="567"/>
        </w:tabs>
        <w:spacing w:after="0" w:line="240" w:lineRule="auto"/>
        <w:ind w:left="567" w:right="-154" w:hanging="567"/>
        <w:outlineLvl w:val="1"/>
        <w:rPr>
          <w:rFonts w:ascii="Calibri" w:eastAsia="Times New Roman" w:hAnsi="Calibri" w:cs="Times New Roman"/>
          <w:b/>
          <w:sz w:val="26"/>
          <w:szCs w:val="20"/>
        </w:rPr>
      </w:pPr>
      <w:bookmarkStart w:id="30" w:name="_Toc7082717"/>
      <w:bookmarkStart w:id="31" w:name="_Toc83029339"/>
      <w:r w:rsidRPr="002F4B81">
        <w:rPr>
          <w:rFonts w:ascii="Calibri" w:eastAsia="Times New Roman" w:hAnsi="Calibri" w:cs="Times New Roman"/>
          <w:b/>
          <w:sz w:val="26"/>
          <w:szCs w:val="20"/>
        </w:rPr>
        <w:t>Defining Populations for Analysis</w:t>
      </w:r>
      <w:bookmarkEnd w:id="30"/>
      <w:bookmarkEnd w:id="31"/>
    </w:p>
    <w:p w14:paraId="4753D33A" w14:textId="77777777" w:rsidR="002F4B81" w:rsidRPr="002F4B81" w:rsidRDefault="002F4B81" w:rsidP="002F4B81">
      <w:pPr>
        <w:spacing w:before="120" w:after="0" w:line="240" w:lineRule="auto"/>
        <w:jc w:val="both"/>
        <w:rPr>
          <w:rFonts w:ascii="Calibri" w:eastAsia="Times New Roman" w:hAnsi="Calibri" w:cs="Times New Roman"/>
          <w:szCs w:val="20"/>
        </w:rPr>
      </w:pPr>
      <w:r w:rsidRPr="002F4B81">
        <w:rPr>
          <w:rFonts w:ascii="Calibri" w:eastAsia="Times New Roman" w:hAnsi="Calibri" w:cs="TimesNewRomanPSMT"/>
          <w:szCs w:val="20"/>
        </w:rPr>
        <w:t xml:space="preserve">This is a single arm, non-blinded study which assesses the safety of Eculizumab withdrawal in patients with aHUS with continuous monitoring of adverse events using the Bayes factor single arm design. </w:t>
      </w:r>
      <w:r w:rsidRPr="002F4B81">
        <w:rPr>
          <w:rFonts w:ascii="Calibri" w:eastAsia="Times New Roman" w:hAnsi="Calibri" w:cs="Times New Roman"/>
          <w:szCs w:val="20"/>
        </w:rPr>
        <w:t>Patients with atypical Haemolytic Uraemic Syndrome who are receiving Eculizumab therapy are the population in question.</w:t>
      </w:r>
    </w:p>
    <w:p w14:paraId="75DB3A4C" w14:textId="77777777" w:rsidR="002F4B81" w:rsidRPr="002F4B81" w:rsidRDefault="002F4B81" w:rsidP="002F4B81">
      <w:pPr>
        <w:spacing w:after="0" w:line="240" w:lineRule="auto"/>
        <w:rPr>
          <w:rFonts w:ascii="Calibri" w:eastAsia="Times New Roman" w:hAnsi="Calibri" w:cs="Times New Roman"/>
          <w:szCs w:val="20"/>
        </w:rPr>
      </w:pPr>
    </w:p>
    <w:p w14:paraId="76587AD4" w14:textId="77777777" w:rsidR="002F4B81" w:rsidRPr="002F4B81" w:rsidRDefault="002F4B81" w:rsidP="002F4B81">
      <w:pPr>
        <w:keepNext/>
        <w:numPr>
          <w:ilvl w:val="1"/>
          <w:numId w:val="0"/>
        </w:numPr>
        <w:tabs>
          <w:tab w:val="num" w:pos="567"/>
        </w:tabs>
        <w:spacing w:after="0" w:line="240" w:lineRule="auto"/>
        <w:ind w:left="567" w:right="-154" w:hanging="567"/>
        <w:outlineLvl w:val="1"/>
        <w:rPr>
          <w:rFonts w:ascii="Calibri" w:eastAsia="Times New Roman" w:hAnsi="Calibri" w:cs="Times New Roman"/>
          <w:b/>
          <w:sz w:val="26"/>
          <w:szCs w:val="20"/>
        </w:rPr>
      </w:pPr>
      <w:bookmarkStart w:id="32" w:name="_Toc72221687"/>
      <w:bookmarkStart w:id="33" w:name="_Toc7082718"/>
      <w:bookmarkStart w:id="34" w:name="_Toc83029340"/>
      <w:bookmarkEnd w:id="29"/>
      <w:r w:rsidRPr="002F4B81">
        <w:rPr>
          <w:rFonts w:ascii="Calibri" w:eastAsia="Times New Roman" w:hAnsi="Calibri" w:cs="Times New Roman"/>
          <w:b/>
          <w:sz w:val="26"/>
          <w:szCs w:val="20"/>
        </w:rPr>
        <w:t>Baseline Patient Characteristics</w:t>
      </w:r>
      <w:bookmarkEnd w:id="32"/>
      <w:bookmarkEnd w:id="33"/>
      <w:bookmarkEnd w:id="34"/>
    </w:p>
    <w:p w14:paraId="3B6D15B8" w14:textId="77777777" w:rsidR="002F4B81" w:rsidRPr="002F4B81" w:rsidRDefault="002F4B81" w:rsidP="002F4B81">
      <w:pPr>
        <w:spacing w:before="120" w:after="0" w:line="240" w:lineRule="auto"/>
        <w:ind w:right="-153"/>
        <w:jc w:val="both"/>
        <w:rPr>
          <w:rFonts w:ascii="Calibri" w:eastAsia="Times New Roman" w:hAnsi="Calibri" w:cs="Times New Roman"/>
          <w:szCs w:val="20"/>
        </w:rPr>
      </w:pPr>
      <w:r w:rsidRPr="002F4B81">
        <w:rPr>
          <w:rFonts w:ascii="Calibri" w:eastAsia="Times New Roman" w:hAnsi="Calibri" w:cs="Times New Roman"/>
          <w:szCs w:val="20"/>
        </w:rPr>
        <w:t>Demographic and clinical characteristics at baseline will be reported descriptively. No significance testing will be carried out due to the trial being single arm.</w:t>
      </w:r>
    </w:p>
    <w:p w14:paraId="62E713AD" w14:textId="77777777" w:rsidR="002F4B81" w:rsidRPr="002F4B81" w:rsidRDefault="002F4B81" w:rsidP="002F4B81">
      <w:pPr>
        <w:spacing w:before="120" w:after="0" w:line="240" w:lineRule="auto"/>
        <w:ind w:right="-153"/>
        <w:jc w:val="both"/>
        <w:rPr>
          <w:rFonts w:ascii="Calibri" w:eastAsia="Times New Roman" w:hAnsi="Calibri" w:cs="Times New Roman"/>
          <w:szCs w:val="20"/>
        </w:rPr>
      </w:pPr>
      <w:r w:rsidRPr="002F4B81">
        <w:rPr>
          <w:rFonts w:ascii="Calibri" w:eastAsia="Times New Roman" w:hAnsi="Calibri" w:cs="Times New Roman"/>
          <w:szCs w:val="20"/>
        </w:rPr>
        <w:t>The following data will be recorded (see dummy Table 1):</w:t>
      </w:r>
    </w:p>
    <w:p w14:paraId="55EAB9E6" w14:textId="77777777" w:rsidR="002F4B81" w:rsidRPr="002F4B81" w:rsidRDefault="002F4B81" w:rsidP="002F4B81">
      <w:pPr>
        <w:spacing w:after="0" w:line="240" w:lineRule="auto"/>
        <w:rPr>
          <w:rFonts w:ascii="Calibri" w:eastAsia="Calibri" w:hAnsi="Calibri" w:cs="Calibri"/>
          <w:b/>
          <w:snapToGrid w:val="0"/>
        </w:rPr>
      </w:pPr>
    </w:p>
    <w:tbl>
      <w:tblPr>
        <w:tblW w:w="59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196"/>
        <w:gridCol w:w="335"/>
        <w:gridCol w:w="746"/>
        <w:gridCol w:w="918"/>
        <w:gridCol w:w="782"/>
      </w:tblGrid>
      <w:tr w:rsidR="002F4B81" w:rsidRPr="002F4B81" w14:paraId="4A77483D" w14:textId="77777777" w:rsidTr="00C667E5">
        <w:trPr>
          <w:trHeight w:val="274"/>
        </w:trPr>
        <w:tc>
          <w:tcPr>
            <w:tcW w:w="5977" w:type="dxa"/>
            <w:gridSpan w:val="5"/>
            <w:tcBorders>
              <w:bottom w:val="single" w:sz="4" w:space="0" w:color="auto"/>
              <w:right w:val="nil"/>
            </w:tcBorders>
            <w:shd w:val="clear" w:color="auto" w:fill="auto"/>
          </w:tcPr>
          <w:p w14:paraId="28EA9588" w14:textId="77777777" w:rsidR="002F4B81" w:rsidRPr="002F4B81" w:rsidRDefault="002F4B81" w:rsidP="002F4B81">
            <w:pPr>
              <w:keepNext/>
              <w:keepLines/>
              <w:spacing w:after="0" w:line="360" w:lineRule="auto"/>
              <w:jc w:val="center"/>
              <w:rPr>
                <w:rFonts w:ascii="Calibri" w:eastAsia="Times New Roman" w:hAnsi="Calibri" w:cs="Times New Roman"/>
                <w:b/>
                <w:bCs/>
                <w:szCs w:val="24"/>
              </w:rPr>
            </w:pPr>
            <w:r w:rsidRPr="002F4B81">
              <w:rPr>
                <w:rFonts w:ascii="Calibri" w:eastAsia="Times New Roman" w:hAnsi="Calibri" w:cs="Times New Roman"/>
                <w:b/>
                <w:snapToGrid w:val="0"/>
                <w:szCs w:val="20"/>
              </w:rPr>
              <w:t xml:space="preserve">Dummy Table 1: Baseline characteristics </w:t>
            </w:r>
          </w:p>
        </w:tc>
      </w:tr>
      <w:tr w:rsidR="002F4B81" w:rsidRPr="002F4B81" w14:paraId="15E89AB2" w14:textId="77777777" w:rsidTr="00C667E5">
        <w:trPr>
          <w:trHeight w:val="274"/>
        </w:trPr>
        <w:tc>
          <w:tcPr>
            <w:tcW w:w="3196" w:type="dxa"/>
            <w:tcBorders>
              <w:top w:val="single" w:sz="4" w:space="0" w:color="auto"/>
            </w:tcBorders>
            <w:shd w:val="clear" w:color="auto" w:fill="E7E6E6"/>
          </w:tcPr>
          <w:p w14:paraId="5D1B3116" w14:textId="77777777" w:rsidR="002F4B81" w:rsidRPr="002F4B81" w:rsidRDefault="002F4B81" w:rsidP="002F4B81">
            <w:pPr>
              <w:keepNext/>
              <w:keepLines/>
              <w:spacing w:after="0" w:line="360" w:lineRule="auto"/>
              <w:rPr>
                <w:rFonts w:ascii="Calibri" w:eastAsia="Times New Roman" w:hAnsi="Calibri" w:cs="Times New Roman"/>
                <w:b/>
                <w:bCs/>
                <w:szCs w:val="24"/>
              </w:rPr>
            </w:pPr>
          </w:p>
        </w:tc>
        <w:tc>
          <w:tcPr>
            <w:tcW w:w="0" w:type="auto"/>
            <w:gridSpan w:val="4"/>
            <w:tcBorders>
              <w:top w:val="single" w:sz="4" w:space="0" w:color="auto"/>
            </w:tcBorders>
            <w:shd w:val="clear" w:color="auto" w:fill="E7E6E6"/>
          </w:tcPr>
          <w:p w14:paraId="77370C87" w14:textId="77777777" w:rsidR="002F4B81" w:rsidRPr="002F4B81" w:rsidRDefault="002F4B81" w:rsidP="002F4B81">
            <w:pPr>
              <w:keepNext/>
              <w:keepLines/>
              <w:spacing w:after="0" w:line="360" w:lineRule="auto"/>
              <w:jc w:val="center"/>
              <w:rPr>
                <w:rFonts w:ascii="Calibri" w:eastAsia="Times New Roman" w:hAnsi="Calibri" w:cs="Times New Roman"/>
                <w:b/>
                <w:bCs/>
                <w:szCs w:val="24"/>
              </w:rPr>
            </w:pPr>
            <w:r w:rsidRPr="002F4B81">
              <w:rPr>
                <w:rFonts w:ascii="Calibri" w:eastAsia="Times New Roman" w:hAnsi="Calibri" w:cs="Times New Roman"/>
                <w:b/>
                <w:bCs/>
                <w:szCs w:val="24"/>
              </w:rPr>
              <w:t>(n= )</w:t>
            </w:r>
          </w:p>
        </w:tc>
      </w:tr>
      <w:tr w:rsidR="002F4B81" w:rsidRPr="002F4B81" w14:paraId="3BA5254F" w14:textId="77777777" w:rsidTr="00C667E5">
        <w:trPr>
          <w:trHeight w:val="391"/>
        </w:trPr>
        <w:tc>
          <w:tcPr>
            <w:tcW w:w="3196" w:type="dxa"/>
            <w:shd w:val="clear" w:color="auto" w:fill="E7E6E6"/>
          </w:tcPr>
          <w:p w14:paraId="178357B0" w14:textId="77777777" w:rsidR="002F4B81" w:rsidRPr="002F4B81" w:rsidRDefault="002F4B81" w:rsidP="002F4B81">
            <w:pPr>
              <w:keepNext/>
              <w:keepLines/>
              <w:spacing w:after="0" w:line="360" w:lineRule="auto"/>
              <w:rPr>
                <w:rFonts w:ascii="Calibri" w:eastAsia="Times New Roman" w:hAnsi="Calibri" w:cs="Times New Roman"/>
                <w:b/>
                <w:bCs/>
                <w:szCs w:val="24"/>
              </w:rPr>
            </w:pPr>
            <w:r w:rsidRPr="002F4B81">
              <w:rPr>
                <w:rFonts w:ascii="Calibri" w:eastAsia="Times New Roman" w:hAnsi="Calibri" w:cs="Times New Roman"/>
                <w:b/>
                <w:bCs/>
                <w:szCs w:val="24"/>
              </w:rPr>
              <w:t>Categorical variables</w:t>
            </w:r>
          </w:p>
        </w:tc>
        <w:tc>
          <w:tcPr>
            <w:tcW w:w="0" w:type="auto"/>
            <w:gridSpan w:val="2"/>
            <w:shd w:val="clear" w:color="auto" w:fill="E7E6E6"/>
          </w:tcPr>
          <w:p w14:paraId="24C7B72F" w14:textId="77777777" w:rsidR="002F4B81" w:rsidRPr="002F4B81" w:rsidRDefault="002F4B81" w:rsidP="002F4B81">
            <w:pPr>
              <w:keepNext/>
              <w:keepLines/>
              <w:spacing w:after="0" w:line="360" w:lineRule="auto"/>
              <w:jc w:val="center"/>
              <w:rPr>
                <w:rFonts w:ascii="Calibri" w:eastAsia="Times New Roman" w:hAnsi="Calibri" w:cs="Times New Roman"/>
                <w:b/>
                <w:szCs w:val="24"/>
              </w:rPr>
            </w:pPr>
            <w:r w:rsidRPr="002F4B81">
              <w:rPr>
                <w:rFonts w:ascii="Calibri" w:eastAsia="Times New Roman" w:hAnsi="Calibri" w:cs="Times New Roman"/>
                <w:b/>
                <w:szCs w:val="24"/>
              </w:rPr>
              <w:t>N</w:t>
            </w:r>
          </w:p>
        </w:tc>
        <w:tc>
          <w:tcPr>
            <w:tcW w:w="0" w:type="auto"/>
            <w:gridSpan w:val="2"/>
            <w:shd w:val="clear" w:color="auto" w:fill="E7E6E6"/>
          </w:tcPr>
          <w:p w14:paraId="1CCB3B0D" w14:textId="77777777" w:rsidR="002F4B81" w:rsidRPr="002F4B81" w:rsidRDefault="002F4B81" w:rsidP="002F4B81">
            <w:pPr>
              <w:keepNext/>
              <w:keepLines/>
              <w:spacing w:after="0" w:line="360" w:lineRule="auto"/>
              <w:jc w:val="center"/>
              <w:rPr>
                <w:rFonts w:ascii="Calibri" w:eastAsia="Times New Roman" w:hAnsi="Calibri" w:cs="Times New Roman"/>
                <w:b/>
                <w:szCs w:val="24"/>
              </w:rPr>
            </w:pPr>
            <w:r w:rsidRPr="002F4B81">
              <w:rPr>
                <w:rFonts w:ascii="Calibri" w:eastAsia="Times New Roman" w:hAnsi="Calibri" w:cs="Times New Roman"/>
                <w:b/>
                <w:szCs w:val="24"/>
              </w:rPr>
              <w:t>(%)</w:t>
            </w:r>
          </w:p>
        </w:tc>
      </w:tr>
      <w:tr w:rsidR="002F4B81" w:rsidRPr="002F4B81" w14:paraId="4323D745" w14:textId="77777777" w:rsidTr="00C667E5">
        <w:trPr>
          <w:trHeight w:val="483"/>
        </w:trPr>
        <w:tc>
          <w:tcPr>
            <w:tcW w:w="3196" w:type="dxa"/>
          </w:tcPr>
          <w:p w14:paraId="49951B65"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 xml:space="preserve">Sex: </w:t>
            </w:r>
          </w:p>
          <w:p w14:paraId="7848C768"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Male</w:t>
            </w:r>
          </w:p>
          <w:p w14:paraId="1B16D932"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Female</w:t>
            </w:r>
          </w:p>
        </w:tc>
        <w:tc>
          <w:tcPr>
            <w:tcW w:w="0" w:type="auto"/>
            <w:gridSpan w:val="2"/>
          </w:tcPr>
          <w:p w14:paraId="569702BE" w14:textId="77777777" w:rsidR="002F4B81" w:rsidRPr="002F4B81" w:rsidRDefault="002F4B81" w:rsidP="002F4B81">
            <w:pPr>
              <w:spacing w:after="0" w:line="240" w:lineRule="auto"/>
              <w:rPr>
                <w:rFonts w:ascii="Calibri" w:eastAsia="Times New Roman" w:hAnsi="Calibri" w:cs="Times New Roman"/>
                <w:b/>
                <w:szCs w:val="24"/>
              </w:rPr>
            </w:pPr>
          </w:p>
          <w:p w14:paraId="7A5119F9" w14:textId="77777777" w:rsidR="002F4B81" w:rsidRPr="002F4B81" w:rsidRDefault="002F4B81" w:rsidP="002F4B81">
            <w:pPr>
              <w:spacing w:after="0" w:line="240" w:lineRule="auto"/>
              <w:rPr>
                <w:rFonts w:ascii="Calibri" w:eastAsia="Times New Roman" w:hAnsi="Calibri" w:cs="Times New Roman"/>
                <w:b/>
                <w:szCs w:val="24"/>
              </w:rPr>
            </w:pPr>
          </w:p>
        </w:tc>
        <w:tc>
          <w:tcPr>
            <w:tcW w:w="0" w:type="auto"/>
            <w:gridSpan w:val="2"/>
          </w:tcPr>
          <w:p w14:paraId="145E5554" w14:textId="77777777" w:rsidR="002F4B81" w:rsidRPr="002F4B81" w:rsidRDefault="002F4B81" w:rsidP="002F4B81">
            <w:pPr>
              <w:spacing w:after="0" w:line="240" w:lineRule="auto"/>
              <w:rPr>
                <w:rFonts w:ascii="Calibri" w:eastAsia="Times New Roman" w:hAnsi="Calibri" w:cs="Times New Roman"/>
                <w:b/>
                <w:szCs w:val="24"/>
              </w:rPr>
            </w:pPr>
          </w:p>
          <w:p w14:paraId="01FC3257" w14:textId="77777777" w:rsidR="002F4B81" w:rsidRPr="002F4B81" w:rsidRDefault="002F4B81" w:rsidP="002F4B81">
            <w:pPr>
              <w:spacing w:after="0" w:line="240" w:lineRule="auto"/>
              <w:rPr>
                <w:rFonts w:ascii="Calibri" w:eastAsia="Times New Roman" w:hAnsi="Calibri" w:cs="Times New Roman"/>
                <w:b/>
                <w:szCs w:val="24"/>
              </w:rPr>
            </w:pPr>
          </w:p>
        </w:tc>
      </w:tr>
      <w:tr w:rsidR="002F4B81" w:rsidRPr="002F4B81" w14:paraId="30C96EDC" w14:textId="77777777" w:rsidTr="00C667E5">
        <w:trPr>
          <w:trHeight w:val="483"/>
        </w:trPr>
        <w:tc>
          <w:tcPr>
            <w:tcW w:w="3196" w:type="dxa"/>
          </w:tcPr>
          <w:p w14:paraId="51065D97"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Ethnicity (vs non-white)</w:t>
            </w:r>
          </w:p>
          <w:p w14:paraId="7C414D6F"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White</w:t>
            </w:r>
          </w:p>
          <w:p w14:paraId="70448485"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Non-white</w:t>
            </w:r>
          </w:p>
        </w:tc>
        <w:tc>
          <w:tcPr>
            <w:tcW w:w="0" w:type="auto"/>
            <w:gridSpan w:val="2"/>
          </w:tcPr>
          <w:p w14:paraId="0F9CE36C"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gridSpan w:val="2"/>
          </w:tcPr>
          <w:p w14:paraId="10CD5884"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r>
      <w:tr w:rsidR="002F4B81" w:rsidRPr="002F4B81" w14:paraId="1B06A88D" w14:textId="77777777" w:rsidTr="00C667E5">
        <w:trPr>
          <w:trHeight w:val="483"/>
        </w:trPr>
        <w:tc>
          <w:tcPr>
            <w:tcW w:w="3196" w:type="dxa"/>
          </w:tcPr>
          <w:p w14:paraId="3AAEBC86"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Dialysis dependent at presentation</w:t>
            </w:r>
          </w:p>
          <w:p w14:paraId="5C8328E9"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Yes</w:t>
            </w:r>
          </w:p>
        </w:tc>
        <w:tc>
          <w:tcPr>
            <w:tcW w:w="0" w:type="auto"/>
            <w:gridSpan w:val="2"/>
          </w:tcPr>
          <w:p w14:paraId="2EC55062"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gridSpan w:val="2"/>
          </w:tcPr>
          <w:p w14:paraId="62A97BFE"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r>
      <w:tr w:rsidR="002F4B81" w:rsidRPr="002F4B81" w14:paraId="6BEE9751" w14:textId="77777777" w:rsidTr="00C667E5">
        <w:trPr>
          <w:trHeight w:val="483"/>
        </w:trPr>
        <w:tc>
          <w:tcPr>
            <w:tcW w:w="3196" w:type="dxa"/>
          </w:tcPr>
          <w:p w14:paraId="697CE490"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Neurological involvement</w:t>
            </w:r>
          </w:p>
          <w:p w14:paraId="7759631E"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Yes</w:t>
            </w:r>
          </w:p>
        </w:tc>
        <w:tc>
          <w:tcPr>
            <w:tcW w:w="0" w:type="auto"/>
            <w:gridSpan w:val="2"/>
          </w:tcPr>
          <w:p w14:paraId="3B3C6AF0"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gridSpan w:val="2"/>
          </w:tcPr>
          <w:p w14:paraId="17DF488A"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r>
      <w:tr w:rsidR="002F4B81" w:rsidRPr="002F4B81" w14:paraId="5EAE0E82" w14:textId="77777777" w:rsidTr="00C667E5">
        <w:trPr>
          <w:trHeight w:val="483"/>
        </w:trPr>
        <w:tc>
          <w:tcPr>
            <w:tcW w:w="3196" w:type="dxa"/>
          </w:tcPr>
          <w:p w14:paraId="3B2FFFAD"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Any other organ involvement</w:t>
            </w:r>
          </w:p>
          <w:p w14:paraId="3B70766D"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Yes</w:t>
            </w:r>
          </w:p>
        </w:tc>
        <w:tc>
          <w:tcPr>
            <w:tcW w:w="0" w:type="auto"/>
            <w:gridSpan w:val="2"/>
          </w:tcPr>
          <w:p w14:paraId="647C009F"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gridSpan w:val="2"/>
          </w:tcPr>
          <w:p w14:paraId="0430C97A"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r>
      <w:tr w:rsidR="002F4B81" w:rsidRPr="002F4B81" w14:paraId="64CA55BE" w14:textId="77777777" w:rsidTr="00C667E5">
        <w:trPr>
          <w:trHeight w:val="483"/>
        </w:trPr>
        <w:tc>
          <w:tcPr>
            <w:tcW w:w="3196" w:type="dxa"/>
          </w:tcPr>
          <w:p w14:paraId="566F6C1D"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Plasma exchange</w:t>
            </w:r>
          </w:p>
          <w:p w14:paraId="0B937B0A"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Yes</w:t>
            </w:r>
          </w:p>
        </w:tc>
        <w:tc>
          <w:tcPr>
            <w:tcW w:w="0" w:type="auto"/>
            <w:gridSpan w:val="2"/>
          </w:tcPr>
          <w:p w14:paraId="33E3F4B1"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gridSpan w:val="2"/>
          </w:tcPr>
          <w:p w14:paraId="4B2EFDC5"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r>
      <w:tr w:rsidR="002F4B81" w:rsidRPr="002F4B81" w14:paraId="2F97E2A2" w14:textId="77777777" w:rsidTr="00C667E5">
        <w:trPr>
          <w:trHeight w:val="483"/>
        </w:trPr>
        <w:tc>
          <w:tcPr>
            <w:tcW w:w="3196" w:type="dxa"/>
          </w:tcPr>
          <w:p w14:paraId="4148386F"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Renal transplant</w:t>
            </w:r>
          </w:p>
          <w:p w14:paraId="0AA9CF12"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Yes</w:t>
            </w:r>
          </w:p>
        </w:tc>
        <w:tc>
          <w:tcPr>
            <w:tcW w:w="0" w:type="auto"/>
            <w:gridSpan w:val="2"/>
          </w:tcPr>
          <w:p w14:paraId="2F79A9BA"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gridSpan w:val="2"/>
          </w:tcPr>
          <w:p w14:paraId="69710348"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r>
      <w:tr w:rsidR="002F4B81" w:rsidRPr="002F4B81" w14:paraId="2A566C5E" w14:textId="77777777" w:rsidTr="00C667E5">
        <w:trPr>
          <w:trHeight w:val="483"/>
        </w:trPr>
        <w:tc>
          <w:tcPr>
            <w:tcW w:w="3196" w:type="dxa"/>
          </w:tcPr>
          <w:p w14:paraId="70DE35E4"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Donor type (vs deceased)</w:t>
            </w:r>
          </w:p>
          <w:p w14:paraId="17C67241"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Living donor</w:t>
            </w:r>
          </w:p>
        </w:tc>
        <w:tc>
          <w:tcPr>
            <w:tcW w:w="0" w:type="auto"/>
            <w:gridSpan w:val="2"/>
          </w:tcPr>
          <w:p w14:paraId="3319D5FF"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gridSpan w:val="2"/>
          </w:tcPr>
          <w:p w14:paraId="01335BD3"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r>
      <w:tr w:rsidR="002F4B81" w:rsidRPr="002F4B81" w14:paraId="189236E2" w14:textId="77777777" w:rsidTr="00C667E5">
        <w:trPr>
          <w:trHeight w:val="483"/>
        </w:trPr>
        <w:tc>
          <w:tcPr>
            <w:tcW w:w="3196" w:type="dxa"/>
          </w:tcPr>
          <w:p w14:paraId="50882D43"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Any other relevant diagnoses</w:t>
            </w:r>
          </w:p>
          <w:p w14:paraId="133D43E3"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Yes</w:t>
            </w:r>
          </w:p>
          <w:p w14:paraId="306223D9"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If yes, specify:</w:t>
            </w:r>
          </w:p>
        </w:tc>
        <w:tc>
          <w:tcPr>
            <w:tcW w:w="0" w:type="auto"/>
            <w:gridSpan w:val="2"/>
          </w:tcPr>
          <w:p w14:paraId="40060124"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gridSpan w:val="2"/>
          </w:tcPr>
          <w:p w14:paraId="41669C97"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r>
      <w:tr w:rsidR="002F4B81" w:rsidRPr="002F4B81" w14:paraId="0291A36D" w14:textId="77777777" w:rsidTr="00C667E5">
        <w:trPr>
          <w:trHeight w:val="483"/>
        </w:trPr>
        <w:tc>
          <w:tcPr>
            <w:tcW w:w="3196" w:type="dxa"/>
          </w:tcPr>
          <w:p w14:paraId="3C503067"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Genetic mutation</w:t>
            </w:r>
          </w:p>
          <w:p w14:paraId="6B5DB103"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Complement Factor H</w:t>
            </w:r>
          </w:p>
          <w:p w14:paraId="045CB8E1"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Complement C3</w:t>
            </w:r>
          </w:p>
          <w:p w14:paraId="742D3BB8"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Complement Factor I</w:t>
            </w:r>
          </w:p>
          <w:p w14:paraId="0658F397"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Complement Factor B</w:t>
            </w:r>
          </w:p>
          <w:p w14:paraId="1D859125"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CD46</w:t>
            </w:r>
          </w:p>
          <w:p w14:paraId="281DEF24"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 xml:space="preserve">No pathogenic variant </w:t>
            </w:r>
            <w:proofErr w:type="gramStart"/>
            <w:r w:rsidRPr="002F4B81">
              <w:rPr>
                <w:rFonts w:ascii="Calibri" w:eastAsia="Times New Roman" w:hAnsi="Calibri" w:cs="Times New Roman"/>
                <w:b/>
                <w:szCs w:val="20"/>
              </w:rPr>
              <w:t>identified</w:t>
            </w:r>
            <w:proofErr w:type="gramEnd"/>
          </w:p>
          <w:p w14:paraId="1F6C027C"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FH autoantibodies</w:t>
            </w:r>
          </w:p>
        </w:tc>
        <w:tc>
          <w:tcPr>
            <w:tcW w:w="0" w:type="auto"/>
            <w:gridSpan w:val="2"/>
          </w:tcPr>
          <w:p w14:paraId="0DA810B0"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gridSpan w:val="2"/>
          </w:tcPr>
          <w:p w14:paraId="0394E7EA"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r>
      <w:tr w:rsidR="002F4B81" w:rsidRPr="002F4B81" w14:paraId="7E0C783B" w14:textId="77777777" w:rsidTr="00C667E5">
        <w:trPr>
          <w:trHeight w:val="483"/>
        </w:trPr>
        <w:tc>
          <w:tcPr>
            <w:tcW w:w="3196" w:type="dxa"/>
          </w:tcPr>
          <w:p w14:paraId="28372E8B"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lastRenderedPageBreak/>
              <w:t>Urinalysis:</w:t>
            </w:r>
          </w:p>
          <w:p w14:paraId="680148D6"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Neg/trace</w:t>
            </w:r>
          </w:p>
          <w:p w14:paraId="14542F62"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w:t>
            </w:r>
          </w:p>
          <w:p w14:paraId="7CAA7CD1" w14:textId="77777777" w:rsidR="002F4B81" w:rsidRPr="002F4B81" w:rsidRDefault="002F4B81" w:rsidP="002F4B81">
            <w:pPr>
              <w:spacing w:after="0" w:line="240" w:lineRule="auto"/>
              <w:rPr>
                <w:rFonts w:ascii="Calibri" w:eastAsia="Times New Roman" w:hAnsi="Calibri" w:cs="Times New Roman"/>
                <w:b/>
              </w:rPr>
            </w:pPr>
            <w:r w:rsidRPr="002F4B81">
              <w:rPr>
                <w:rFonts w:ascii="Calibri" w:eastAsia="Times New Roman" w:hAnsi="Calibri" w:cs="Times New Roman"/>
                <w:b/>
              </w:rPr>
              <w:t>++</w:t>
            </w:r>
          </w:p>
          <w:p w14:paraId="3383634D"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rPr>
              <w:t>+++/++++</w:t>
            </w:r>
          </w:p>
        </w:tc>
        <w:tc>
          <w:tcPr>
            <w:tcW w:w="0" w:type="auto"/>
            <w:gridSpan w:val="2"/>
          </w:tcPr>
          <w:p w14:paraId="528540BC"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gridSpan w:val="2"/>
          </w:tcPr>
          <w:p w14:paraId="5D115C3D"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r>
      <w:tr w:rsidR="002F4B81" w:rsidRPr="002F4B81" w14:paraId="1C3EDBF6" w14:textId="77777777" w:rsidTr="00C667E5">
        <w:trPr>
          <w:trHeight w:val="370"/>
        </w:trPr>
        <w:tc>
          <w:tcPr>
            <w:tcW w:w="3196" w:type="dxa"/>
          </w:tcPr>
          <w:p w14:paraId="3F6D7B1A"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Continuous variables</w:t>
            </w:r>
          </w:p>
        </w:tc>
        <w:tc>
          <w:tcPr>
            <w:tcW w:w="0" w:type="auto"/>
          </w:tcPr>
          <w:p w14:paraId="66185E19" w14:textId="77777777" w:rsidR="002F4B81" w:rsidRPr="002F4B81" w:rsidRDefault="002F4B81" w:rsidP="002F4B81">
            <w:pPr>
              <w:keepNext/>
              <w:keepLines/>
              <w:spacing w:after="0" w:line="360" w:lineRule="auto"/>
              <w:jc w:val="center"/>
              <w:rPr>
                <w:rFonts w:ascii="Calibri" w:eastAsia="Times New Roman" w:hAnsi="Calibri" w:cs="Times New Roman"/>
                <w:b/>
                <w:szCs w:val="24"/>
              </w:rPr>
            </w:pPr>
            <w:r w:rsidRPr="002F4B81">
              <w:rPr>
                <w:rFonts w:ascii="Calibri" w:eastAsia="Times New Roman" w:hAnsi="Calibri" w:cs="Times New Roman"/>
                <w:b/>
              </w:rPr>
              <w:t>n</w:t>
            </w:r>
          </w:p>
        </w:tc>
        <w:tc>
          <w:tcPr>
            <w:tcW w:w="0" w:type="auto"/>
          </w:tcPr>
          <w:p w14:paraId="4FDED420" w14:textId="77777777" w:rsidR="002F4B81" w:rsidRPr="002F4B81" w:rsidRDefault="002F4B81" w:rsidP="002F4B81">
            <w:pPr>
              <w:spacing w:after="0" w:line="240" w:lineRule="auto"/>
              <w:rPr>
                <w:rFonts w:ascii="Calibri" w:eastAsia="Calibri" w:hAnsi="Calibri" w:cs="Calibri"/>
                <w:b/>
              </w:rPr>
            </w:pPr>
            <w:r w:rsidRPr="002F4B81">
              <w:rPr>
                <w:rFonts w:ascii="Calibri" w:eastAsia="Calibri" w:hAnsi="Calibri" w:cs="Calibri"/>
                <w:b/>
              </w:rPr>
              <w:t>Mean</w:t>
            </w:r>
          </w:p>
          <w:p w14:paraId="327CB0CF" w14:textId="77777777" w:rsidR="002F4B81" w:rsidRPr="002F4B81" w:rsidRDefault="002F4B81" w:rsidP="002F4B81">
            <w:pPr>
              <w:keepNext/>
              <w:keepLines/>
              <w:spacing w:after="0" w:line="360" w:lineRule="auto"/>
              <w:jc w:val="center"/>
              <w:rPr>
                <w:rFonts w:ascii="Calibri" w:eastAsia="Times New Roman" w:hAnsi="Calibri" w:cs="Times New Roman"/>
                <w:b/>
                <w:szCs w:val="24"/>
              </w:rPr>
            </w:pPr>
            <w:r w:rsidRPr="002F4B81">
              <w:rPr>
                <w:rFonts w:ascii="Calibri" w:eastAsia="Times New Roman" w:hAnsi="Calibri" w:cs="Times New Roman"/>
                <w:b/>
                <w:szCs w:val="20"/>
              </w:rPr>
              <w:t>(SD)</w:t>
            </w:r>
          </w:p>
        </w:tc>
        <w:tc>
          <w:tcPr>
            <w:tcW w:w="0" w:type="auto"/>
          </w:tcPr>
          <w:p w14:paraId="7497BF3A" w14:textId="77777777" w:rsidR="002F4B81" w:rsidRPr="002F4B81" w:rsidRDefault="002F4B81" w:rsidP="002F4B81">
            <w:pPr>
              <w:spacing w:after="0" w:line="240" w:lineRule="auto"/>
              <w:rPr>
                <w:rFonts w:ascii="Calibri" w:eastAsia="Calibri" w:hAnsi="Calibri" w:cs="Calibri"/>
                <w:b/>
              </w:rPr>
            </w:pPr>
            <w:r w:rsidRPr="002F4B81">
              <w:rPr>
                <w:rFonts w:ascii="Calibri" w:eastAsia="Calibri" w:hAnsi="Calibri" w:cs="Calibri"/>
                <w:b/>
              </w:rPr>
              <w:t>Median</w:t>
            </w:r>
          </w:p>
          <w:p w14:paraId="7C8FFF97" w14:textId="77777777" w:rsidR="002F4B81" w:rsidRPr="002F4B81" w:rsidRDefault="002F4B81" w:rsidP="002F4B81">
            <w:pPr>
              <w:keepNext/>
              <w:keepLines/>
              <w:spacing w:after="0" w:line="360" w:lineRule="auto"/>
              <w:jc w:val="center"/>
              <w:rPr>
                <w:rFonts w:ascii="Calibri" w:eastAsia="Times New Roman" w:hAnsi="Calibri" w:cs="Times New Roman"/>
                <w:b/>
                <w:szCs w:val="24"/>
              </w:rPr>
            </w:pPr>
            <w:r w:rsidRPr="002F4B81">
              <w:rPr>
                <w:rFonts w:ascii="Calibri" w:eastAsia="Times New Roman" w:hAnsi="Calibri" w:cs="Times New Roman"/>
                <w:b/>
                <w:szCs w:val="20"/>
              </w:rPr>
              <w:t>(IQR)</w:t>
            </w:r>
          </w:p>
        </w:tc>
        <w:tc>
          <w:tcPr>
            <w:tcW w:w="0" w:type="auto"/>
          </w:tcPr>
          <w:p w14:paraId="3B4D36DF" w14:textId="77777777" w:rsidR="002F4B81" w:rsidRPr="002F4B81" w:rsidRDefault="002F4B81" w:rsidP="002F4B81">
            <w:pPr>
              <w:keepNext/>
              <w:keepLines/>
              <w:spacing w:after="0" w:line="360" w:lineRule="auto"/>
              <w:jc w:val="center"/>
              <w:rPr>
                <w:rFonts w:ascii="Calibri" w:eastAsia="Times New Roman" w:hAnsi="Calibri" w:cs="Times New Roman"/>
                <w:b/>
                <w:szCs w:val="24"/>
              </w:rPr>
            </w:pPr>
            <w:r w:rsidRPr="002F4B81">
              <w:rPr>
                <w:rFonts w:ascii="Calibri" w:eastAsia="Times New Roman" w:hAnsi="Calibri" w:cs="Times New Roman"/>
                <w:b/>
              </w:rPr>
              <w:t>Range</w:t>
            </w:r>
          </w:p>
        </w:tc>
      </w:tr>
      <w:tr w:rsidR="002F4B81" w:rsidRPr="002F4B81" w14:paraId="5E154153" w14:textId="77777777" w:rsidTr="00C667E5">
        <w:trPr>
          <w:trHeight w:val="274"/>
        </w:trPr>
        <w:tc>
          <w:tcPr>
            <w:tcW w:w="3196" w:type="dxa"/>
          </w:tcPr>
          <w:p w14:paraId="328922C4"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 xml:space="preserve">Age in </w:t>
            </w:r>
            <w:proofErr w:type="spellStart"/>
            <w:r w:rsidRPr="002F4B81">
              <w:rPr>
                <w:rFonts w:ascii="Calibri" w:eastAsia="Times New Roman" w:hAnsi="Calibri" w:cs="Times New Roman"/>
                <w:b/>
                <w:szCs w:val="20"/>
              </w:rPr>
              <w:t>years</w:t>
            </w:r>
            <w:r w:rsidRPr="002F4B81">
              <w:rPr>
                <w:rFonts w:ascii="Calibri" w:eastAsia="Times New Roman" w:hAnsi="Calibri" w:cs="Times New Roman"/>
                <w:b/>
                <w:szCs w:val="20"/>
                <w:vertAlign w:val="superscript"/>
              </w:rPr>
              <w:t>a</w:t>
            </w:r>
            <w:proofErr w:type="spellEnd"/>
            <w:r w:rsidRPr="002F4B81">
              <w:rPr>
                <w:rFonts w:ascii="Calibri" w:eastAsia="Times New Roman" w:hAnsi="Calibri" w:cs="Times New Roman"/>
                <w:b/>
                <w:szCs w:val="20"/>
              </w:rPr>
              <w:t xml:space="preserve"> </w:t>
            </w:r>
          </w:p>
        </w:tc>
        <w:tc>
          <w:tcPr>
            <w:tcW w:w="0" w:type="auto"/>
          </w:tcPr>
          <w:p w14:paraId="52078E19"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06E32735"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5363D2BA"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3798056F" w14:textId="77777777" w:rsidR="002F4B81" w:rsidRPr="002F4B81" w:rsidRDefault="002F4B81" w:rsidP="002F4B81">
            <w:pPr>
              <w:keepNext/>
              <w:keepLines/>
              <w:spacing w:after="0" w:line="360" w:lineRule="auto"/>
              <w:ind w:left="113"/>
              <w:jc w:val="center"/>
              <w:rPr>
                <w:rFonts w:ascii="Calibri" w:eastAsia="Times New Roman" w:hAnsi="Calibri" w:cs="Times New Roman"/>
                <w:szCs w:val="24"/>
              </w:rPr>
            </w:pPr>
          </w:p>
        </w:tc>
      </w:tr>
      <w:tr w:rsidR="002F4B81" w:rsidRPr="002F4B81" w14:paraId="3B362AB0" w14:textId="77777777" w:rsidTr="00C667E5">
        <w:trPr>
          <w:trHeight w:val="274"/>
        </w:trPr>
        <w:tc>
          <w:tcPr>
            <w:tcW w:w="3196" w:type="dxa"/>
          </w:tcPr>
          <w:p w14:paraId="7077EA5C"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 xml:space="preserve">Blood pressure: </w:t>
            </w:r>
          </w:p>
          <w:p w14:paraId="4366CA20"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Systolic (mmHg)</w:t>
            </w:r>
          </w:p>
          <w:p w14:paraId="59650D75" w14:textId="77777777" w:rsidR="002F4B81" w:rsidRPr="002F4B81" w:rsidRDefault="002F4B81" w:rsidP="002F4B81">
            <w:pPr>
              <w:spacing w:after="0" w:line="240" w:lineRule="auto"/>
              <w:ind w:left="283"/>
              <w:rPr>
                <w:rFonts w:ascii="Calibri" w:eastAsia="Times New Roman" w:hAnsi="Calibri" w:cs="Times New Roman"/>
                <w:b/>
                <w:szCs w:val="20"/>
              </w:rPr>
            </w:pPr>
            <w:r w:rsidRPr="002F4B81">
              <w:rPr>
                <w:rFonts w:ascii="Calibri" w:eastAsia="Times New Roman" w:hAnsi="Calibri" w:cs="Times New Roman"/>
                <w:b/>
                <w:szCs w:val="20"/>
              </w:rPr>
              <w:t>Diastolic (mmHg)</w:t>
            </w:r>
          </w:p>
        </w:tc>
        <w:tc>
          <w:tcPr>
            <w:tcW w:w="0" w:type="auto"/>
          </w:tcPr>
          <w:p w14:paraId="14C2278F"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77745B8F"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45E96925"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2673955F" w14:textId="77777777" w:rsidR="002F4B81" w:rsidRPr="002F4B81" w:rsidRDefault="002F4B81" w:rsidP="002F4B81">
            <w:pPr>
              <w:keepNext/>
              <w:keepLines/>
              <w:spacing w:after="0" w:line="360" w:lineRule="auto"/>
              <w:ind w:left="113"/>
              <w:jc w:val="center"/>
              <w:rPr>
                <w:rFonts w:ascii="Calibri" w:eastAsia="Times New Roman" w:hAnsi="Calibri" w:cs="Times New Roman"/>
                <w:szCs w:val="24"/>
              </w:rPr>
            </w:pPr>
          </w:p>
        </w:tc>
      </w:tr>
      <w:tr w:rsidR="002F4B81" w:rsidRPr="002F4B81" w14:paraId="3A26CCEF" w14:textId="77777777" w:rsidTr="00C667E5">
        <w:trPr>
          <w:trHeight w:val="274"/>
        </w:trPr>
        <w:tc>
          <w:tcPr>
            <w:tcW w:w="3196" w:type="dxa"/>
          </w:tcPr>
          <w:p w14:paraId="28107F3A"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Pulse (bpm)</w:t>
            </w:r>
          </w:p>
        </w:tc>
        <w:tc>
          <w:tcPr>
            <w:tcW w:w="0" w:type="auto"/>
          </w:tcPr>
          <w:p w14:paraId="1BED8D05"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0347AE18"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6FEE87D0"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2CDD2024" w14:textId="77777777" w:rsidR="002F4B81" w:rsidRPr="002F4B81" w:rsidRDefault="002F4B81" w:rsidP="002F4B81">
            <w:pPr>
              <w:keepNext/>
              <w:keepLines/>
              <w:spacing w:after="0" w:line="360" w:lineRule="auto"/>
              <w:ind w:left="113"/>
              <w:jc w:val="center"/>
              <w:rPr>
                <w:rFonts w:ascii="Calibri" w:eastAsia="Times New Roman" w:hAnsi="Calibri" w:cs="Times New Roman"/>
                <w:szCs w:val="24"/>
              </w:rPr>
            </w:pPr>
          </w:p>
        </w:tc>
      </w:tr>
      <w:tr w:rsidR="002F4B81" w:rsidRPr="002F4B81" w14:paraId="22ACE854" w14:textId="77777777" w:rsidTr="00C667E5">
        <w:trPr>
          <w:trHeight w:val="274"/>
        </w:trPr>
        <w:tc>
          <w:tcPr>
            <w:tcW w:w="3196" w:type="dxa"/>
            <w:shd w:val="clear" w:color="auto" w:fill="auto"/>
          </w:tcPr>
          <w:p w14:paraId="7D90CE14"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Weight (kg)</w:t>
            </w:r>
          </w:p>
        </w:tc>
        <w:tc>
          <w:tcPr>
            <w:tcW w:w="0" w:type="auto"/>
          </w:tcPr>
          <w:p w14:paraId="373ECCA1"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7F3CFD99"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61D9D0DD"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7C2E98E8" w14:textId="77777777" w:rsidR="002F4B81" w:rsidRPr="002F4B81" w:rsidRDefault="002F4B81" w:rsidP="002F4B81">
            <w:pPr>
              <w:keepNext/>
              <w:keepLines/>
              <w:spacing w:after="0" w:line="360" w:lineRule="auto"/>
              <w:ind w:left="113"/>
              <w:jc w:val="center"/>
              <w:rPr>
                <w:rFonts w:ascii="Calibri" w:eastAsia="Times New Roman" w:hAnsi="Calibri" w:cs="Times New Roman"/>
                <w:szCs w:val="24"/>
              </w:rPr>
            </w:pPr>
          </w:p>
        </w:tc>
      </w:tr>
      <w:tr w:rsidR="002F4B81" w:rsidRPr="002F4B81" w14:paraId="54470C9E" w14:textId="77777777" w:rsidTr="00C667E5">
        <w:trPr>
          <w:trHeight w:val="274"/>
        </w:trPr>
        <w:tc>
          <w:tcPr>
            <w:tcW w:w="3196" w:type="dxa"/>
            <w:shd w:val="clear" w:color="auto" w:fill="auto"/>
          </w:tcPr>
          <w:p w14:paraId="5E59B5A8"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Height (cm)</w:t>
            </w:r>
          </w:p>
        </w:tc>
        <w:tc>
          <w:tcPr>
            <w:tcW w:w="0" w:type="auto"/>
          </w:tcPr>
          <w:p w14:paraId="329AD163"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785F9742"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063AA615"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130224B6" w14:textId="77777777" w:rsidR="002F4B81" w:rsidRPr="002F4B81" w:rsidRDefault="002F4B81" w:rsidP="002F4B81">
            <w:pPr>
              <w:keepNext/>
              <w:keepLines/>
              <w:spacing w:after="0" w:line="360" w:lineRule="auto"/>
              <w:ind w:left="113"/>
              <w:jc w:val="center"/>
              <w:rPr>
                <w:rFonts w:ascii="Calibri" w:eastAsia="Times New Roman" w:hAnsi="Calibri" w:cs="Times New Roman"/>
                <w:szCs w:val="24"/>
              </w:rPr>
            </w:pPr>
          </w:p>
        </w:tc>
      </w:tr>
      <w:tr w:rsidR="002F4B81" w:rsidRPr="002F4B81" w14:paraId="7FFF841E" w14:textId="77777777" w:rsidTr="00C667E5">
        <w:tc>
          <w:tcPr>
            <w:tcW w:w="3196" w:type="dxa"/>
            <w:shd w:val="clear" w:color="auto" w:fill="auto"/>
          </w:tcPr>
          <w:p w14:paraId="44BBF392" w14:textId="77777777" w:rsidR="002F4B81" w:rsidRPr="002F4B81" w:rsidRDefault="002F4B81" w:rsidP="002F4B81">
            <w:pPr>
              <w:spacing w:after="0" w:line="240" w:lineRule="auto"/>
              <w:rPr>
                <w:rFonts w:ascii="Calibri" w:eastAsia="Times New Roman" w:hAnsi="Calibri" w:cs="Times New Roman"/>
                <w:b/>
                <w:szCs w:val="20"/>
              </w:rPr>
            </w:pPr>
            <w:r w:rsidRPr="002F4B81">
              <w:rPr>
                <w:rFonts w:ascii="Calibri" w:eastAsia="Times New Roman" w:hAnsi="Calibri" w:cs="Times New Roman"/>
                <w:b/>
                <w:szCs w:val="20"/>
              </w:rPr>
              <w:t>Body temperature (Celsius)</w:t>
            </w:r>
          </w:p>
        </w:tc>
        <w:tc>
          <w:tcPr>
            <w:tcW w:w="0" w:type="auto"/>
          </w:tcPr>
          <w:p w14:paraId="797C10A3" w14:textId="77777777" w:rsidR="002F4B81" w:rsidRPr="002F4B81" w:rsidRDefault="002F4B81" w:rsidP="002F4B81">
            <w:pPr>
              <w:keepNext/>
              <w:keepLines/>
              <w:spacing w:after="0" w:line="360" w:lineRule="auto"/>
              <w:rPr>
                <w:rFonts w:ascii="Calibri" w:eastAsia="Times New Roman" w:hAnsi="Calibri" w:cs="Times New Roman"/>
                <w:szCs w:val="24"/>
              </w:rPr>
            </w:pPr>
          </w:p>
        </w:tc>
        <w:tc>
          <w:tcPr>
            <w:tcW w:w="0" w:type="auto"/>
          </w:tcPr>
          <w:p w14:paraId="27972CEF" w14:textId="77777777" w:rsidR="002F4B81" w:rsidRPr="002F4B81" w:rsidRDefault="002F4B81" w:rsidP="002F4B81">
            <w:pPr>
              <w:keepNext/>
              <w:keepLines/>
              <w:spacing w:after="0" w:line="360" w:lineRule="auto"/>
              <w:ind w:left="113"/>
              <w:rPr>
                <w:rFonts w:ascii="Calibri" w:eastAsia="Times New Roman" w:hAnsi="Calibri" w:cs="Times New Roman"/>
                <w:szCs w:val="24"/>
              </w:rPr>
            </w:pPr>
          </w:p>
        </w:tc>
        <w:tc>
          <w:tcPr>
            <w:tcW w:w="0" w:type="auto"/>
          </w:tcPr>
          <w:p w14:paraId="6DA3A011" w14:textId="77777777" w:rsidR="002F4B81" w:rsidRPr="002F4B81" w:rsidRDefault="002F4B81" w:rsidP="002F4B81">
            <w:pPr>
              <w:keepNext/>
              <w:keepLines/>
              <w:spacing w:after="0" w:line="360" w:lineRule="auto"/>
              <w:jc w:val="center"/>
              <w:rPr>
                <w:rFonts w:ascii="Calibri" w:eastAsia="Times New Roman" w:hAnsi="Calibri" w:cs="Times New Roman"/>
                <w:szCs w:val="24"/>
              </w:rPr>
            </w:pPr>
          </w:p>
        </w:tc>
        <w:tc>
          <w:tcPr>
            <w:tcW w:w="0" w:type="auto"/>
          </w:tcPr>
          <w:p w14:paraId="3940A4D0" w14:textId="77777777" w:rsidR="002F4B81" w:rsidRPr="002F4B81" w:rsidRDefault="002F4B81" w:rsidP="002F4B81">
            <w:pPr>
              <w:keepNext/>
              <w:keepLines/>
              <w:spacing w:after="0" w:line="360" w:lineRule="auto"/>
              <w:ind w:left="227"/>
              <w:jc w:val="center"/>
              <w:rPr>
                <w:rFonts w:ascii="Calibri" w:eastAsia="Times New Roman" w:hAnsi="Calibri" w:cs="Times New Roman"/>
                <w:szCs w:val="24"/>
              </w:rPr>
            </w:pPr>
          </w:p>
        </w:tc>
      </w:tr>
    </w:tbl>
    <w:p w14:paraId="087C7AD2" w14:textId="77777777" w:rsidR="002F4B81" w:rsidRPr="002F4B81" w:rsidRDefault="002F4B81" w:rsidP="002F4B81">
      <w:pPr>
        <w:spacing w:after="0" w:line="240" w:lineRule="auto"/>
        <w:rPr>
          <w:rFonts w:ascii="Tahoma" w:eastAsia="Times New Roman" w:hAnsi="Tahoma" w:cs="Times New Roman"/>
          <w:szCs w:val="20"/>
          <w:lang w:val="en-US"/>
        </w:rPr>
      </w:pPr>
      <w:r w:rsidRPr="002F4B81">
        <w:rPr>
          <w:rFonts w:ascii="Tahoma" w:eastAsia="Times New Roman" w:hAnsi="Tahoma" w:cs="Times New Roman"/>
          <w:szCs w:val="20"/>
          <w:vertAlign w:val="superscript"/>
          <w:lang w:val="en-US"/>
        </w:rPr>
        <w:t>a</w:t>
      </w:r>
      <w:r w:rsidRPr="002F4B81">
        <w:rPr>
          <w:rFonts w:ascii="Tahoma" w:eastAsia="Times New Roman" w:hAnsi="Tahoma" w:cs="Times New Roman"/>
          <w:szCs w:val="20"/>
          <w:lang w:val="en-US"/>
        </w:rPr>
        <w:t xml:space="preserve"> </w:t>
      </w:r>
      <w:r w:rsidRPr="002F4B81">
        <w:rPr>
          <w:rFonts w:ascii="Calibri" w:eastAsia="Times New Roman" w:hAnsi="Calibri" w:cs="Times New Roman"/>
          <w:sz w:val="18"/>
          <w:szCs w:val="18"/>
        </w:rPr>
        <w:t>DOB and date of randomisation will be used to deduce age in Stata (validated analysis package)</w:t>
      </w:r>
    </w:p>
    <w:p w14:paraId="2A8090F3" w14:textId="77777777" w:rsidR="002F4B81" w:rsidRPr="002F4B81" w:rsidRDefault="002F4B81" w:rsidP="002F4B81">
      <w:pPr>
        <w:spacing w:before="120" w:after="0" w:line="240" w:lineRule="auto"/>
        <w:ind w:right="-154"/>
        <w:jc w:val="both"/>
        <w:rPr>
          <w:rFonts w:ascii="Calibri" w:eastAsia="Times New Roman" w:hAnsi="Calibri" w:cs="Times New Roman"/>
          <w:szCs w:val="20"/>
        </w:rPr>
      </w:pPr>
    </w:p>
    <w:p w14:paraId="214578C5" w14:textId="77777777" w:rsidR="002F4B81" w:rsidRPr="002F4B81" w:rsidRDefault="002F4B81" w:rsidP="002F4B81">
      <w:pPr>
        <w:keepNext/>
        <w:tabs>
          <w:tab w:val="num" w:pos="567"/>
        </w:tabs>
        <w:spacing w:after="0" w:line="360" w:lineRule="auto"/>
        <w:ind w:left="567" w:right="-154" w:hanging="567"/>
        <w:outlineLvl w:val="0"/>
        <w:rPr>
          <w:rFonts w:ascii="Calibri" w:eastAsia="Times New Roman" w:hAnsi="Calibri" w:cs="Times New Roman"/>
          <w:b/>
          <w:caps/>
          <w:sz w:val="36"/>
          <w:szCs w:val="20"/>
        </w:rPr>
      </w:pPr>
      <w:bookmarkStart w:id="35" w:name="_Toc7082719"/>
      <w:bookmarkStart w:id="36" w:name="_Toc83029341"/>
      <w:r w:rsidRPr="002F4B81">
        <w:rPr>
          <w:rFonts w:ascii="Calibri" w:eastAsia="Times New Roman" w:hAnsi="Calibri" w:cs="Times New Roman"/>
          <w:b/>
          <w:caps/>
          <w:sz w:val="36"/>
          <w:szCs w:val="20"/>
        </w:rPr>
        <w:t>TREATMENT RECEIVED</w:t>
      </w:r>
      <w:bookmarkEnd w:id="35"/>
      <w:bookmarkEnd w:id="36"/>
    </w:p>
    <w:p w14:paraId="0136E3C7" w14:textId="77777777" w:rsidR="002F4B81" w:rsidRPr="002F4B81" w:rsidRDefault="002F4B81" w:rsidP="002F4B81">
      <w:pPr>
        <w:spacing w:after="0" w:line="240" w:lineRule="auto"/>
        <w:ind w:right="-154"/>
        <w:rPr>
          <w:rFonts w:ascii="Calibri" w:eastAsia="Times New Roman" w:hAnsi="Calibri" w:cs="TimesNewRomanPSMT"/>
          <w:szCs w:val="20"/>
        </w:rPr>
      </w:pPr>
      <w:r w:rsidRPr="002F4B81">
        <w:rPr>
          <w:rFonts w:ascii="Calibri" w:eastAsia="Times New Roman" w:hAnsi="Calibri" w:cs="TimesNewRomanPSMT"/>
          <w:szCs w:val="20"/>
        </w:rPr>
        <w:t>This was a single arm, non-blinded study assessing the effect of Eculizumab (</w:t>
      </w:r>
      <w:r w:rsidRPr="002F4B81">
        <w:rPr>
          <w:rFonts w:ascii="Calibri" w:eastAsia="Times New Roman" w:hAnsi="Calibri" w:cs="Times New Roman"/>
          <w:szCs w:val="20"/>
        </w:rPr>
        <w:t>Trade name - Solaris</w:t>
      </w:r>
      <w:r w:rsidRPr="002F4B81">
        <w:rPr>
          <w:rFonts w:ascii="Calibri" w:eastAsia="Times New Roman" w:hAnsi="Calibri" w:cs="TimesNewRomanPSMT"/>
          <w:szCs w:val="20"/>
        </w:rPr>
        <w:t xml:space="preserve">) withdrawal in patients with aHUS with continuous monitoring of adverse events using the Bayes factor single arm design. </w:t>
      </w:r>
      <w:proofErr w:type="gramStart"/>
      <w:r w:rsidRPr="002F4B81">
        <w:rPr>
          <w:rFonts w:ascii="Calibri" w:eastAsia="Times New Roman" w:hAnsi="Calibri" w:cs="TimesNewRomanPSMT"/>
          <w:szCs w:val="20"/>
        </w:rPr>
        <w:t>Therefore</w:t>
      </w:r>
      <w:proofErr w:type="gramEnd"/>
      <w:r w:rsidRPr="002F4B81">
        <w:rPr>
          <w:rFonts w:ascii="Calibri" w:eastAsia="Times New Roman" w:hAnsi="Calibri" w:cs="TimesNewRomanPSMT"/>
          <w:szCs w:val="20"/>
        </w:rPr>
        <w:t xml:space="preserve"> details of the intervention is not applicable.</w:t>
      </w:r>
    </w:p>
    <w:p w14:paraId="31CD0456" w14:textId="77777777" w:rsidR="002F4B81" w:rsidRPr="002F4B81" w:rsidRDefault="002F4B81" w:rsidP="002F4B81">
      <w:pPr>
        <w:spacing w:after="0" w:line="240" w:lineRule="auto"/>
        <w:ind w:right="-154"/>
        <w:rPr>
          <w:rFonts w:ascii="Calibri" w:eastAsia="Times New Roman" w:hAnsi="Calibri" w:cs="TimesNewRomanPSMT"/>
          <w:szCs w:val="20"/>
        </w:rPr>
      </w:pPr>
    </w:p>
    <w:p w14:paraId="212C362E" w14:textId="77777777" w:rsidR="002F4B81" w:rsidRPr="002F4B81" w:rsidRDefault="002F4B81" w:rsidP="002F4B81">
      <w:pPr>
        <w:spacing w:after="0" w:line="240" w:lineRule="auto"/>
        <w:rPr>
          <w:rFonts w:ascii="Tahoma" w:eastAsia="Times New Roman" w:hAnsi="Tahoma" w:cs="Times New Roman"/>
          <w:szCs w:val="20"/>
        </w:rPr>
      </w:pPr>
    </w:p>
    <w:p w14:paraId="38274702" w14:textId="77777777" w:rsidR="002F4B81" w:rsidRPr="002F4B81" w:rsidRDefault="002F4B81" w:rsidP="002F4B81">
      <w:pPr>
        <w:keepNext/>
        <w:numPr>
          <w:ilvl w:val="1"/>
          <w:numId w:val="0"/>
        </w:numPr>
        <w:tabs>
          <w:tab w:val="num" w:pos="567"/>
        </w:tabs>
        <w:spacing w:after="0" w:line="240" w:lineRule="auto"/>
        <w:ind w:left="360" w:hanging="567"/>
        <w:outlineLvl w:val="1"/>
        <w:rPr>
          <w:rFonts w:ascii="Calibri" w:eastAsia="Times New Roman" w:hAnsi="Calibri" w:cs="Times New Roman"/>
          <w:b/>
          <w:sz w:val="26"/>
          <w:szCs w:val="20"/>
        </w:rPr>
      </w:pPr>
      <w:bookmarkStart w:id="37" w:name="_Toc499302692"/>
      <w:bookmarkStart w:id="38" w:name="_Toc7082720"/>
      <w:bookmarkStart w:id="39" w:name="_Toc83029342"/>
      <w:r w:rsidRPr="002F4B81">
        <w:rPr>
          <w:rFonts w:ascii="Calibri" w:eastAsia="Times New Roman" w:hAnsi="Calibri" w:cs="Times New Roman"/>
          <w:b/>
          <w:sz w:val="26"/>
          <w:szCs w:val="20"/>
        </w:rPr>
        <w:t>Name and Description of withdrawn Medication</w:t>
      </w:r>
      <w:bookmarkEnd w:id="37"/>
      <w:bookmarkEnd w:id="38"/>
      <w:bookmarkEnd w:id="39"/>
    </w:p>
    <w:p w14:paraId="55DBF413" w14:textId="77777777" w:rsidR="002F4B81" w:rsidRPr="002F4B81" w:rsidRDefault="002F4B81" w:rsidP="002F4B81">
      <w:pPr>
        <w:keepNext/>
        <w:numPr>
          <w:ilvl w:val="2"/>
          <w:numId w:val="34"/>
        </w:numPr>
        <w:spacing w:after="0" w:line="240" w:lineRule="auto"/>
        <w:outlineLvl w:val="1"/>
        <w:rPr>
          <w:rFonts w:ascii="Calibri" w:eastAsia="Times New Roman" w:hAnsi="Calibri" w:cs="Times New Roman"/>
          <w:b/>
        </w:rPr>
      </w:pPr>
      <w:bookmarkStart w:id="40" w:name="_Toc499302693"/>
      <w:bookmarkStart w:id="41" w:name="_Toc7082721"/>
      <w:bookmarkStart w:id="42" w:name="_Toc83029343"/>
      <w:r w:rsidRPr="002F4B81">
        <w:rPr>
          <w:rFonts w:ascii="Calibri" w:eastAsia="Times New Roman" w:hAnsi="Calibri" w:cs="Times New Roman"/>
          <w:b/>
        </w:rPr>
        <w:t>Eculizumab</w:t>
      </w:r>
      <w:bookmarkEnd w:id="40"/>
      <w:bookmarkEnd w:id="41"/>
      <w:bookmarkEnd w:id="42"/>
    </w:p>
    <w:p w14:paraId="722F650D" w14:textId="77777777" w:rsidR="002F4B81" w:rsidRPr="002F4B81" w:rsidRDefault="002F4B81" w:rsidP="002F4B81">
      <w:pPr>
        <w:spacing w:after="0" w:line="240" w:lineRule="auto"/>
        <w:ind w:left="1080"/>
        <w:jc w:val="both"/>
        <w:rPr>
          <w:rFonts w:ascii="Calibri" w:eastAsia="Times New Roman" w:hAnsi="Calibri" w:cs="Times New Roman"/>
          <w:szCs w:val="20"/>
        </w:rPr>
      </w:pPr>
      <w:r w:rsidRPr="002F4B81">
        <w:rPr>
          <w:rFonts w:ascii="Calibri" w:eastAsia="Times New Roman" w:hAnsi="Calibri" w:cs="Times New Roman"/>
          <w:szCs w:val="20"/>
        </w:rPr>
        <w:t>Eculizumab is a humanised monoclonal antibody directed against complement component 5. It is licenced for treatment of aHUS and paroxysmal nocturnal haemoglobinuria. For aHUS, the licence is for continuous treatment once initiated.</w:t>
      </w:r>
    </w:p>
    <w:p w14:paraId="1F448FFF" w14:textId="77777777" w:rsidR="002F4B81" w:rsidRPr="002F4B81" w:rsidRDefault="002F4B81" w:rsidP="002F4B81">
      <w:pPr>
        <w:spacing w:after="0" w:line="240" w:lineRule="auto"/>
        <w:ind w:left="1080"/>
        <w:rPr>
          <w:rFonts w:ascii="Calibri" w:eastAsia="Times New Roman" w:hAnsi="Calibri" w:cs="Times New Roman"/>
          <w:sz w:val="24"/>
          <w:szCs w:val="26"/>
        </w:rPr>
      </w:pPr>
    </w:p>
    <w:p w14:paraId="2454EF3F" w14:textId="77777777" w:rsidR="002F4B81" w:rsidRPr="002F4B81" w:rsidRDefault="002F4B81" w:rsidP="002F4B81">
      <w:pPr>
        <w:keepNext/>
        <w:numPr>
          <w:ilvl w:val="2"/>
          <w:numId w:val="34"/>
        </w:numPr>
        <w:spacing w:after="0" w:line="240" w:lineRule="auto"/>
        <w:outlineLvl w:val="1"/>
        <w:rPr>
          <w:rFonts w:ascii="Calibri" w:eastAsia="Times New Roman" w:hAnsi="Calibri" w:cs="Times New Roman"/>
          <w:b/>
        </w:rPr>
      </w:pPr>
      <w:bookmarkStart w:id="43" w:name="_Toc499302694"/>
      <w:bookmarkStart w:id="44" w:name="_Toc7082722"/>
      <w:bookmarkStart w:id="45" w:name="_Toc83029344"/>
      <w:r w:rsidRPr="002F4B81">
        <w:rPr>
          <w:rFonts w:ascii="Calibri" w:eastAsia="Times New Roman" w:hAnsi="Calibri" w:cs="Times New Roman"/>
          <w:b/>
        </w:rPr>
        <w:t>Access to Eculizumab</w:t>
      </w:r>
      <w:bookmarkEnd w:id="43"/>
      <w:bookmarkEnd w:id="44"/>
      <w:bookmarkEnd w:id="45"/>
    </w:p>
    <w:p w14:paraId="696B13E8" w14:textId="77777777" w:rsidR="002F4B81" w:rsidRPr="002F4B81" w:rsidRDefault="002F4B81" w:rsidP="002F4B81">
      <w:pPr>
        <w:spacing w:after="0" w:line="240" w:lineRule="auto"/>
        <w:ind w:left="862"/>
        <w:jc w:val="both"/>
        <w:rPr>
          <w:rFonts w:ascii="Calibri" w:eastAsia="Times New Roman" w:hAnsi="Calibri" w:cs="Times New Roman"/>
          <w:szCs w:val="20"/>
        </w:rPr>
      </w:pPr>
      <w:r w:rsidRPr="002F4B81">
        <w:rPr>
          <w:rFonts w:ascii="Calibri" w:eastAsia="Times New Roman" w:hAnsi="Calibri" w:cs="Times New Roman"/>
          <w:szCs w:val="20"/>
        </w:rPr>
        <w:t xml:space="preserve">Eculizumab is available to all sites in the UK within 24 hours to permit rapid treatment of active disease. This will be organized by the local site or coordinating centre. If patients are travelling overseas, we will </w:t>
      </w:r>
      <w:proofErr w:type="gramStart"/>
      <w:r w:rsidRPr="002F4B81">
        <w:rPr>
          <w:rFonts w:ascii="Calibri" w:eastAsia="Times New Roman" w:hAnsi="Calibri" w:cs="Times New Roman"/>
          <w:szCs w:val="20"/>
        </w:rPr>
        <w:t>make arrangements</w:t>
      </w:r>
      <w:proofErr w:type="gramEnd"/>
      <w:r w:rsidRPr="002F4B81">
        <w:rPr>
          <w:rFonts w:ascii="Calibri" w:eastAsia="Times New Roman" w:hAnsi="Calibri" w:cs="Times New Roman"/>
          <w:szCs w:val="20"/>
        </w:rPr>
        <w:t xml:space="preserve"> with the destination country to access Eculizumab if required, with arrangements from the UK commissioning authority.</w:t>
      </w:r>
    </w:p>
    <w:p w14:paraId="4BE7AB2F" w14:textId="77777777" w:rsidR="002F4B81" w:rsidRPr="002F4B81" w:rsidRDefault="002F4B81" w:rsidP="002F4B81">
      <w:pPr>
        <w:spacing w:after="0" w:line="240" w:lineRule="auto"/>
        <w:ind w:left="720"/>
        <w:rPr>
          <w:rFonts w:ascii="Calibri" w:eastAsia="Times New Roman" w:hAnsi="Calibri" w:cs="Times New Roman"/>
          <w:szCs w:val="20"/>
        </w:rPr>
      </w:pPr>
    </w:p>
    <w:p w14:paraId="119F063D" w14:textId="77777777" w:rsidR="002F4B81" w:rsidRPr="002F4B81" w:rsidRDefault="002F4B81" w:rsidP="002F4B81">
      <w:pPr>
        <w:keepNext/>
        <w:numPr>
          <w:ilvl w:val="1"/>
          <w:numId w:val="0"/>
        </w:numPr>
        <w:tabs>
          <w:tab w:val="num" w:pos="567"/>
        </w:tabs>
        <w:spacing w:after="0" w:line="240" w:lineRule="auto"/>
        <w:ind w:left="862" w:hanging="567"/>
        <w:outlineLvl w:val="1"/>
        <w:rPr>
          <w:rFonts w:ascii="Calibri" w:eastAsia="Times New Roman" w:hAnsi="Calibri" w:cs="Times New Roman"/>
          <w:b/>
          <w:sz w:val="26"/>
          <w:szCs w:val="20"/>
        </w:rPr>
      </w:pPr>
      <w:bookmarkStart w:id="46" w:name="_Toc499302695"/>
      <w:bookmarkStart w:id="47" w:name="_Toc7082723"/>
      <w:bookmarkStart w:id="48" w:name="_Toc83029345"/>
      <w:r w:rsidRPr="002F4B81">
        <w:rPr>
          <w:rFonts w:ascii="Calibri" w:eastAsia="Times New Roman" w:hAnsi="Calibri" w:cs="Times New Roman"/>
          <w:b/>
          <w:sz w:val="26"/>
          <w:szCs w:val="20"/>
        </w:rPr>
        <w:t>Relapse Information</w:t>
      </w:r>
      <w:bookmarkEnd w:id="46"/>
      <w:bookmarkEnd w:id="47"/>
      <w:bookmarkEnd w:id="48"/>
    </w:p>
    <w:p w14:paraId="1CBF15AC" w14:textId="77777777" w:rsidR="002F4B81" w:rsidRPr="002F4B81" w:rsidRDefault="002F4B81" w:rsidP="002F4B81">
      <w:pPr>
        <w:spacing w:after="0" w:line="240" w:lineRule="auto"/>
        <w:rPr>
          <w:rFonts w:ascii="Calibri" w:eastAsia="Times New Roman" w:hAnsi="Calibri" w:cs="Times New Roman"/>
          <w:szCs w:val="20"/>
        </w:rPr>
      </w:pPr>
    </w:p>
    <w:p w14:paraId="69AF3435" w14:textId="77777777" w:rsidR="002F4B81" w:rsidRPr="002F4B81" w:rsidRDefault="002F4B81" w:rsidP="002F4B81">
      <w:pPr>
        <w:spacing w:after="0" w:line="240" w:lineRule="auto"/>
        <w:ind w:left="862"/>
        <w:jc w:val="both"/>
        <w:rPr>
          <w:rFonts w:ascii="Calibri" w:eastAsia="Times New Roman" w:hAnsi="Calibri" w:cs="Times New Roman"/>
          <w:szCs w:val="20"/>
        </w:rPr>
      </w:pPr>
      <w:r w:rsidRPr="002F4B81">
        <w:rPr>
          <w:rFonts w:ascii="Calibri" w:eastAsia="Times New Roman" w:hAnsi="Calibri" w:cs="Times New Roman"/>
          <w:szCs w:val="20"/>
        </w:rPr>
        <w:t>The withdrawal of Eculizumab treatment could lead to a relapse of aHUS. No other adverse effects are expected. Relapse should be considered if:</w:t>
      </w:r>
    </w:p>
    <w:p w14:paraId="0172D576" w14:textId="77777777" w:rsidR="002F4B81" w:rsidRPr="002F4B81" w:rsidRDefault="002F4B81" w:rsidP="002F4B81">
      <w:pPr>
        <w:numPr>
          <w:ilvl w:val="0"/>
          <w:numId w:val="48"/>
        </w:numPr>
        <w:spacing w:after="200" w:line="276" w:lineRule="auto"/>
        <w:contextualSpacing/>
        <w:jc w:val="both"/>
        <w:rPr>
          <w:rFonts w:ascii="Calibri" w:eastAsia="Calibri" w:hAnsi="Calibri" w:cs="Times New Roman"/>
        </w:rPr>
      </w:pPr>
      <w:r w:rsidRPr="002F4B81">
        <w:rPr>
          <w:rFonts w:ascii="Calibri" w:eastAsia="Calibri" w:hAnsi="Calibri" w:cs="Times New Roman"/>
        </w:rPr>
        <w:t>The participant presents with symptoms or signs that would be consistent with the development of a TMA including neurological symptoms signs or of renal disease (macroscopic haematuria, fluid retention, fatigue)</w:t>
      </w:r>
    </w:p>
    <w:p w14:paraId="2D73BB2D" w14:textId="77777777" w:rsidR="002F4B81" w:rsidRPr="002F4B81" w:rsidRDefault="002F4B81" w:rsidP="002F4B81">
      <w:pPr>
        <w:numPr>
          <w:ilvl w:val="0"/>
          <w:numId w:val="48"/>
        </w:numPr>
        <w:spacing w:after="200" w:line="276" w:lineRule="auto"/>
        <w:contextualSpacing/>
        <w:jc w:val="both"/>
        <w:rPr>
          <w:rFonts w:ascii="Calibri" w:eastAsia="Calibri" w:hAnsi="Calibri" w:cs="Times New Roman"/>
        </w:rPr>
      </w:pPr>
      <w:r w:rsidRPr="002F4B81">
        <w:rPr>
          <w:rFonts w:ascii="Calibri" w:eastAsia="Calibri" w:hAnsi="Calibri" w:cs="Times New Roman"/>
        </w:rPr>
        <w:t xml:space="preserve">The participant presents with any unexpected </w:t>
      </w:r>
      <w:proofErr w:type="gramStart"/>
      <w:r w:rsidRPr="002F4B81">
        <w:rPr>
          <w:rFonts w:ascii="Calibri" w:eastAsia="Calibri" w:hAnsi="Calibri" w:cs="Times New Roman"/>
        </w:rPr>
        <w:t>illness</w:t>
      </w:r>
      <w:proofErr w:type="gramEnd"/>
    </w:p>
    <w:p w14:paraId="4BE086BD" w14:textId="77777777" w:rsidR="002F4B81" w:rsidRPr="002F4B81" w:rsidRDefault="002F4B81" w:rsidP="002F4B81">
      <w:pPr>
        <w:numPr>
          <w:ilvl w:val="0"/>
          <w:numId w:val="48"/>
        </w:numPr>
        <w:spacing w:after="200" w:line="276" w:lineRule="auto"/>
        <w:contextualSpacing/>
        <w:jc w:val="both"/>
        <w:rPr>
          <w:rFonts w:ascii="Calibri" w:eastAsia="Calibri" w:hAnsi="Calibri" w:cs="Times New Roman"/>
        </w:rPr>
      </w:pPr>
      <w:r w:rsidRPr="002F4B81">
        <w:rPr>
          <w:rFonts w:ascii="Calibri" w:eastAsia="Calibri" w:hAnsi="Calibri" w:cs="Times New Roman"/>
        </w:rPr>
        <w:lastRenderedPageBreak/>
        <w:t>Evidence of thrombocytopenia, microangiopathic haemolytic anaemia or deterioration in renal function at a study visit</w:t>
      </w:r>
    </w:p>
    <w:p w14:paraId="7F9DDA62" w14:textId="77777777" w:rsidR="002F4B81" w:rsidRPr="002F4B81" w:rsidRDefault="002F4B81" w:rsidP="002F4B81">
      <w:pPr>
        <w:numPr>
          <w:ilvl w:val="0"/>
          <w:numId w:val="48"/>
        </w:numPr>
        <w:spacing w:after="200" w:line="276" w:lineRule="auto"/>
        <w:contextualSpacing/>
        <w:jc w:val="both"/>
        <w:rPr>
          <w:rFonts w:ascii="Calibri" w:eastAsia="Calibri" w:hAnsi="Calibri" w:cs="Times New Roman"/>
        </w:rPr>
      </w:pPr>
      <w:r w:rsidRPr="002F4B81">
        <w:rPr>
          <w:rFonts w:ascii="Calibri" w:eastAsia="Calibri" w:hAnsi="Calibri" w:cs="Times New Roman"/>
        </w:rPr>
        <w:t xml:space="preserve">Increased haematuria detected by </w:t>
      </w:r>
      <w:proofErr w:type="gramStart"/>
      <w:r w:rsidRPr="002F4B81">
        <w:rPr>
          <w:rFonts w:ascii="Calibri" w:eastAsia="Calibri" w:hAnsi="Calibri" w:cs="Times New Roman"/>
        </w:rPr>
        <w:t>urinalysis</w:t>
      </w:r>
      <w:proofErr w:type="gramEnd"/>
    </w:p>
    <w:p w14:paraId="65CFE254" w14:textId="77777777" w:rsidR="002F4B81" w:rsidRPr="002F4B81" w:rsidRDefault="002F4B81" w:rsidP="002F4B81">
      <w:pPr>
        <w:spacing w:after="0" w:line="240" w:lineRule="auto"/>
        <w:ind w:left="720"/>
        <w:jc w:val="both"/>
        <w:rPr>
          <w:rFonts w:ascii="Calibri" w:eastAsia="Times New Roman" w:hAnsi="Calibri" w:cs="Times New Roman"/>
          <w:szCs w:val="20"/>
        </w:rPr>
      </w:pPr>
      <w:r w:rsidRPr="002F4B81">
        <w:rPr>
          <w:rFonts w:ascii="Calibri" w:eastAsia="Times New Roman" w:hAnsi="Calibri" w:cs="Times New Roman"/>
          <w:szCs w:val="20"/>
        </w:rPr>
        <w:t>This should lead to a full assessment for the TMA which will be identified by the presence of:</w:t>
      </w:r>
    </w:p>
    <w:p w14:paraId="732A8CC0" w14:textId="77777777" w:rsidR="002F4B81" w:rsidRPr="002F4B81" w:rsidRDefault="002F4B81" w:rsidP="002F4B81">
      <w:pPr>
        <w:numPr>
          <w:ilvl w:val="0"/>
          <w:numId w:val="49"/>
        </w:numPr>
        <w:spacing w:after="200" w:line="276" w:lineRule="auto"/>
        <w:contextualSpacing/>
        <w:jc w:val="both"/>
        <w:rPr>
          <w:rFonts w:ascii="Calibri" w:eastAsia="Calibri" w:hAnsi="Calibri" w:cs="Times New Roman"/>
        </w:rPr>
      </w:pPr>
      <w:r w:rsidRPr="002F4B81">
        <w:rPr>
          <w:rFonts w:ascii="Calibri" w:eastAsia="Calibri" w:hAnsi="Calibri" w:cs="Times New Roman"/>
        </w:rPr>
        <w:t>Thrombocytopenia</w:t>
      </w:r>
    </w:p>
    <w:p w14:paraId="42669298" w14:textId="77777777" w:rsidR="002F4B81" w:rsidRPr="002F4B81" w:rsidRDefault="002F4B81" w:rsidP="002F4B81">
      <w:pPr>
        <w:numPr>
          <w:ilvl w:val="0"/>
          <w:numId w:val="49"/>
        </w:numPr>
        <w:spacing w:after="200" w:line="276" w:lineRule="auto"/>
        <w:contextualSpacing/>
        <w:jc w:val="both"/>
        <w:rPr>
          <w:rFonts w:ascii="Calibri" w:eastAsia="Calibri" w:hAnsi="Calibri" w:cs="Times New Roman"/>
        </w:rPr>
      </w:pPr>
      <w:r w:rsidRPr="002F4B81">
        <w:rPr>
          <w:rFonts w:ascii="Calibri" w:eastAsia="Calibri" w:hAnsi="Calibri" w:cs="Times New Roman"/>
        </w:rPr>
        <w:t>Microangiopathic haemolysis (fall in haemoglobin, rise in LDH, red cell fragmentation)</w:t>
      </w:r>
    </w:p>
    <w:p w14:paraId="741299F9" w14:textId="77777777" w:rsidR="002F4B81" w:rsidRPr="002F4B81" w:rsidRDefault="002F4B81" w:rsidP="002F4B81">
      <w:pPr>
        <w:numPr>
          <w:ilvl w:val="0"/>
          <w:numId w:val="49"/>
        </w:numPr>
        <w:spacing w:after="200" w:line="276" w:lineRule="auto"/>
        <w:contextualSpacing/>
        <w:jc w:val="both"/>
        <w:rPr>
          <w:rFonts w:ascii="Calibri" w:eastAsia="Calibri" w:hAnsi="Calibri" w:cs="Times New Roman"/>
        </w:rPr>
      </w:pPr>
      <w:r w:rsidRPr="002F4B81">
        <w:rPr>
          <w:rFonts w:ascii="Calibri" w:eastAsia="Calibri" w:hAnsi="Calibri" w:cs="Times New Roman"/>
        </w:rPr>
        <w:t>Deterioration in renal function</w:t>
      </w:r>
    </w:p>
    <w:p w14:paraId="08A9CD9C" w14:textId="77777777" w:rsidR="002F4B81" w:rsidRPr="002F4B81" w:rsidRDefault="002F4B81" w:rsidP="002F4B81">
      <w:pPr>
        <w:spacing w:after="0" w:line="240" w:lineRule="auto"/>
        <w:rPr>
          <w:rFonts w:ascii="Calibri" w:eastAsia="Times New Roman" w:hAnsi="Calibri" w:cs="Times New Roman"/>
          <w:szCs w:val="20"/>
        </w:rPr>
      </w:pPr>
    </w:p>
    <w:p w14:paraId="75419FBA" w14:textId="77777777" w:rsidR="002F4B81" w:rsidRPr="002F4B81" w:rsidRDefault="002F4B81" w:rsidP="002F4B81">
      <w:pPr>
        <w:keepNext/>
        <w:numPr>
          <w:ilvl w:val="1"/>
          <w:numId w:val="0"/>
        </w:numPr>
        <w:tabs>
          <w:tab w:val="num" w:pos="567"/>
        </w:tabs>
        <w:spacing w:after="0" w:line="240" w:lineRule="auto"/>
        <w:ind w:left="862" w:hanging="567"/>
        <w:outlineLvl w:val="1"/>
        <w:rPr>
          <w:rFonts w:ascii="Calibri" w:eastAsia="Times New Roman" w:hAnsi="Calibri" w:cs="Times New Roman"/>
          <w:b/>
          <w:sz w:val="26"/>
          <w:szCs w:val="20"/>
        </w:rPr>
      </w:pPr>
      <w:r w:rsidRPr="002F4B81">
        <w:rPr>
          <w:rFonts w:ascii="Calibri" w:eastAsia="Times New Roman" w:hAnsi="Calibri" w:cs="Times New Roman"/>
          <w:b/>
          <w:sz w:val="26"/>
          <w:szCs w:val="20"/>
        </w:rPr>
        <w:t xml:space="preserve"> </w:t>
      </w:r>
      <w:bookmarkStart w:id="49" w:name="_Toc499302696"/>
      <w:bookmarkStart w:id="50" w:name="_Toc7082724"/>
      <w:bookmarkStart w:id="51" w:name="_Toc83029346"/>
      <w:r w:rsidRPr="002F4B81">
        <w:rPr>
          <w:rFonts w:ascii="Calibri" w:eastAsia="Times New Roman" w:hAnsi="Calibri" w:cs="Times New Roman"/>
          <w:b/>
          <w:sz w:val="26"/>
          <w:szCs w:val="20"/>
        </w:rPr>
        <w:t>Dosage Schedule</w:t>
      </w:r>
      <w:bookmarkEnd w:id="49"/>
      <w:bookmarkEnd w:id="50"/>
      <w:bookmarkEnd w:id="51"/>
    </w:p>
    <w:p w14:paraId="71999C67" w14:textId="77777777" w:rsidR="002F4B81" w:rsidRPr="002F4B81" w:rsidRDefault="002F4B81" w:rsidP="002F4B81">
      <w:pPr>
        <w:spacing w:after="0" w:line="240" w:lineRule="auto"/>
        <w:rPr>
          <w:rFonts w:ascii="Calibri" w:eastAsia="Times New Roman" w:hAnsi="Calibri" w:cs="Times New Roman"/>
          <w:szCs w:val="20"/>
        </w:rPr>
      </w:pPr>
    </w:p>
    <w:p w14:paraId="2D1202BF" w14:textId="77777777" w:rsidR="002F4B81" w:rsidRPr="002F4B81" w:rsidRDefault="002F4B81" w:rsidP="002F4B81">
      <w:pPr>
        <w:spacing w:after="0" w:line="240" w:lineRule="auto"/>
        <w:ind w:left="1701"/>
        <w:rPr>
          <w:rFonts w:ascii="Calibri" w:eastAsia="Times New Roman" w:hAnsi="Calibri" w:cs="Times New Roman"/>
          <w:szCs w:val="20"/>
        </w:rPr>
      </w:pPr>
      <w:r w:rsidRPr="002F4B81">
        <w:rPr>
          <w:rFonts w:ascii="Calibri" w:eastAsia="Times New Roman" w:hAnsi="Calibri" w:cs="Times New Roman"/>
          <w:szCs w:val="20"/>
        </w:rPr>
        <w:t xml:space="preserve">If re-introduction of Eculizumab is required, this should follow the standard dosing </w:t>
      </w:r>
      <w:proofErr w:type="spellStart"/>
      <w:r w:rsidRPr="002F4B81">
        <w:rPr>
          <w:rFonts w:ascii="Calibri" w:eastAsia="Times New Roman" w:hAnsi="Calibri" w:cs="Times New Roman"/>
          <w:szCs w:val="20"/>
        </w:rPr>
        <w:t>regime</w:t>
      </w:r>
      <w:proofErr w:type="spellEnd"/>
      <w:r w:rsidRPr="002F4B81">
        <w:rPr>
          <w:rFonts w:ascii="Calibri" w:eastAsia="Times New Roman" w:hAnsi="Calibri" w:cs="Times New Roman"/>
          <w:szCs w:val="20"/>
        </w:rPr>
        <w:t>.</w:t>
      </w:r>
    </w:p>
    <w:p w14:paraId="27001F72" w14:textId="77777777" w:rsidR="002F4B81" w:rsidRPr="002F4B81" w:rsidRDefault="002F4B81" w:rsidP="002F4B81">
      <w:pPr>
        <w:spacing w:after="0" w:line="240" w:lineRule="auto"/>
        <w:ind w:left="1701"/>
        <w:rPr>
          <w:rFonts w:ascii="Calibri" w:eastAsia="Times New Roman" w:hAnsi="Calibri" w:cs="Times New Roman"/>
          <w:szCs w:val="20"/>
        </w:rPr>
      </w:pPr>
    </w:p>
    <w:p w14:paraId="4AC32BE2" w14:textId="77777777" w:rsidR="002F4B81" w:rsidRPr="002F4B81" w:rsidRDefault="002F4B81" w:rsidP="002F4B81">
      <w:pPr>
        <w:keepNext/>
        <w:numPr>
          <w:ilvl w:val="1"/>
          <w:numId w:val="0"/>
        </w:numPr>
        <w:tabs>
          <w:tab w:val="num" w:pos="567"/>
        </w:tabs>
        <w:spacing w:after="0" w:line="240" w:lineRule="auto"/>
        <w:ind w:left="862" w:hanging="567"/>
        <w:outlineLvl w:val="1"/>
        <w:rPr>
          <w:rFonts w:ascii="Calibri" w:eastAsia="Times New Roman" w:hAnsi="Calibri" w:cs="Times New Roman"/>
          <w:b/>
          <w:sz w:val="26"/>
          <w:szCs w:val="20"/>
        </w:rPr>
      </w:pPr>
      <w:r w:rsidRPr="002F4B81">
        <w:rPr>
          <w:rFonts w:ascii="Calibri" w:eastAsia="Times New Roman" w:hAnsi="Calibri" w:cs="Times New Roman"/>
          <w:b/>
          <w:sz w:val="26"/>
          <w:szCs w:val="20"/>
        </w:rPr>
        <w:t xml:space="preserve"> </w:t>
      </w:r>
      <w:bookmarkStart w:id="52" w:name="_Toc499302697"/>
      <w:bookmarkStart w:id="53" w:name="_Toc7082725"/>
      <w:bookmarkStart w:id="54" w:name="_Toc83029347"/>
      <w:r w:rsidRPr="002F4B81">
        <w:rPr>
          <w:rFonts w:ascii="Calibri" w:eastAsia="Times New Roman" w:hAnsi="Calibri" w:cs="Times New Roman"/>
          <w:b/>
          <w:sz w:val="26"/>
          <w:szCs w:val="20"/>
        </w:rPr>
        <w:t>Concomitant Medications</w:t>
      </w:r>
      <w:bookmarkEnd w:id="52"/>
      <w:bookmarkEnd w:id="53"/>
      <w:bookmarkEnd w:id="54"/>
    </w:p>
    <w:p w14:paraId="3C776447" w14:textId="77777777" w:rsidR="002F4B81" w:rsidRPr="002F4B81" w:rsidRDefault="002F4B81" w:rsidP="002F4B81">
      <w:pPr>
        <w:spacing w:after="0" w:line="240" w:lineRule="auto"/>
        <w:rPr>
          <w:rFonts w:ascii="Calibri" w:eastAsia="Times New Roman" w:hAnsi="Calibri" w:cs="Times New Roman"/>
          <w:szCs w:val="20"/>
        </w:rPr>
      </w:pPr>
    </w:p>
    <w:p w14:paraId="4B4ED634" w14:textId="77777777" w:rsidR="002F4B81" w:rsidRPr="002F4B81" w:rsidRDefault="002F4B81" w:rsidP="002F4B81">
      <w:pPr>
        <w:tabs>
          <w:tab w:val="left" w:pos="1755"/>
        </w:tabs>
        <w:spacing w:after="0" w:line="240" w:lineRule="auto"/>
        <w:rPr>
          <w:rFonts w:ascii="Calibri" w:eastAsia="Times New Roman" w:hAnsi="Calibri" w:cs="Times New Roman"/>
          <w:b/>
          <w:szCs w:val="20"/>
          <w:u w:val="single"/>
        </w:rPr>
      </w:pPr>
      <w:r w:rsidRPr="002F4B81">
        <w:rPr>
          <w:rFonts w:ascii="Calibri" w:eastAsia="Times New Roman" w:hAnsi="Calibri" w:cs="Times New Roman"/>
          <w:szCs w:val="20"/>
        </w:rPr>
        <w:tab/>
      </w:r>
      <w:r w:rsidRPr="002F4B81">
        <w:rPr>
          <w:rFonts w:ascii="Calibri" w:eastAsia="Times New Roman" w:hAnsi="Calibri" w:cs="Times New Roman"/>
          <w:b/>
          <w:szCs w:val="20"/>
          <w:u w:val="single"/>
        </w:rPr>
        <w:t>Meningococcal prophylaxis</w:t>
      </w:r>
    </w:p>
    <w:p w14:paraId="2A7C5DA3" w14:textId="77777777" w:rsidR="002F4B81" w:rsidRPr="002F4B81" w:rsidRDefault="002F4B81" w:rsidP="002F4B81">
      <w:pPr>
        <w:spacing w:after="0" w:line="240" w:lineRule="auto"/>
        <w:ind w:left="1701"/>
        <w:rPr>
          <w:rFonts w:ascii="Calibri" w:eastAsia="Times New Roman" w:hAnsi="Calibri" w:cs="Times New Roman"/>
          <w:szCs w:val="20"/>
        </w:rPr>
      </w:pPr>
      <w:r w:rsidRPr="002F4B81">
        <w:rPr>
          <w:rFonts w:ascii="Calibri" w:eastAsia="Times New Roman" w:hAnsi="Calibri" w:cs="Times New Roman"/>
          <w:szCs w:val="20"/>
        </w:rPr>
        <w:t>Participants will continue with prophylactic antibiotics for 4 weeks after the last dose of Eculizumab prior to withdrawal to reduce risk of meningococcal infection.</w:t>
      </w:r>
    </w:p>
    <w:p w14:paraId="0020FA67" w14:textId="77777777" w:rsidR="002F4B81" w:rsidRPr="002F4B81" w:rsidRDefault="002F4B81" w:rsidP="002F4B81">
      <w:pPr>
        <w:spacing w:after="0" w:line="240" w:lineRule="auto"/>
        <w:ind w:left="1701"/>
        <w:rPr>
          <w:rFonts w:ascii="Calibri" w:eastAsia="Times New Roman" w:hAnsi="Calibri" w:cs="Times New Roman"/>
          <w:szCs w:val="20"/>
        </w:rPr>
      </w:pPr>
      <w:r w:rsidRPr="002F4B81">
        <w:rPr>
          <w:rFonts w:ascii="Calibri" w:eastAsia="Times New Roman" w:hAnsi="Calibri" w:cs="Times New Roman"/>
          <w:szCs w:val="20"/>
        </w:rPr>
        <w:t xml:space="preserve">If re-introduction of Eculizumab is required the meningococcal prophylaxis will also be re-started as per the standard dosing </w:t>
      </w:r>
      <w:proofErr w:type="spellStart"/>
      <w:r w:rsidRPr="002F4B81">
        <w:rPr>
          <w:rFonts w:ascii="Calibri" w:eastAsia="Times New Roman" w:hAnsi="Calibri" w:cs="Times New Roman"/>
          <w:szCs w:val="20"/>
        </w:rPr>
        <w:t>regime</w:t>
      </w:r>
      <w:proofErr w:type="spellEnd"/>
      <w:r w:rsidRPr="002F4B81">
        <w:rPr>
          <w:rFonts w:ascii="Calibri" w:eastAsia="Times New Roman" w:hAnsi="Calibri" w:cs="Times New Roman"/>
          <w:szCs w:val="20"/>
        </w:rPr>
        <w:t>.</w:t>
      </w:r>
    </w:p>
    <w:p w14:paraId="0C330023" w14:textId="77777777" w:rsidR="002F4B81" w:rsidRPr="002F4B81" w:rsidRDefault="002F4B81" w:rsidP="002F4B81">
      <w:pPr>
        <w:spacing w:after="0" w:line="240" w:lineRule="auto"/>
        <w:ind w:right="-154"/>
        <w:rPr>
          <w:rFonts w:ascii="Calibri" w:eastAsia="Times New Roman" w:hAnsi="Calibri" w:cs="TimesNewRomanPSMT"/>
          <w:szCs w:val="20"/>
        </w:rPr>
      </w:pPr>
    </w:p>
    <w:p w14:paraId="1B98F378" w14:textId="77777777" w:rsidR="002F4B81" w:rsidRPr="002F4B81" w:rsidRDefault="002F4B81" w:rsidP="002F4B81">
      <w:pPr>
        <w:spacing w:after="0" w:line="240" w:lineRule="auto"/>
        <w:ind w:right="-154"/>
        <w:rPr>
          <w:rFonts w:ascii="Calibri" w:eastAsia="Times New Roman" w:hAnsi="Calibri" w:cs="Times New Roman"/>
          <w:szCs w:val="20"/>
        </w:rPr>
      </w:pPr>
    </w:p>
    <w:p w14:paraId="55C0FFA6" w14:textId="77777777" w:rsidR="002F4B81" w:rsidRPr="002F4B81" w:rsidRDefault="002F4B81" w:rsidP="002F4B81">
      <w:pPr>
        <w:keepNext/>
        <w:tabs>
          <w:tab w:val="num" w:pos="567"/>
        </w:tabs>
        <w:spacing w:after="0" w:line="360" w:lineRule="auto"/>
        <w:ind w:left="567" w:right="-154" w:hanging="567"/>
        <w:outlineLvl w:val="0"/>
        <w:rPr>
          <w:rFonts w:ascii="Calibri" w:eastAsia="Times New Roman" w:hAnsi="Calibri" w:cs="Times New Roman"/>
          <w:b/>
          <w:caps/>
          <w:sz w:val="36"/>
          <w:szCs w:val="20"/>
        </w:rPr>
      </w:pPr>
      <w:bookmarkStart w:id="55" w:name="_Toc72221690"/>
      <w:bookmarkStart w:id="56" w:name="_Toc7082726"/>
      <w:bookmarkStart w:id="57" w:name="_Toc83029348"/>
      <w:r w:rsidRPr="002F4B81">
        <w:rPr>
          <w:rFonts w:ascii="Calibri" w:eastAsia="Times New Roman" w:hAnsi="Calibri" w:cs="Times New Roman"/>
          <w:b/>
          <w:caps/>
          <w:sz w:val="36"/>
          <w:szCs w:val="20"/>
        </w:rPr>
        <w:t>SAFETY AnalysIs</w:t>
      </w:r>
      <w:bookmarkEnd w:id="55"/>
      <w:bookmarkEnd w:id="56"/>
      <w:bookmarkEnd w:id="57"/>
    </w:p>
    <w:p w14:paraId="681C75AE" w14:textId="77777777" w:rsidR="002F4B81" w:rsidRPr="002F4B81" w:rsidRDefault="002F4B81" w:rsidP="002F4B81">
      <w:pPr>
        <w:keepNext/>
        <w:numPr>
          <w:ilvl w:val="1"/>
          <w:numId w:val="0"/>
        </w:numPr>
        <w:tabs>
          <w:tab w:val="num" w:pos="567"/>
        </w:tabs>
        <w:spacing w:after="0" w:line="240" w:lineRule="auto"/>
        <w:ind w:left="1080" w:hanging="567"/>
        <w:outlineLvl w:val="1"/>
        <w:rPr>
          <w:rFonts w:ascii="Calibri" w:eastAsia="Times New Roman" w:hAnsi="Calibri" w:cs="Times New Roman"/>
          <w:b/>
          <w:sz w:val="26"/>
          <w:szCs w:val="20"/>
        </w:rPr>
      </w:pPr>
      <w:bookmarkStart w:id="58" w:name="_Toc7082727"/>
      <w:bookmarkStart w:id="59" w:name="_Toc83029349"/>
      <w:r w:rsidRPr="002F4B81">
        <w:rPr>
          <w:rFonts w:ascii="Calibri" w:eastAsia="Times New Roman" w:hAnsi="Calibri" w:cs="Times New Roman"/>
          <w:b/>
          <w:sz w:val="26"/>
          <w:szCs w:val="20"/>
        </w:rPr>
        <w:t>Summary</w:t>
      </w:r>
      <w:bookmarkEnd w:id="58"/>
      <w:bookmarkEnd w:id="59"/>
    </w:p>
    <w:p w14:paraId="26DB8BCC" w14:textId="77777777" w:rsidR="002F4B81" w:rsidRPr="002F4B81" w:rsidRDefault="002F4B81" w:rsidP="002F4B81">
      <w:pPr>
        <w:spacing w:after="0" w:line="240" w:lineRule="auto"/>
        <w:jc w:val="both"/>
        <w:rPr>
          <w:rFonts w:ascii="Calibri" w:eastAsia="Times New Roman" w:hAnsi="Calibri" w:cs="Arial"/>
          <w:szCs w:val="20"/>
        </w:rPr>
      </w:pPr>
    </w:p>
    <w:p w14:paraId="4F8EE70D" w14:textId="77777777" w:rsidR="002F4B81" w:rsidRPr="002F4B81" w:rsidRDefault="002F4B81" w:rsidP="002F4B81">
      <w:pPr>
        <w:spacing w:after="0" w:line="240" w:lineRule="auto"/>
        <w:jc w:val="both"/>
        <w:rPr>
          <w:rFonts w:ascii="Calibri" w:eastAsia="Times New Roman" w:hAnsi="Calibri" w:cs="Arial"/>
          <w:szCs w:val="20"/>
        </w:rPr>
      </w:pPr>
      <w:r w:rsidRPr="002F4B81">
        <w:rPr>
          <w:rFonts w:ascii="Calibri" w:eastAsia="Times New Roman" w:hAnsi="Calibri" w:cs="Arial"/>
          <w:szCs w:val="20"/>
        </w:rPr>
        <w:t xml:space="preserve">The number of each grade of AE, of each type, will be listed by treatment group, clarifying those deemed to be treatment related. </w:t>
      </w:r>
    </w:p>
    <w:p w14:paraId="3842C4AD" w14:textId="77777777" w:rsidR="002F4B81" w:rsidRPr="002F4B81" w:rsidRDefault="002F4B81" w:rsidP="002F4B81">
      <w:pPr>
        <w:spacing w:before="120" w:after="0" w:line="240" w:lineRule="auto"/>
        <w:ind w:right="-154"/>
        <w:jc w:val="both"/>
        <w:rPr>
          <w:rFonts w:ascii="Calibri" w:eastAsia="Times New Roman" w:hAnsi="Calibri" w:cs="Times New Roman"/>
          <w:bCs/>
          <w:szCs w:val="20"/>
        </w:rPr>
      </w:pPr>
      <w:r w:rsidRPr="002F4B81">
        <w:rPr>
          <w:rFonts w:ascii="Calibri" w:eastAsia="Times New Roman" w:hAnsi="Calibri" w:cs="Times New Roman"/>
          <w:szCs w:val="20"/>
        </w:rPr>
        <w:t xml:space="preserve">The number of </w:t>
      </w:r>
      <w:proofErr w:type="gramStart"/>
      <w:r w:rsidRPr="002F4B81">
        <w:rPr>
          <w:rFonts w:ascii="Calibri" w:eastAsia="Times New Roman" w:hAnsi="Calibri" w:cs="Times New Roman"/>
          <w:szCs w:val="20"/>
        </w:rPr>
        <w:t>treatment</w:t>
      </w:r>
      <w:proofErr w:type="gramEnd"/>
      <w:r w:rsidRPr="002F4B81">
        <w:rPr>
          <w:rFonts w:ascii="Calibri" w:eastAsia="Times New Roman" w:hAnsi="Calibri" w:cs="Times New Roman"/>
          <w:szCs w:val="20"/>
        </w:rPr>
        <w:t xml:space="preserve"> related serious adverse events (SAEs), including treatment related deaths, are reported divided by their relationship as ‘definitely’, ‘probably’ and ‘possibly’ related to treatment. </w:t>
      </w:r>
      <w:r w:rsidRPr="002F4B81">
        <w:rPr>
          <w:rFonts w:ascii="Calibri" w:eastAsia="Times New Roman" w:hAnsi="Calibri" w:cs="Times New Roman"/>
          <w:bCs/>
          <w:szCs w:val="20"/>
        </w:rPr>
        <w:t>The proportions of patients with SAEs will be compared descriptively across treatments and differences assessed for clinical significance and will not be subject to formal statistical analysis.</w:t>
      </w:r>
    </w:p>
    <w:p w14:paraId="747FEA59" w14:textId="77777777" w:rsidR="002F4B81" w:rsidRPr="002F4B81" w:rsidRDefault="002F4B81" w:rsidP="002F4B81">
      <w:pPr>
        <w:spacing w:before="120" w:after="0" w:line="240" w:lineRule="auto"/>
        <w:ind w:right="-154"/>
        <w:jc w:val="both"/>
        <w:rPr>
          <w:rFonts w:ascii="Calibri" w:eastAsia="Times New Roman" w:hAnsi="Calibri" w:cs="Times New Roman"/>
          <w:bCs/>
          <w:szCs w:val="20"/>
        </w:rPr>
      </w:pPr>
    </w:p>
    <w:p w14:paraId="6A4E5FCD" w14:textId="77777777" w:rsidR="002F4B81" w:rsidRPr="002F4B81" w:rsidRDefault="002F4B81" w:rsidP="002F4B81">
      <w:pPr>
        <w:keepNext/>
        <w:numPr>
          <w:ilvl w:val="1"/>
          <w:numId w:val="0"/>
        </w:numPr>
        <w:tabs>
          <w:tab w:val="num" w:pos="567"/>
        </w:tabs>
        <w:spacing w:after="0" w:line="240" w:lineRule="auto"/>
        <w:ind w:left="1080" w:hanging="567"/>
        <w:outlineLvl w:val="1"/>
        <w:rPr>
          <w:rFonts w:ascii="Calibri" w:eastAsia="Times New Roman" w:hAnsi="Calibri" w:cs="Times New Roman"/>
          <w:b/>
          <w:sz w:val="26"/>
          <w:szCs w:val="20"/>
        </w:rPr>
      </w:pPr>
      <w:bookmarkStart w:id="60" w:name="_Toc499302699"/>
      <w:bookmarkStart w:id="61" w:name="_Toc7082728"/>
      <w:bookmarkStart w:id="62" w:name="_Toc83029350"/>
      <w:r w:rsidRPr="002F4B81">
        <w:rPr>
          <w:rFonts w:ascii="Calibri" w:eastAsia="Times New Roman" w:hAnsi="Calibri" w:cs="Times New Roman"/>
          <w:b/>
          <w:sz w:val="26"/>
          <w:szCs w:val="20"/>
        </w:rPr>
        <w:t>Definitions</w:t>
      </w:r>
      <w:bookmarkEnd w:id="60"/>
      <w:bookmarkEnd w:id="61"/>
      <w:bookmarkEnd w:id="62"/>
    </w:p>
    <w:p w14:paraId="5BBE24E5" w14:textId="77777777" w:rsidR="002F4B81" w:rsidRPr="002F4B81" w:rsidRDefault="002F4B81" w:rsidP="002F4B81">
      <w:pPr>
        <w:spacing w:after="0" w:line="240" w:lineRule="auto"/>
        <w:rPr>
          <w:rFonts w:ascii="Calibri" w:eastAsia="Times New Roman" w:hAnsi="Calibri" w:cs="Times New Roman"/>
          <w:szCs w:val="20"/>
        </w:rPr>
      </w:pPr>
    </w:p>
    <w:tbl>
      <w:tblPr>
        <w:tblW w:w="0" w:type="auto"/>
        <w:tblInd w:w="534" w:type="dxa"/>
        <w:tblLook w:val="04A0" w:firstRow="1" w:lastRow="0" w:firstColumn="1" w:lastColumn="0" w:noHBand="0" w:noVBand="1"/>
      </w:tblPr>
      <w:tblGrid>
        <w:gridCol w:w="2066"/>
        <w:gridCol w:w="5706"/>
      </w:tblGrid>
      <w:tr w:rsidR="002F4B81" w:rsidRPr="002F4B81" w14:paraId="207B5057" w14:textId="77777777" w:rsidTr="00C667E5">
        <w:tc>
          <w:tcPr>
            <w:tcW w:w="2268" w:type="dxa"/>
            <w:shd w:val="clear" w:color="auto" w:fill="D9D9D9"/>
          </w:tcPr>
          <w:p w14:paraId="289A54D6" w14:textId="77777777" w:rsidR="002F4B81" w:rsidRPr="002F4B81" w:rsidRDefault="002F4B81" w:rsidP="002F4B81">
            <w:pPr>
              <w:spacing w:after="0" w:line="240" w:lineRule="auto"/>
              <w:rPr>
                <w:rFonts w:ascii="Calibri" w:eastAsia="Times New Roman" w:hAnsi="Calibri" w:cs="Times New Roman"/>
                <w:sz w:val="20"/>
                <w:szCs w:val="20"/>
              </w:rPr>
            </w:pPr>
            <w:r w:rsidRPr="002F4B81">
              <w:rPr>
                <w:rFonts w:ascii="Calibri" w:eastAsia="Times New Roman" w:hAnsi="Calibri" w:cs="Times New Roman"/>
                <w:sz w:val="20"/>
                <w:szCs w:val="20"/>
              </w:rPr>
              <w:t>Term</w:t>
            </w:r>
          </w:p>
        </w:tc>
        <w:tc>
          <w:tcPr>
            <w:tcW w:w="6440" w:type="dxa"/>
            <w:shd w:val="clear" w:color="auto" w:fill="D9D9D9"/>
          </w:tcPr>
          <w:p w14:paraId="43B561F2" w14:textId="77777777" w:rsidR="002F4B81" w:rsidRPr="002F4B81" w:rsidRDefault="002F4B81" w:rsidP="002F4B81">
            <w:pPr>
              <w:spacing w:after="0" w:line="240" w:lineRule="auto"/>
              <w:rPr>
                <w:rFonts w:ascii="Calibri" w:eastAsia="Times New Roman" w:hAnsi="Calibri" w:cs="Times New Roman"/>
                <w:sz w:val="20"/>
                <w:szCs w:val="20"/>
              </w:rPr>
            </w:pPr>
            <w:r w:rsidRPr="002F4B81">
              <w:rPr>
                <w:rFonts w:ascii="Calibri" w:eastAsia="Times New Roman" w:hAnsi="Calibri" w:cs="Times New Roman"/>
                <w:sz w:val="20"/>
                <w:szCs w:val="20"/>
              </w:rPr>
              <w:t>Definition</w:t>
            </w:r>
          </w:p>
        </w:tc>
      </w:tr>
      <w:tr w:rsidR="002F4B81" w:rsidRPr="002F4B81" w14:paraId="66203D2F" w14:textId="77777777" w:rsidTr="00C667E5">
        <w:tc>
          <w:tcPr>
            <w:tcW w:w="2268" w:type="dxa"/>
          </w:tcPr>
          <w:p w14:paraId="35C5E1C3" w14:textId="77777777" w:rsidR="002F4B81" w:rsidRPr="002F4B81" w:rsidRDefault="002F4B81" w:rsidP="002F4B81">
            <w:pPr>
              <w:spacing w:after="0" w:line="240" w:lineRule="auto"/>
              <w:rPr>
                <w:rFonts w:ascii="Calibri" w:eastAsia="Times New Roman" w:hAnsi="Calibri" w:cs="Times New Roman"/>
                <w:sz w:val="20"/>
                <w:szCs w:val="20"/>
              </w:rPr>
            </w:pPr>
            <w:r w:rsidRPr="002F4B81">
              <w:rPr>
                <w:rFonts w:ascii="Calibri" w:eastAsia="Times New Roman" w:hAnsi="Calibri" w:cs="Times New Roman"/>
                <w:sz w:val="20"/>
                <w:szCs w:val="20"/>
              </w:rPr>
              <w:t>Adverse Event (AE)</w:t>
            </w:r>
          </w:p>
        </w:tc>
        <w:tc>
          <w:tcPr>
            <w:tcW w:w="6440" w:type="dxa"/>
          </w:tcPr>
          <w:p w14:paraId="0372CC9C" w14:textId="77777777" w:rsidR="002F4B81" w:rsidRPr="002F4B81" w:rsidRDefault="002F4B81" w:rsidP="002F4B81">
            <w:pPr>
              <w:spacing w:after="0" w:line="240" w:lineRule="auto"/>
              <w:jc w:val="both"/>
              <w:rPr>
                <w:rFonts w:ascii="Calibri" w:eastAsia="Times New Roman" w:hAnsi="Calibri" w:cs="Times New Roman"/>
                <w:sz w:val="20"/>
                <w:szCs w:val="20"/>
              </w:rPr>
            </w:pPr>
            <w:r w:rsidRPr="002F4B81">
              <w:rPr>
                <w:rFonts w:ascii="Calibri" w:eastAsia="Times New Roman" w:hAnsi="Calibri" w:cs="Times New Roman"/>
                <w:sz w:val="20"/>
                <w:szCs w:val="20"/>
              </w:rPr>
              <w:t>Any untoward medical occurrence in a participant to whom a medicinal product has been withdrawn including occurrences which are not necessarily caused by or related to withdrawal of that product.</w:t>
            </w:r>
          </w:p>
        </w:tc>
      </w:tr>
      <w:tr w:rsidR="002F4B81" w:rsidRPr="002F4B81" w14:paraId="102053CD" w14:textId="77777777" w:rsidTr="00C667E5">
        <w:tc>
          <w:tcPr>
            <w:tcW w:w="2268" w:type="dxa"/>
          </w:tcPr>
          <w:p w14:paraId="7DD81CF8" w14:textId="77777777" w:rsidR="002F4B81" w:rsidRPr="002F4B81" w:rsidRDefault="002F4B81" w:rsidP="002F4B81">
            <w:pPr>
              <w:spacing w:after="0" w:line="240" w:lineRule="auto"/>
              <w:rPr>
                <w:rFonts w:ascii="Calibri" w:eastAsia="Times New Roman" w:hAnsi="Calibri" w:cs="Times New Roman"/>
                <w:sz w:val="20"/>
                <w:szCs w:val="20"/>
              </w:rPr>
            </w:pPr>
            <w:r w:rsidRPr="002F4B81">
              <w:rPr>
                <w:rFonts w:ascii="Calibri" w:eastAsia="Times New Roman" w:hAnsi="Calibri" w:cs="Times New Roman"/>
                <w:sz w:val="20"/>
                <w:szCs w:val="20"/>
              </w:rPr>
              <w:t>Adverse Reaction (AR)</w:t>
            </w:r>
          </w:p>
        </w:tc>
        <w:tc>
          <w:tcPr>
            <w:tcW w:w="6440" w:type="dxa"/>
          </w:tcPr>
          <w:p w14:paraId="66DC61AF" w14:textId="77777777" w:rsidR="002F4B81" w:rsidRPr="002F4B81" w:rsidRDefault="002F4B81" w:rsidP="002F4B81">
            <w:pPr>
              <w:spacing w:after="0" w:line="240" w:lineRule="auto"/>
              <w:jc w:val="both"/>
              <w:rPr>
                <w:rFonts w:ascii="Calibri" w:eastAsia="Times New Roman" w:hAnsi="Calibri" w:cs="Times New Roman"/>
                <w:sz w:val="20"/>
                <w:szCs w:val="20"/>
              </w:rPr>
            </w:pPr>
            <w:r w:rsidRPr="002F4B81">
              <w:rPr>
                <w:rFonts w:ascii="Calibri" w:eastAsia="Times New Roman" w:hAnsi="Calibri" w:cs="Times New Roman"/>
                <w:sz w:val="20"/>
                <w:szCs w:val="20"/>
              </w:rPr>
              <w:t>An untoward or unintended response in a participant to an investigational medicinal product which is related to any dose administered to that participant.</w:t>
            </w:r>
          </w:p>
          <w:p w14:paraId="2F9C5FB3" w14:textId="77777777" w:rsidR="002F4B81" w:rsidRPr="002F4B81" w:rsidRDefault="002F4B81" w:rsidP="002F4B81">
            <w:pPr>
              <w:spacing w:after="0" w:line="240" w:lineRule="auto"/>
              <w:jc w:val="both"/>
              <w:rPr>
                <w:rFonts w:ascii="Calibri" w:eastAsia="Times New Roman" w:hAnsi="Calibri" w:cs="Times New Roman"/>
                <w:sz w:val="20"/>
                <w:szCs w:val="20"/>
              </w:rPr>
            </w:pPr>
            <w:r w:rsidRPr="002F4B81">
              <w:rPr>
                <w:rFonts w:ascii="Calibri" w:eastAsia="Times New Roman" w:hAnsi="Calibri" w:cs="Times New Roman"/>
                <w:sz w:val="20"/>
                <w:szCs w:val="20"/>
              </w:rPr>
              <w:t xml:space="preserve">The phrase “response to an investigational medicinal product” means that a causal relationship between a trial medication and an </w:t>
            </w:r>
            <w:r w:rsidRPr="002F4B81">
              <w:rPr>
                <w:rFonts w:ascii="Calibri" w:eastAsia="Times New Roman" w:hAnsi="Calibri" w:cs="Times New Roman"/>
                <w:sz w:val="20"/>
                <w:szCs w:val="20"/>
              </w:rPr>
              <w:lastRenderedPageBreak/>
              <w:t xml:space="preserve">AE is at least a reasonable possibility </w:t>
            </w:r>
            <w:proofErr w:type="gramStart"/>
            <w:r w:rsidRPr="002F4B81">
              <w:rPr>
                <w:rFonts w:ascii="Calibri" w:eastAsia="Times New Roman" w:hAnsi="Calibri" w:cs="Times New Roman"/>
                <w:sz w:val="20"/>
                <w:szCs w:val="20"/>
              </w:rPr>
              <w:t>i.e.</w:t>
            </w:r>
            <w:proofErr w:type="gramEnd"/>
            <w:r w:rsidRPr="002F4B81">
              <w:rPr>
                <w:rFonts w:ascii="Calibri" w:eastAsia="Times New Roman" w:hAnsi="Calibri" w:cs="Times New Roman"/>
                <w:sz w:val="20"/>
                <w:szCs w:val="20"/>
              </w:rPr>
              <w:t xml:space="preserve"> the relationship cannot be ruled out.</w:t>
            </w:r>
          </w:p>
          <w:p w14:paraId="1D1029CD" w14:textId="77777777" w:rsidR="002F4B81" w:rsidRPr="002F4B81" w:rsidRDefault="002F4B81" w:rsidP="002F4B81">
            <w:pPr>
              <w:spacing w:after="0" w:line="240" w:lineRule="auto"/>
              <w:jc w:val="both"/>
              <w:rPr>
                <w:rFonts w:ascii="Calibri" w:eastAsia="Times New Roman" w:hAnsi="Calibri" w:cs="Times New Roman"/>
                <w:sz w:val="20"/>
                <w:szCs w:val="20"/>
              </w:rPr>
            </w:pPr>
            <w:r w:rsidRPr="002F4B81">
              <w:rPr>
                <w:rFonts w:ascii="Calibri" w:eastAsia="Times New Roman" w:hAnsi="Calibri" w:cs="Times New Roman"/>
                <w:sz w:val="20"/>
                <w:szCs w:val="20"/>
              </w:rPr>
              <w:t>All cases judged as having a reasonable suspected causal relationship to the trial medication qualify as adverse reactions.</w:t>
            </w:r>
          </w:p>
        </w:tc>
      </w:tr>
      <w:tr w:rsidR="002F4B81" w:rsidRPr="002F4B81" w14:paraId="7FA9900C" w14:textId="77777777" w:rsidTr="00C667E5">
        <w:tc>
          <w:tcPr>
            <w:tcW w:w="2268" w:type="dxa"/>
          </w:tcPr>
          <w:p w14:paraId="433B8709" w14:textId="77777777" w:rsidR="002F4B81" w:rsidRPr="002F4B81" w:rsidRDefault="002F4B81" w:rsidP="002F4B81">
            <w:pPr>
              <w:spacing w:after="0" w:line="240" w:lineRule="auto"/>
              <w:rPr>
                <w:rFonts w:ascii="Calibri" w:eastAsia="Times New Roman" w:hAnsi="Calibri" w:cs="Times New Roman"/>
                <w:sz w:val="20"/>
                <w:szCs w:val="20"/>
              </w:rPr>
            </w:pPr>
            <w:r w:rsidRPr="002F4B81">
              <w:rPr>
                <w:rFonts w:ascii="Calibri" w:eastAsia="Times New Roman" w:hAnsi="Calibri" w:cs="Times New Roman"/>
                <w:sz w:val="20"/>
                <w:szCs w:val="20"/>
              </w:rPr>
              <w:lastRenderedPageBreak/>
              <w:t>Reference Safety Information (RSI)</w:t>
            </w:r>
          </w:p>
        </w:tc>
        <w:tc>
          <w:tcPr>
            <w:tcW w:w="6440" w:type="dxa"/>
          </w:tcPr>
          <w:p w14:paraId="5DB83A83" w14:textId="77777777" w:rsidR="002F4B81" w:rsidRPr="002F4B81" w:rsidRDefault="002F4B81" w:rsidP="002F4B81">
            <w:pPr>
              <w:spacing w:after="0" w:line="240" w:lineRule="auto"/>
              <w:jc w:val="both"/>
              <w:rPr>
                <w:rFonts w:ascii="Calibri" w:eastAsia="Times New Roman" w:hAnsi="Calibri" w:cs="Times New Roman"/>
                <w:sz w:val="20"/>
                <w:szCs w:val="20"/>
              </w:rPr>
            </w:pPr>
            <w:r w:rsidRPr="002F4B81">
              <w:rPr>
                <w:rFonts w:ascii="Calibri" w:eastAsia="Times New Roman" w:hAnsi="Calibri" w:cs="Times New Roman"/>
                <w:sz w:val="20"/>
                <w:szCs w:val="20"/>
              </w:rPr>
              <w:t xml:space="preserve">The RSI is a list of medical terms detailing the ARs that are expected for a medicinal product and must be referred to when assessing a SAR for expectedness.  </w:t>
            </w:r>
          </w:p>
        </w:tc>
      </w:tr>
      <w:tr w:rsidR="002F4B81" w:rsidRPr="002F4B81" w14:paraId="02860AE1" w14:textId="77777777" w:rsidTr="00C667E5">
        <w:tc>
          <w:tcPr>
            <w:tcW w:w="2268" w:type="dxa"/>
          </w:tcPr>
          <w:p w14:paraId="2708221C" w14:textId="77777777" w:rsidR="002F4B81" w:rsidRPr="002F4B81" w:rsidRDefault="002F4B81" w:rsidP="002F4B81">
            <w:pPr>
              <w:spacing w:after="0" w:line="240" w:lineRule="auto"/>
              <w:rPr>
                <w:rFonts w:ascii="Calibri" w:eastAsia="Times New Roman" w:hAnsi="Calibri" w:cs="Times New Roman"/>
                <w:sz w:val="20"/>
                <w:szCs w:val="20"/>
              </w:rPr>
            </w:pPr>
            <w:r w:rsidRPr="002F4B81">
              <w:rPr>
                <w:rFonts w:ascii="Calibri" w:eastAsia="Times New Roman" w:hAnsi="Calibri" w:cs="Times New Roman"/>
                <w:sz w:val="20"/>
                <w:szCs w:val="20"/>
              </w:rPr>
              <w:t>Serious Adverse Event (SAE)</w:t>
            </w:r>
          </w:p>
        </w:tc>
        <w:tc>
          <w:tcPr>
            <w:tcW w:w="6440" w:type="dxa"/>
          </w:tcPr>
          <w:p w14:paraId="7E11487C" w14:textId="77777777" w:rsidR="002F4B81" w:rsidRPr="002F4B81" w:rsidRDefault="002F4B81" w:rsidP="002F4B81">
            <w:pPr>
              <w:spacing w:after="0" w:line="240" w:lineRule="auto"/>
              <w:jc w:val="both"/>
              <w:rPr>
                <w:rFonts w:ascii="Calibri" w:eastAsia="Times New Roman" w:hAnsi="Calibri" w:cs="Times New Roman"/>
                <w:sz w:val="20"/>
                <w:szCs w:val="20"/>
              </w:rPr>
            </w:pPr>
            <w:r w:rsidRPr="002F4B81">
              <w:rPr>
                <w:rFonts w:ascii="Calibri" w:eastAsia="Times New Roman" w:hAnsi="Calibri" w:cs="Times New Roman"/>
                <w:sz w:val="20"/>
                <w:szCs w:val="20"/>
              </w:rPr>
              <w:t>A serious adverse event is any untoward medical occurrence that:</w:t>
            </w:r>
          </w:p>
          <w:p w14:paraId="7816C5B7" w14:textId="77777777" w:rsidR="002F4B81" w:rsidRPr="002F4B81" w:rsidRDefault="002F4B81" w:rsidP="002F4B81">
            <w:pPr>
              <w:numPr>
                <w:ilvl w:val="0"/>
                <w:numId w:val="36"/>
              </w:numPr>
              <w:spacing w:after="200" w:line="276" w:lineRule="auto"/>
              <w:contextualSpacing/>
              <w:jc w:val="both"/>
              <w:rPr>
                <w:rFonts w:ascii="Calibri" w:eastAsia="Calibri" w:hAnsi="Calibri" w:cs="Times New Roman"/>
                <w:sz w:val="20"/>
                <w:szCs w:val="20"/>
              </w:rPr>
            </w:pPr>
            <w:r w:rsidRPr="002F4B81">
              <w:rPr>
                <w:rFonts w:ascii="Calibri" w:eastAsia="Calibri" w:hAnsi="Calibri" w:cs="Times New Roman"/>
                <w:sz w:val="20"/>
                <w:szCs w:val="20"/>
              </w:rPr>
              <w:t>Results in death</w:t>
            </w:r>
          </w:p>
          <w:p w14:paraId="1CABE34F" w14:textId="77777777" w:rsidR="002F4B81" w:rsidRPr="002F4B81" w:rsidRDefault="002F4B81" w:rsidP="002F4B81">
            <w:pPr>
              <w:numPr>
                <w:ilvl w:val="0"/>
                <w:numId w:val="36"/>
              </w:numPr>
              <w:spacing w:after="200" w:line="276" w:lineRule="auto"/>
              <w:contextualSpacing/>
              <w:jc w:val="both"/>
              <w:rPr>
                <w:rFonts w:ascii="Calibri" w:eastAsia="Calibri" w:hAnsi="Calibri" w:cs="Times New Roman"/>
                <w:sz w:val="20"/>
                <w:szCs w:val="20"/>
              </w:rPr>
            </w:pPr>
            <w:r w:rsidRPr="002F4B81">
              <w:rPr>
                <w:rFonts w:ascii="Calibri" w:eastAsia="Calibri" w:hAnsi="Calibri" w:cs="Times New Roman"/>
                <w:sz w:val="20"/>
                <w:szCs w:val="20"/>
              </w:rPr>
              <w:t>Is life-threatening*</w:t>
            </w:r>
          </w:p>
          <w:p w14:paraId="093C21D9" w14:textId="77777777" w:rsidR="002F4B81" w:rsidRPr="002F4B81" w:rsidRDefault="002F4B81" w:rsidP="002F4B81">
            <w:pPr>
              <w:numPr>
                <w:ilvl w:val="0"/>
                <w:numId w:val="36"/>
              </w:numPr>
              <w:spacing w:after="200" w:line="276" w:lineRule="auto"/>
              <w:contextualSpacing/>
              <w:jc w:val="both"/>
              <w:rPr>
                <w:rFonts w:ascii="Calibri" w:eastAsia="Calibri" w:hAnsi="Calibri" w:cs="Times New Roman"/>
                <w:sz w:val="20"/>
                <w:szCs w:val="20"/>
              </w:rPr>
            </w:pPr>
            <w:r w:rsidRPr="002F4B81">
              <w:rPr>
                <w:rFonts w:ascii="Calibri" w:eastAsia="Calibri" w:hAnsi="Calibri" w:cs="Times New Roman"/>
                <w:sz w:val="20"/>
                <w:szCs w:val="20"/>
              </w:rPr>
              <w:t xml:space="preserve">Requires inpatient hospitalisation or prolongation of existing </w:t>
            </w:r>
            <w:proofErr w:type="gramStart"/>
            <w:r w:rsidRPr="002F4B81">
              <w:rPr>
                <w:rFonts w:ascii="Calibri" w:eastAsia="Calibri" w:hAnsi="Calibri" w:cs="Times New Roman"/>
                <w:sz w:val="20"/>
                <w:szCs w:val="20"/>
              </w:rPr>
              <w:t>hospitalisation</w:t>
            </w:r>
            <w:proofErr w:type="gramEnd"/>
          </w:p>
          <w:p w14:paraId="62EB34A2" w14:textId="77777777" w:rsidR="002F4B81" w:rsidRPr="002F4B81" w:rsidRDefault="002F4B81" w:rsidP="002F4B81">
            <w:pPr>
              <w:numPr>
                <w:ilvl w:val="0"/>
                <w:numId w:val="36"/>
              </w:numPr>
              <w:spacing w:after="200" w:line="276" w:lineRule="auto"/>
              <w:contextualSpacing/>
              <w:jc w:val="both"/>
              <w:rPr>
                <w:rFonts w:ascii="Calibri" w:eastAsia="Calibri" w:hAnsi="Calibri" w:cs="Times New Roman"/>
                <w:sz w:val="20"/>
                <w:szCs w:val="20"/>
              </w:rPr>
            </w:pPr>
            <w:r w:rsidRPr="002F4B81">
              <w:rPr>
                <w:rFonts w:ascii="Calibri" w:eastAsia="Calibri" w:hAnsi="Calibri" w:cs="Times New Roman"/>
                <w:sz w:val="20"/>
                <w:szCs w:val="20"/>
              </w:rPr>
              <w:t>Results in persistent or significant disability/incapacity</w:t>
            </w:r>
          </w:p>
          <w:p w14:paraId="744F0A88" w14:textId="77777777" w:rsidR="002F4B81" w:rsidRPr="002F4B81" w:rsidRDefault="002F4B81" w:rsidP="002F4B81">
            <w:pPr>
              <w:numPr>
                <w:ilvl w:val="0"/>
                <w:numId w:val="36"/>
              </w:numPr>
              <w:spacing w:after="200" w:line="276" w:lineRule="auto"/>
              <w:contextualSpacing/>
              <w:jc w:val="both"/>
              <w:rPr>
                <w:rFonts w:ascii="Calibri" w:eastAsia="Calibri" w:hAnsi="Calibri" w:cs="Times New Roman"/>
                <w:sz w:val="20"/>
                <w:szCs w:val="20"/>
              </w:rPr>
            </w:pPr>
            <w:r w:rsidRPr="002F4B81">
              <w:rPr>
                <w:rFonts w:ascii="Calibri" w:eastAsia="Calibri" w:hAnsi="Calibri" w:cs="Times New Roman"/>
                <w:sz w:val="20"/>
                <w:szCs w:val="20"/>
              </w:rPr>
              <w:t>Consists of a congenital anomaly or birth defect</w:t>
            </w:r>
          </w:p>
          <w:p w14:paraId="175401E3" w14:textId="77777777" w:rsidR="002F4B81" w:rsidRPr="002F4B81" w:rsidRDefault="002F4B81" w:rsidP="002F4B81">
            <w:pPr>
              <w:numPr>
                <w:ilvl w:val="0"/>
                <w:numId w:val="36"/>
              </w:numPr>
              <w:spacing w:after="200" w:line="276" w:lineRule="auto"/>
              <w:contextualSpacing/>
              <w:jc w:val="both"/>
              <w:rPr>
                <w:rFonts w:ascii="Calibri" w:eastAsia="Calibri" w:hAnsi="Calibri" w:cs="Times New Roman"/>
                <w:sz w:val="20"/>
                <w:szCs w:val="20"/>
              </w:rPr>
            </w:pPr>
            <w:r w:rsidRPr="002F4B81">
              <w:rPr>
                <w:rFonts w:ascii="Calibri" w:eastAsia="Calibri" w:hAnsi="Calibri" w:cs="Times New Roman"/>
                <w:sz w:val="20"/>
                <w:szCs w:val="20"/>
              </w:rPr>
              <w:t xml:space="preserve">Other important medical events that jeopardise the participant or require intervention to prevent one of the above </w:t>
            </w:r>
            <w:proofErr w:type="gramStart"/>
            <w:r w:rsidRPr="002F4B81">
              <w:rPr>
                <w:rFonts w:ascii="Calibri" w:eastAsia="Calibri" w:hAnsi="Calibri" w:cs="Times New Roman"/>
                <w:sz w:val="20"/>
                <w:szCs w:val="20"/>
              </w:rPr>
              <w:t>consequences</w:t>
            </w:r>
            <w:proofErr w:type="gramEnd"/>
          </w:p>
          <w:p w14:paraId="0CD92C52" w14:textId="77777777" w:rsidR="002F4B81" w:rsidRPr="002F4B81" w:rsidRDefault="002F4B81" w:rsidP="002F4B81">
            <w:pPr>
              <w:spacing w:after="0" w:line="240" w:lineRule="auto"/>
              <w:jc w:val="both"/>
              <w:rPr>
                <w:rFonts w:ascii="Calibri" w:eastAsia="Times New Roman" w:hAnsi="Calibri" w:cs="Times New Roman"/>
                <w:sz w:val="20"/>
                <w:szCs w:val="20"/>
              </w:rPr>
            </w:pPr>
            <w:r w:rsidRPr="002F4B81">
              <w:rPr>
                <w:rFonts w:ascii="Calibri" w:eastAsia="Times New Roman" w:hAnsi="Calibri" w:cs="Times New Roman"/>
                <w:sz w:val="20"/>
                <w:szCs w:val="20"/>
              </w:rPr>
              <w:t xml:space="preserve">* - life-threatening refers to an event in which the participant was at </w:t>
            </w:r>
            <w:r w:rsidRPr="002F4B81">
              <w:rPr>
                <w:rFonts w:ascii="Calibri" w:eastAsia="Times New Roman" w:hAnsi="Calibri" w:cs="Times New Roman"/>
                <w:sz w:val="20"/>
                <w:szCs w:val="20"/>
                <w:u w:val="single"/>
              </w:rPr>
              <w:t>immediate</w:t>
            </w:r>
            <w:r w:rsidRPr="002F4B81">
              <w:rPr>
                <w:rFonts w:ascii="Calibri" w:eastAsia="Times New Roman" w:hAnsi="Calibri" w:cs="Times New Roman"/>
                <w:sz w:val="20"/>
                <w:szCs w:val="20"/>
              </w:rPr>
              <w:t xml:space="preserve"> risk of death at the time of the event; it does not refer to an event which hypothetically might have caused death if it were more severe.</w:t>
            </w:r>
          </w:p>
        </w:tc>
      </w:tr>
      <w:tr w:rsidR="002F4B81" w:rsidRPr="002F4B81" w14:paraId="37A1F0A8" w14:textId="77777777" w:rsidTr="00C667E5">
        <w:tc>
          <w:tcPr>
            <w:tcW w:w="2268" w:type="dxa"/>
          </w:tcPr>
          <w:p w14:paraId="6B5BF8FB" w14:textId="77777777" w:rsidR="002F4B81" w:rsidRPr="002F4B81" w:rsidRDefault="002F4B81" w:rsidP="002F4B81">
            <w:pPr>
              <w:spacing w:after="0" w:line="240" w:lineRule="auto"/>
              <w:rPr>
                <w:rFonts w:ascii="Calibri" w:eastAsia="Times New Roman" w:hAnsi="Calibri" w:cs="Times New Roman"/>
                <w:sz w:val="20"/>
                <w:szCs w:val="20"/>
              </w:rPr>
            </w:pPr>
            <w:r w:rsidRPr="002F4B81">
              <w:rPr>
                <w:rFonts w:ascii="Calibri" w:eastAsia="Times New Roman" w:hAnsi="Calibri" w:cs="Times New Roman"/>
                <w:sz w:val="20"/>
                <w:szCs w:val="20"/>
              </w:rPr>
              <w:t>Serious Adverse Reaction (SAR)</w:t>
            </w:r>
          </w:p>
        </w:tc>
        <w:tc>
          <w:tcPr>
            <w:tcW w:w="6440" w:type="dxa"/>
          </w:tcPr>
          <w:p w14:paraId="426BAB93" w14:textId="77777777" w:rsidR="002F4B81" w:rsidRPr="002F4B81" w:rsidRDefault="002F4B81" w:rsidP="002F4B81">
            <w:pPr>
              <w:spacing w:after="0" w:line="240" w:lineRule="auto"/>
              <w:jc w:val="both"/>
              <w:rPr>
                <w:rFonts w:ascii="Calibri" w:eastAsia="Times New Roman" w:hAnsi="Calibri" w:cs="Times New Roman"/>
                <w:sz w:val="20"/>
                <w:szCs w:val="20"/>
              </w:rPr>
            </w:pPr>
            <w:r w:rsidRPr="002F4B81">
              <w:rPr>
                <w:rFonts w:ascii="Calibri" w:eastAsia="Times New Roman" w:hAnsi="Calibri" w:cs="Times New Roman"/>
                <w:sz w:val="20"/>
                <w:szCs w:val="20"/>
              </w:rPr>
              <w:t>An adverse event that is both serious and, in the opinion of the reporting Investigator, believed with reasonable probability to be due to of the trial treatment, based upon the information provided.</w:t>
            </w:r>
          </w:p>
        </w:tc>
      </w:tr>
      <w:tr w:rsidR="002F4B81" w:rsidRPr="002F4B81" w14:paraId="6B9159DC" w14:textId="77777777" w:rsidTr="00C667E5">
        <w:tc>
          <w:tcPr>
            <w:tcW w:w="2268" w:type="dxa"/>
          </w:tcPr>
          <w:p w14:paraId="5A9A3718" w14:textId="77777777" w:rsidR="002F4B81" w:rsidRPr="002F4B81" w:rsidRDefault="002F4B81" w:rsidP="002F4B81">
            <w:pPr>
              <w:spacing w:after="0" w:line="240" w:lineRule="auto"/>
              <w:rPr>
                <w:rFonts w:ascii="Calibri" w:eastAsia="Times New Roman" w:hAnsi="Calibri" w:cs="Times New Roman"/>
                <w:sz w:val="20"/>
                <w:szCs w:val="20"/>
              </w:rPr>
            </w:pPr>
            <w:r w:rsidRPr="002F4B81">
              <w:rPr>
                <w:rFonts w:ascii="Calibri" w:eastAsia="Times New Roman" w:hAnsi="Calibri" w:cs="Times New Roman"/>
                <w:sz w:val="20"/>
                <w:szCs w:val="20"/>
              </w:rPr>
              <w:t>Suspected Unexpected Serious Adverse Reaction (SUSAR)</w:t>
            </w:r>
          </w:p>
          <w:p w14:paraId="69407A4B" w14:textId="77777777" w:rsidR="002F4B81" w:rsidRPr="002F4B81" w:rsidRDefault="002F4B81" w:rsidP="002F4B81">
            <w:pPr>
              <w:spacing w:after="0" w:line="240" w:lineRule="auto"/>
              <w:rPr>
                <w:rFonts w:ascii="Calibri" w:eastAsia="Times New Roman" w:hAnsi="Calibri" w:cs="Times New Roman"/>
                <w:sz w:val="20"/>
                <w:szCs w:val="20"/>
              </w:rPr>
            </w:pPr>
          </w:p>
          <w:p w14:paraId="69A082A2" w14:textId="77777777" w:rsidR="002F4B81" w:rsidRPr="002F4B81" w:rsidRDefault="002F4B81" w:rsidP="002F4B81">
            <w:pPr>
              <w:spacing w:after="0" w:line="240" w:lineRule="auto"/>
              <w:rPr>
                <w:rFonts w:ascii="Calibri" w:eastAsia="Times New Roman" w:hAnsi="Calibri" w:cs="Times New Roman"/>
                <w:sz w:val="20"/>
                <w:szCs w:val="20"/>
              </w:rPr>
            </w:pPr>
          </w:p>
        </w:tc>
        <w:tc>
          <w:tcPr>
            <w:tcW w:w="6440" w:type="dxa"/>
          </w:tcPr>
          <w:p w14:paraId="4DC07690" w14:textId="77777777" w:rsidR="002F4B81" w:rsidRPr="002F4B81" w:rsidRDefault="002F4B81" w:rsidP="002F4B81">
            <w:pPr>
              <w:spacing w:after="0" w:line="240" w:lineRule="auto"/>
              <w:jc w:val="both"/>
              <w:rPr>
                <w:rFonts w:ascii="Calibri" w:eastAsia="Times New Roman" w:hAnsi="Calibri" w:cs="Times New Roman"/>
                <w:sz w:val="20"/>
                <w:szCs w:val="20"/>
              </w:rPr>
            </w:pPr>
            <w:r w:rsidRPr="002F4B81">
              <w:rPr>
                <w:rFonts w:ascii="Calibri" w:eastAsia="Times New Roman" w:hAnsi="Calibri" w:cs="Times New Roman"/>
                <w:sz w:val="20"/>
                <w:szCs w:val="20"/>
              </w:rPr>
              <w:t>A serious adverse reaction, the nature and severity of which is not consistent with the approved Reference Safety Information.</w:t>
            </w:r>
          </w:p>
        </w:tc>
      </w:tr>
    </w:tbl>
    <w:p w14:paraId="42314E2C" w14:textId="77777777" w:rsidR="002F4B81" w:rsidRPr="002F4B81" w:rsidRDefault="002F4B81" w:rsidP="002F4B81">
      <w:pPr>
        <w:keepNext/>
        <w:numPr>
          <w:ilvl w:val="1"/>
          <w:numId w:val="0"/>
        </w:numPr>
        <w:tabs>
          <w:tab w:val="num" w:pos="567"/>
        </w:tabs>
        <w:spacing w:after="0" w:line="240" w:lineRule="auto"/>
        <w:ind w:left="720" w:hanging="567"/>
        <w:outlineLvl w:val="1"/>
        <w:rPr>
          <w:rFonts w:ascii="Calibri" w:eastAsia="Times New Roman" w:hAnsi="Calibri" w:cs="Times New Roman"/>
          <w:b/>
          <w:sz w:val="26"/>
          <w:szCs w:val="20"/>
        </w:rPr>
      </w:pPr>
      <w:bookmarkStart w:id="63" w:name="_Toc499302700"/>
      <w:bookmarkStart w:id="64" w:name="_Toc7082729"/>
      <w:bookmarkStart w:id="65" w:name="_Toc83029351"/>
      <w:r w:rsidRPr="002F4B81">
        <w:rPr>
          <w:rFonts w:ascii="Calibri" w:eastAsia="Times New Roman" w:hAnsi="Calibri" w:cs="Times New Roman"/>
          <w:b/>
          <w:sz w:val="26"/>
          <w:szCs w:val="20"/>
        </w:rPr>
        <w:t>Recording and Reporting AEs and SAEs</w:t>
      </w:r>
      <w:bookmarkEnd w:id="63"/>
      <w:bookmarkEnd w:id="64"/>
      <w:bookmarkEnd w:id="65"/>
    </w:p>
    <w:p w14:paraId="7890D48F" w14:textId="77777777" w:rsidR="002F4B81" w:rsidRPr="002F4B81" w:rsidRDefault="002F4B81" w:rsidP="002F4B81">
      <w:pPr>
        <w:spacing w:after="0" w:line="240" w:lineRule="auto"/>
        <w:rPr>
          <w:rFonts w:ascii="Calibri" w:eastAsia="Times New Roman" w:hAnsi="Calibri" w:cs="Times New Roman"/>
          <w:szCs w:val="20"/>
        </w:rPr>
      </w:pPr>
    </w:p>
    <w:p w14:paraId="67376556"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 xml:space="preserve">All AEs occurring from the point of withdrawal (day 0) to end of study participation must be recorded in the study database eCRF as well as the participant’s medical notes. The </w:t>
      </w:r>
      <w:r w:rsidRPr="002F4B81">
        <w:rPr>
          <w:rFonts w:ascii="Calibri" w:eastAsia="Times New Roman" w:hAnsi="Calibri" w:cs="Arial"/>
        </w:rPr>
        <w:t>Medical Dictionary for Regulatory Activities</w:t>
      </w:r>
      <w:r w:rsidRPr="002F4B81">
        <w:rPr>
          <w:rFonts w:ascii="Calibri" w:eastAsia="Times New Roman" w:hAnsi="Calibri" w:cs="Times New Roman"/>
        </w:rPr>
        <w:t xml:space="preserve"> (MedDRA) (https://www.meddra.org/) coding system is now beginning to be used by NCTU for coding adverse events in MACRO.  It is widely used to code and classify adverse events in clinical trials.  We will advise sites on the best way to report adverse events, with some common examples, this will be included in the MACRO user guide with MedDRA.</w:t>
      </w:r>
    </w:p>
    <w:p w14:paraId="533789F4" w14:textId="77777777" w:rsidR="002F4B81" w:rsidRPr="002F4B81" w:rsidRDefault="002F4B81" w:rsidP="002F4B81">
      <w:pPr>
        <w:spacing w:after="0" w:line="240" w:lineRule="auto"/>
        <w:rPr>
          <w:rFonts w:ascii="Calibri" w:eastAsia="Times New Roman" w:hAnsi="Calibri" w:cs="Times New Roman"/>
        </w:rPr>
      </w:pPr>
    </w:p>
    <w:p w14:paraId="14B43D32"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 xml:space="preserve">We will run the auto-encoding centrally, which should code most events.  The remainder will need to </w:t>
      </w:r>
      <w:proofErr w:type="gramStart"/>
      <w:r w:rsidRPr="002F4B81">
        <w:rPr>
          <w:rFonts w:ascii="Calibri" w:eastAsia="Times New Roman" w:hAnsi="Calibri" w:cs="Times New Roman"/>
        </w:rPr>
        <w:t>be manually coded,</w:t>
      </w:r>
      <w:proofErr w:type="gramEnd"/>
      <w:r w:rsidRPr="002F4B81">
        <w:rPr>
          <w:rFonts w:ascii="Calibri" w:eastAsia="Times New Roman" w:hAnsi="Calibri" w:cs="Times New Roman"/>
        </w:rPr>
        <w:t xml:space="preserve"> this is often due to spelling mistakes.  The CI and other suitably qualified clinical persons will then check the original text against the coding. </w:t>
      </w:r>
      <w:r w:rsidRPr="002F4B81">
        <w:rPr>
          <w:rFonts w:ascii="Calibri" w:eastAsia="Times New Roman" w:hAnsi="Calibri" w:cs="Times New Roman"/>
          <w:szCs w:val="20"/>
        </w:rPr>
        <w:t>If use of the MedDRA coding proves problematic</w:t>
      </w:r>
      <w:r w:rsidRPr="002F4B81">
        <w:rPr>
          <w:rFonts w:ascii="Calibri" w:eastAsia="Times New Roman" w:hAnsi="Calibri" w:cs="Times New Roman"/>
        </w:rPr>
        <w:t>, we will just use the reported text accordingly.</w:t>
      </w:r>
    </w:p>
    <w:p w14:paraId="619C5BB0" w14:textId="77777777" w:rsidR="002F4B81" w:rsidRPr="002F4B81" w:rsidRDefault="002F4B81" w:rsidP="002F4B81">
      <w:pPr>
        <w:spacing w:after="0" w:line="240" w:lineRule="auto"/>
        <w:ind w:left="720"/>
        <w:jc w:val="both"/>
        <w:rPr>
          <w:rFonts w:ascii="Calibri" w:eastAsia="Times New Roman" w:hAnsi="Calibri" w:cs="Times New Roman"/>
          <w:szCs w:val="20"/>
        </w:rPr>
      </w:pPr>
    </w:p>
    <w:p w14:paraId="46765570" w14:textId="77777777" w:rsidR="002F4B81" w:rsidRPr="002F4B81" w:rsidRDefault="002F4B81" w:rsidP="002F4B81">
      <w:pPr>
        <w:spacing w:after="0" w:line="240" w:lineRule="auto"/>
        <w:ind w:left="720"/>
        <w:jc w:val="both"/>
        <w:rPr>
          <w:rFonts w:ascii="Calibri" w:eastAsia="Times New Roman" w:hAnsi="Calibri" w:cs="Times New Roman"/>
          <w:szCs w:val="20"/>
        </w:rPr>
      </w:pPr>
      <w:r w:rsidRPr="002F4B81">
        <w:rPr>
          <w:rFonts w:ascii="Calibri" w:eastAsia="Times New Roman" w:hAnsi="Calibri" w:cs="Times New Roman"/>
          <w:szCs w:val="20"/>
        </w:rPr>
        <w:t>SAEs occurring from the point of withdrawal (day 0) must be reported to NCTU within 24 hours of the site becoming aware of the event.  Any SAE that comes to the attention of the site team must be recorded and reported up until the point of study closure.</w:t>
      </w:r>
    </w:p>
    <w:p w14:paraId="44B8961C" w14:textId="77777777" w:rsidR="002F4B81" w:rsidRPr="002F4B81" w:rsidRDefault="002F4B81" w:rsidP="002F4B81">
      <w:pPr>
        <w:spacing w:after="0" w:line="240" w:lineRule="auto"/>
        <w:ind w:left="720"/>
        <w:jc w:val="both"/>
        <w:rPr>
          <w:rFonts w:ascii="Calibri" w:eastAsia="Times New Roman" w:hAnsi="Calibri" w:cs="Times New Roman"/>
          <w:szCs w:val="20"/>
        </w:rPr>
      </w:pPr>
      <w:r w:rsidRPr="002F4B81">
        <w:rPr>
          <w:rFonts w:ascii="Calibri" w:eastAsia="Times New Roman" w:hAnsi="Calibri" w:cs="Times New Roman"/>
          <w:szCs w:val="20"/>
        </w:rPr>
        <w:t>For each SAE the following information will be collected:</w:t>
      </w:r>
    </w:p>
    <w:p w14:paraId="786383A4" w14:textId="77777777" w:rsidR="002F4B81" w:rsidRPr="002F4B81" w:rsidRDefault="002F4B81" w:rsidP="002F4B81">
      <w:pPr>
        <w:numPr>
          <w:ilvl w:val="0"/>
          <w:numId w:val="37"/>
        </w:numPr>
        <w:spacing w:after="200" w:line="276" w:lineRule="auto"/>
        <w:ind w:firstLine="0"/>
        <w:contextualSpacing/>
        <w:jc w:val="both"/>
        <w:rPr>
          <w:rFonts w:ascii="Calibri" w:eastAsia="Times New Roman" w:hAnsi="Calibri" w:cs="Times New Roman"/>
          <w:szCs w:val="20"/>
        </w:rPr>
      </w:pPr>
      <w:r w:rsidRPr="002F4B81">
        <w:rPr>
          <w:rFonts w:ascii="Calibri" w:eastAsia="Times New Roman" w:hAnsi="Calibri" w:cs="Times New Roman"/>
          <w:szCs w:val="20"/>
        </w:rPr>
        <w:t>Full details in medical terms and case description</w:t>
      </w:r>
    </w:p>
    <w:p w14:paraId="1CBE11C2" w14:textId="77777777" w:rsidR="002F4B81" w:rsidRPr="002F4B81" w:rsidRDefault="002F4B81" w:rsidP="002F4B81">
      <w:pPr>
        <w:numPr>
          <w:ilvl w:val="0"/>
          <w:numId w:val="37"/>
        </w:numPr>
        <w:spacing w:after="200" w:line="276" w:lineRule="auto"/>
        <w:ind w:firstLine="0"/>
        <w:contextualSpacing/>
        <w:jc w:val="both"/>
        <w:rPr>
          <w:rFonts w:ascii="Calibri" w:eastAsia="Times New Roman" w:hAnsi="Calibri" w:cs="Times New Roman"/>
          <w:szCs w:val="20"/>
        </w:rPr>
      </w:pPr>
      <w:r w:rsidRPr="002F4B81">
        <w:rPr>
          <w:rFonts w:ascii="Calibri" w:eastAsia="Times New Roman" w:hAnsi="Calibri" w:cs="Times New Roman"/>
          <w:szCs w:val="20"/>
        </w:rPr>
        <w:t>Event duration (start and end dates, if applicable)</w:t>
      </w:r>
    </w:p>
    <w:p w14:paraId="42BBF799" w14:textId="77777777" w:rsidR="002F4B81" w:rsidRPr="002F4B81" w:rsidRDefault="002F4B81" w:rsidP="002F4B81">
      <w:pPr>
        <w:numPr>
          <w:ilvl w:val="0"/>
          <w:numId w:val="37"/>
        </w:numPr>
        <w:spacing w:after="200" w:line="276" w:lineRule="auto"/>
        <w:ind w:firstLine="0"/>
        <w:contextualSpacing/>
        <w:jc w:val="both"/>
        <w:rPr>
          <w:rFonts w:ascii="Calibri" w:eastAsia="Times New Roman" w:hAnsi="Calibri" w:cs="Times New Roman"/>
          <w:szCs w:val="20"/>
        </w:rPr>
      </w:pPr>
      <w:r w:rsidRPr="002F4B81">
        <w:rPr>
          <w:rFonts w:ascii="Calibri" w:eastAsia="Times New Roman" w:hAnsi="Calibri" w:cs="Times New Roman"/>
          <w:szCs w:val="20"/>
        </w:rPr>
        <w:lastRenderedPageBreak/>
        <w:t xml:space="preserve">Action </w:t>
      </w:r>
      <w:proofErr w:type="gramStart"/>
      <w:r w:rsidRPr="002F4B81">
        <w:rPr>
          <w:rFonts w:ascii="Calibri" w:eastAsia="Times New Roman" w:hAnsi="Calibri" w:cs="Times New Roman"/>
          <w:szCs w:val="20"/>
        </w:rPr>
        <w:t>taken</w:t>
      </w:r>
      <w:proofErr w:type="gramEnd"/>
    </w:p>
    <w:p w14:paraId="4016844B" w14:textId="77777777" w:rsidR="002F4B81" w:rsidRPr="002F4B81" w:rsidRDefault="002F4B81" w:rsidP="002F4B81">
      <w:pPr>
        <w:numPr>
          <w:ilvl w:val="0"/>
          <w:numId w:val="37"/>
        </w:numPr>
        <w:spacing w:after="200" w:line="276" w:lineRule="auto"/>
        <w:ind w:firstLine="0"/>
        <w:contextualSpacing/>
        <w:jc w:val="both"/>
        <w:rPr>
          <w:rFonts w:ascii="Calibri" w:eastAsia="Times New Roman" w:hAnsi="Calibri" w:cs="Times New Roman"/>
          <w:szCs w:val="20"/>
        </w:rPr>
      </w:pPr>
      <w:r w:rsidRPr="002F4B81">
        <w:rPr>
          <w:rFonts w:ascii="Calibri" w:eastAsia="Times New Roman" w:hAnsi="Calibri" w:cs="Times New Roman"/>
          <w:szCs w:val="20"/>
        </w:rPr>
        <w:t>Outcome</w:t>
      </w:r>
    </w:p>
    <w:p w14:paraId="3ADE17AC" w14:textId="77777777" w:rsidR="002F4B81" w:rsidRPr="002F4B81" w:rsidRDefault="002F4B81" w:rsidP="002F4B81">
      <w:pPr>
        <w:numPr>
          <w:ilvl w:val="0"/>
          <w:numId w:val="37"/>
        </w:numPr>
        <w:spacing w:after="200" w:line="276" w:lineRule="auto"/>
        <w:ind w:firstLine="0"/>
        <w:contextualSpacing/>
        <w:jc w:val="both"/>
        <w:rPr>
          <w:rFonts w:ascii="Calibri" w:eastAsia="Times New Roman" w:hAnsi="Calibri" w:cs="Times New Roman"/>
          <w:szCs w:val="20"/>
        </w:rPr>
      </w:pPr>
      <w:r w:rsidRPr="002F4B81">
        <w:rPr>
          <w:rFonts w:ascii="Calibri" w:eastAsia="Times New Roman" w:hAnsi="Calibri" w:cs="Times New Roman"/>
          <w:szCs w:val="20"/>
        </w:rPr>
        <w:t>Seriousness criteria</w:t>
      </w:r>
    </w:p>
    <w:p w14:paraId="753F06EF" w14:textId="77777777" w:rsidR="002F4B81" w:rsidRPr="002F4B81" w:rsidRDefault="002F4B81" w:rsidP="002F4B81">
      <w:pPr>
        <w:numPr>
          <w:ilvl w:val="0"/>
          <w:numId w:val="37"/>
        </w:numPr>
        <w:spacing w:after="200" w:line="276" w:lineRule="auto"/>
        <w:ind w:firstLine="0"/>
        <w:contextualSpacing/>
        <w:jc w:val="both"/>
        <w:rPr>
          <w:rFonts w:ascii="Calibri" w:eastAsia="Times New Roman" w:hAnsi="Calibri" w:cs="Times New Roman"/>
          <w:szCs w:val="20"/>
        </w:rPr>
      </w:pPr>
      <w:r w:rsidRPr="002F4B81">
        <w:rPr>
          <w:rFonts w:ascii="Calibri" w:eastAsia="Times New Roman" w:hAnsi="Calibri" w:cs="Times New Roman"/>
          <w:szCs w:val="20"/>
        </w:rPr>
        <w:t>Causality in the opinion of the investigator</w:t>
      </w:r>
    </w:p>
    <w:p w14:paraId="0DF9FCC8" w14:textId="77777777" w:rsidR="002F4B81" w:rsidRPr="002F4B81" w:rsidRDefault="002F4B81" w:rsidP="002F4B81">
      <w:pPr>
        <w:numPr>
          <w:ilvl w:val="0"/>
          <w:numId w:val="37"/>
        </w:numPr>
        <w:spacing w:after="200" w:line="276" w:lineRule="auto"/>
        <w:ind w:firstLine="0"/>
        <w:contextualSpacing/>
        <w:jc w:val="both"/>
        <w:rPr>
          <w:rFonts w:ascii="Calibri" w:eastAsia="Times New Roman" w:hAnsi="Calibri" w:cs="Times New Roman"/>
          <w:szCs w:val="20"/>
        </w:rPr>
      </w:pPr>
      <w:r w:rsidRPr="002F4B81">
        <w:rPr>
          <w:rFonts w:ascii="Calibri" w:eastAsia="Times New Roman" w:hAnsi="Calibri" w:cs="Times New Roman"/>
          <w:szCs w:val="20"/>
        </w:rPr>
        <w:t>Whether the event is considered expected or unexpected in accordance with the approved Reference Safety Information if a causal relationship is suspected</w:t>
      </w:r>
    </w:p>
    <w:p w14:paraId="4A63452B" w14:textId="77777777" w:rsidR="002F4B81" w:rsidRPr="002F4B81" w:rsidRDefault="002F4B81" w:rsidP="002F4B81">
      <w:pPr>
        <w:spacing w:after="0" w:line="240" w:lineRule="auto"/>
        <w:ind w:left="720"/>
        <w:jc w:val="both"/>
        <w:rPr>
          <w:rFonts w:ascii="Calibri" w:eastAsia="Times New Roman" w:hAnsi="Calibri" w:cs="Times New Roman"/>
          <w:szCs w:val="20"/>
        </w:rPr>
      </w:pPr>
      <w:r w:rsidRPr="002F4B81">
        <w:rPr>
          <w:rFonts w:ascii="Calibri" w:eastAsia="Times New Roman" w:hAnsi="Calibri" w:cs="Times New Roman"/>
          <w:szCs w:val="20"/>
        </w:rPr>
        <w:t>Any change of condition or other follow-up information should be submitted to the NCTU as soon as it is available or at least within 24 hours of the information becoming available.  Events will be followed up until the event has resolved or a final outcome has been reached.</w:t>
      </w:r>
    </w:p>
    <w:p w14:paraId="5D616B85" w14:textId="77777777" w:rsidR="002F4B81" w:rsidRPr="002F4B81" w:rsidRDefault="002F4B81" w:rsidP="002F4B81">
      <w:pPr>
        <w:spacing w:after="0" w:line="240" w:lineRule="auto"/>
        <w:ind w:left="720"/>
        <w:jc w:val="both"/>
        <w:rPr>
          <w:rFonts w:ascii="Calibri" w:eastAsia="Times New Roman" w:hAnsi="Calibri" w:cs="Times New Roman"/>
          <w:szCs w:val="20"/>
        </w:rPr>
      </w:pPr>
    </w:p>
    <w:p w14:paraId="7D66B28B" w14:textId="77777777" w:rsidR="002F4B81" w:rsidRPr="002F4B81" w:rsidRDefault="002F4B81" w:rsidP="002F4B81">
      <w:pPr>
        <w:keepNext/>
        <w:numPr>
          <w:ilvl w:val="1"/>
          <w:numId w:val="0"/>
        </w:numPr>
        <w:tabs>
          <w:tab w:val="num" w:pos="-153"/>
        </w:tabs>
        <w:spacing w:after="0" w:line="240" w:lineRule="auto"/>
        <w:ind w:hanging="567"/>
        <w:outlineLvl w:val="1"/>
        <w:rPr>
          <w:rFonts w:ascii="Calibri" w:eastAsia="Times New Roman" w:hAnsi="Calibri" w:cs="Times New Roman"/>
          <w:b/>
          <w:sz w:val="26"/>
          <w:szCs w:val="20"/>
        </w:rPr>
      </w:pPr>
      <w:bookmarkStart w:id="66" w:name="_Toc499302701"/>
      <w:bookmarkStart w:id="67" w:name="_Toc7082730"/>
      <w:bookmarkStart w:id="68" w:name="_Toc83029352"/>
      <w:r w:rsidRPr="002F4B81">
        <w:rPr>
          <w:rFonts w:ascii="Calibri" w:eastAsia="Times New Roman" w:hAnsi="Calibri" w:cs="Times New Roman"/>
          <w:b/>
          <w:sz w:val="26"/>
          <w:szCs w:val="20"/>
        </w:rPr>
        <w:t>Recording and Reporting SUSARs</w:t>
      </w:r>
      <w:bookmarkEnd w:id="66"/>
      <w:bookmarkEnd w:id="67"/>
      <w:bookmarkEnd w:id="68"/>
    </w:p>
    <w:p w14:paraId="67DC678B" w14:textId="77777777" w:rsidR="002F4B81" w:rsidRPr="002F4B81" w:rsidRDefault="002F4B81" w:rsidP="002F4B81">
      <w:pPr>
        <w:spacing w:after="0" w:line="240" w:lineRule="auto"/>
        <w:ind w:left="153"/>
        <w:rPr>
          <w:rFonts w:ascii="Calibri" w:eastAsia="Times New Roman" w:hAnsi="Calibri" w:cs="Times New Roman"/>
          <w:szCs w:val="20"/>
        </w:rPr>
      </w:pPr>
    </w:p>
    <w:p w14:paraId="0D7D32D0" w14:textId="77777777" w:rsidR="002F4B81" w:rsidRPr="002F4B81" w:rsidRDefault="002F4B81" w:rsidP="002F4B81">
      <w:pPr>
        <w:spacing w:after="0" w:line="240" w:lineRule="auto"/>
        <w:ind w:left="720"/>
        <w:jc w:val="both"/>
        <w:rPr>
          <w:rFonts w:ascii="Calibri" w:eastAsia="Times New Roman" w:hAnsi="Calibri" w:cs="Times New Roman"/>
          <w:szCs w:val="20"/>
        </w:rPr>
      </w:pPr>
      <w:r w:rsidRPr="002F4B81">
        <w:rPr>
          <w:rFonts w:ascii="Calibri" w:eastAsia="Times New Roman" w:hAnsi="Calibri" w:cs="Times New Roman"/>
          <w:szCs w:val="20"/>
        </w:rPr>
        <w:t>SUSARs are reportable only for those patients who are withdrawn from Eculizumab and are subsequently put back on to drug during their participation in the trial. All SUSARs occurring from first day that a patient has their Eculizumab treatment restarted until the last day of the withdrawal period (24 months post initial termination of Eculizumab) must be reported to the Medicines and Healthcare products Regulatory Agency (MHRA) and REC.  The NCTU will perform this reporting.</w:t>
      </w:r>
    </w:p>
    <w:p w14:paraId="17131DF2" w14:textId="77777777" w:rsidR="002F4B81" w:rsidRPr="002F4B81" w:rsidRDefault="002F4B81" w:rsidP="002F4B81">
      <w:pPr>
        <w:spacing w:after="0" w:line="240" w:lineRule="auto"/>
        <w:ind w:left="720"/>
        <w:jc w:val="both"/>
        <w:rPr>
          <w:rFonts w:ascii="Calibri" w:eastAsia="Times New Roman" w:hAnsi="Calibri" w:cs="Times New Roman"/>
          <w:szCs w:val="20"/>
        </w:rPr>
      </w:pPr>
    </w:p>
    <w:p w14:paraId="53709239" w14:textId="77777777" w:rsidR="002F4B81" w:rsidRPr="002F4B81" w:rsidRDefault="002F4B81" w:rsidP="002F4B81">
      <w:pPr>
        <w:spacing w:after="0" w:line="240" w:lineRule="auto"/>
        <w:ind w:left="720"/>
        <w:jc w:val="both"/>
        <w:rPr>
          <w:rFonts w:ascii="Calibri" w:eastAsia="Times New Roman" w:hAnsi="Calibri" w:cs="Times New Roman"/>
          <w:szCs w:val="20"/>
        </w:rPr>
      </w:pPr>
      <w:r w:rsidRPr="002F4B81">
        <w:rPr>
          <w:rFonts w:ascii="Calibri" w:eastAsia="Times New Roman" w:hAnsi="Calibri" w:cs="Times New Roman"/>
          <w:szCs w:val="20"/>
        </w:rPr>
        <w:t>The assessment of expectedness will be performed by the PI at site against the approved Reference Safety Information (RSI) for the trial (Section 4.8 of Soliris SmPC).</w:t>
      </w:r>
    </w:p>
    <w:p w14:paraId="20A66F39" w14:textId="77777777" w:rsidR="002F4B81" w:rsidRPr="002F4B81" w:rsidRDefault="002F4B81" w:rsidP="002F4B81">
      <w:pPr>
        <w:spacing w:after="0" w:line="240" w:lineRule="auto"/>
        <w:ind w:left="720"/>
        <w:jc w:val="both"/>
        <w:rPr>
          <w:rFonts w:ascii="Calibri" w:eastAsia="Times New Roman" w:hAnsi="Calibri" w:cs="Times New Roman"/>
          <w:szCs w:val="20"/>
        </w:rPr>
      </w:pPr>
    </w:p>
    <w:p w14:paraId="2C05A15E" w14:textId="77777777" w:rsidR="002F4B81" w:rsidRPr="002F4B81" w:rsidRDefault="002F4B81" w:rsidP="002F4B81">
      <w:pPr>
        <w:spacing w:after="0" w:line="240" w:lineRule="auto"/>
        <w:ind w:left="720"/>
        <w:jc w:val="both"/>
        <w:rPr>
          <w:rFonts w:ascii="Calibri" w:eastAsia="Times New Roman" w:hAnsi="Calibri" w:cs="Times New Roman"/>
          <w:szCs w:val="20"/>
        </w:rPr>
      </w:pPr>
      <w:r w:rsidRPr="002F4B81">
        <w:rPr>
          <w:rFonts w:ascii="Calibri" w:eastAsia="Times New Roman" w:hAnsi="Calibri" w:cs="Times New Roman"/>
          <w:szCs w:val="20"/>
        </w:rPr>
        <w:t>Fatal and life-threatening SUSARS must be reported to the MHRA no later than 7 calendar days after the Sponsor has first knowledge of the event.  Any relevant follow-up information must be sought and reported within a further 8 calendar days.</w:t>
      </w:r>
    </w:p>
    <w:p w14:paraId="6F0C6DCF" w14:textId="77777777" w:rsidR="002F4B81" w:rsidRPr="002F4B81" w:rsidRDefault="002F4B81" w:rsidP="002F4B81">
      <w:pPr>
        <w:spacing w:after="0" w:line="240" w:lineRule="auto"/>
        <w:ind w:left="720"/>
        <w:jc w:val="both"/>
        <w:rPr>
          <w:rFonts w:ascii="Calibri" w:eastAsia="Times New Roman" w:hAnsi="Calibri" w:cs="Times New Roman"/>
          <w:szCs w:val="20"/>
        </w:rPr>
      </w:pPr>
    </w:p>
    <w:p w14:paraId="4ADD9629" w14:textId="77777777" w:rsidR="002F4B81" w:rsidRPr="002F4B81" w:rsidRDefault="002F4B81" w:rsidP="002F4B81">
      <w:pPr>
        <w:spacing w:after="0" w:line="240" w:lineRule="auto"/>
        <w:ind w:left="720"/>
        <w:jc w:val="both"/>
        <w:rPr>
          <w:rFonts w:ascii="Calibri" w:eastAsia="Times New Roman" w:hAnsi="Calibri" w:cs="Times New Roman"/>
          <w:szCs w:val="20"/>
          <w:lang w:val="en-US"/>
        </w:rPr>
      </w:pPr>
      <w:r w:rsidRPr="002F4B81">
        <w:rPr>
          <w:rFonts w:ascii="Calibri" w:eastAsia="Times New Roman" w:hAnsi="Calibri" w:cs="Times New Roman"/>
          <w:bCs/>
          <w:szCs w:val="20"/>
          <w:lang w:val="en-US"/>
        </w:rPr>
        <w:t xml:space="preserve">Non-fatal or </w:t>
      </w:r>
      <w:proofErr w:type="spellStart"/>
      <w:proofErr w:type="gramStart"/>
      <w:r w:rsidRPr="002F4B81">
        <w:rPr>
          <w:rFonts w:ascii="Calibri" w:eastAsia="Times New Roman" w:hAnsi="Calibri" w:cs="Times New Roman"/>
          <w:bCs/>
          <w:szCs w:val="20"/>
          <w:lang w:val="en-US"/>
        </w:rPr>
        <w:t>non life-threatening</w:t>
      </w:r>
      <w:proofErr w:type="spellEnd"/>
      <w:proofErr w:type="gramEnd"/>
      <w:r w:rsidRPr="002F4B81">
        <w:rPr>
          <w:rFonts w:ascii="Calibri" w:eastAsia="Times New Roman" w:hAnsi="Calibri" w:cs="Times New Roman"/>
          <w:bCs/>
          <w:szCs w:val="20"/>
          <w:lang w:val="en-US"/>
        </w:rPr>
        <w:t xml:space="preserve"> SUSARs must be reported to the MHRA no later than</w:t>
      </w:r>
      <w:r w:rsidRPr="002F4B81">
        <w:rPr>
          <w:rFonts w:ascii="Calibri" w:eastAsia="Times New Roman" w:hAnsi="Calibri" w:cs="Times New Roman"/>
          <w:b/>
          <w:bCs/>
          <w:szCs w:val="20"/>
          <w:lang w:val="en-US"/>
        </w:rPr>
        <w:t xml:space="preserve"> </w:t>
      </w:r>
      <w:r w:rsidRPr="002F4B81">
        <w:rPr>
          <w:rFonts w:ascii="Calibri" w:eastAsia="Times New Roman" w:hAnsi="Calibri" w:cs="Times New Roman"/>
          <w:bCs/>
          <w:szCs w:val="20"/>
          <w:lang w:val="en-US"/>
        </w:rPr>
        <w:t>15 calendar days</w:t>
      </w:r>
      <w:r w:rsidRPr="002F4B81">
        <w:rPr>
          <w:rFonts w:ascii="Calibri" w:eastAsia="Times New Roman" w:hAnsi="Calibri" w:cs="Times New Roman"/>
          <w:b/>
          <w:bCs/>
          <w:szCs w:val="20"/>
          <w:lang w:val="en-US"/>
        </w:rPr>
        <w:t xml:space="preserve"> </w:t>
      </w:r>
      <w:r w:rsidRPr="002F4B81">
        <w:rPr>
          <w:rFonts w:ascii="Calibri" w:eastAsia="Times New Roman" w:hAnsi="Calibri" w:cs="Times New Roman"/>
          <w:szCs w:val="20"/>
          <w:lang w:val="en-US"/>
        </w:rPr>
        <w:t>after the Sponsor has first knowledge of the event.  Any relevant follow-up information should be sought and reported as soon as possible after the initial report.</w:t>
      </w:r>
    </w:p>
    <w:p w14:paraId="31D67564" w14:textId="77777777" w:rsidR="002F4B81" w:rsidRPr="002F4B81" w:rsidRDefault="002F4B81" w:rsidP="002F4B81">
      <w:pPr>
        <w:spacing w:after="0" w:line="240" w:lineRule="auto"/>
        <w:ind w:left="720"/>
        <w:jc w:val="both"/>
        <w:rPr>
          <w:rFonts w:ascii="Calibri" w:eastAsia="Times New Roman" w:hAnsi="Calibri" w:cs="Times New Roman"/>
          <w:szCs w:val="20"/>
          <w:lang w:val="en-US"/>
        </w:rPr>
      </w:pPr>
    </w:p>
    <w:p w14:paraId="0B6256A5" w14:textId="77777777" w:rsidR="002F4B81" w:rsidRPr="002F4B81" w:rsidRDefault="002F4B81" w:rsidP="002F4B81">
      <w:pPr>
        <w:spacing w:after="0" w:line="240" w:lineRule="auto"/>
        <w:ind w:left="720"/>
        <w:jc w:val="both"/>
        <w:rPr>
          <w:rFonts w:ascii="Calibri" w:eastAsia="Times New Roman" w:hAnsi="Calibri" w:cs="Times New Roman"/>
          <w:szCs w:val="20"/>
        </w:rPr>
      </w:pPr>
      <w:r w:rsidRPr="002F4B81">
        <w:rPr>
          <w:rFonts w:ascii="Calibri" w:eastAsia="Times New Roman" w:hAnsi="Calibri" w:cs="Times New Roman"/>
          <w:szCs w:val="20"/>
          <w:lang w:val="en-US"/>
        </w:rPr>
        <w:t xml:space="preserve">As soon as a site suspects that a SAR may be a SUSAR they must contact the CI, sponsor representative and the trial manager immediately.  The </w:t>
      </w:r>
      <w:r w:rsidRPr="002F4B81">
        <w:rPr>
          <w:rFonts w:ascii="Calibri" w:eastAsia="Times New Roman" w:hAnsi="Calibri" w:cs="Times New Roman"/>
          <w:szCs w:val="20"/>
        </w:rPr>
        <w:t xml:space="preserve">reporting timeframe starts at day 0 when the NCTU is in receipt of a minimum set of information: </w:t>
      </w:r>
    </w:p>
    <w:p w14:paraId="56A2BF32" w14:textId="77777777" w:rsidR="002F4B81" w:rsidRPr="002F4B81" w:rsidRDefault="002F4B81" w:rsidP="002F4B81">
      <w:pPr>
        <w:spacing w:after="0" w:line="240" w:lineRule="auto"/>
        <w:ind w:left="720"/>
        <w:jc w:val="both"/>
        <w:rPr>
          <w:rFonts w:ascii="Calibri" w:eastAsia="Times New Roman" w:hAnsi="Calibri" w:cs="Times New Roman"/>
          <w:szCs w:val="20"/>
        </w:rPr>
      </w:pPr>
    </w:p>
    <w:p w14:paraId="3C8DD767" w14:textId="77777777" w:rsidR="002F4B81" w:rsidRPr="002F4B81" w:rsidRDefault="002F4B81" w:rsidP="002F4B81">
      <w:pPr>
        <w:numPr>
          <w:ilvl w:val="0"/>
          <w:numId w:val="44"/>
        </w:num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Sponsor trial reference and trial name (sponsor reference)</w:t>
      </w:r>
    </w:p>
    <w:p w14:paraId="288D5606" w14:textId="77777777" w:rsidR="002F4B81" w:rsidRPr="002F4B81" w:rsidRDefault="002F4B81" w:rsidP="002F4B81">
      <w:pPr>
        <w:numPr>
          <w:ilvl w:val="0"/>
          <w:numId w:val="44"/>
        </w:num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EudraCT number</w:t>
      </w:r>
    </w:p>
    <w:p w14:paraId="5129E238" w14:textId="77777777" w:rsidR="002F4B81" w:rsidRPr="002F4B81" w:rsidRDefault="002F4B81" w:rsidP="002F4B81">
      <w:pPr>
        <w:numPr>
          <w:ilvl w:val="0"/>
          <w:numId w:val="44"/>
        </w:num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Patient trial number and date of birth</w:t>
      </w:r>
    </w:p>
    <w:p w14:paraId="4ED86778" w14:textId="77777777" w:rsidR="002F4B81" w:rsidRPr="002F4B81" w:rsidRDefault="002F4B81" w:rsidP="002F4B81">
      <w:pPr>
        <w:numPr>
          <w:ilvl w:val="0"/>
          <w:numId w:val="44"/>
        </w:num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Date of notification of the event</w:t>
      </w:r>
    </w:p>
    <w:p w14:paraId="5F063A5D" w14:textId="77777777" w:rsidR="002F4B81" w:rsidRPr="002F4B81" w:rsidRDefault="002F4B81" w:rsidP="002F4B81">
      <w:pPr>
        <w:numPr>
          <w:ilvl w:val="0"/>
          <w:numId w:val="44"/>
        </w:num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Medical description of the event</w:t>
      </w:r>
    </w:p>
    <w:p w14:paraId="0CF9DE7A" w14:textId="77777777" w:rsidR="002F4B81" w:rsidRPr="002F4B81" w:rsidRDefault="002F4B81" w:rsidP="002F4B81">
      <w:pPr>
        <w:numPr>
          <w:ilvl w:val="0"/>
          <w:numId w:val="44"/>
        </w:num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Date and time of the onset of the event (including event end date if applicable)</w:t>
      </w:r>
    </w:p>
    <w:p w14:paraId="68D895E1" w14:textId="77777777" w:rsidR="002F4B81" w:rsidRPr="002F4B81" w:rsidRDefault="002F4B81" w:rsidP="002F4B81">
      <w:pPr>
        <w:numPr>
          <w:ilvl w:val="0"/>
          <w:numId w:val="44"/>
        </w:num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 xml:space="preserve">Causality assessment </w:t>
      </w:r>
    </w:p>
    <w:p w14:paraId="57FAD558" w14:textId="77777777" w:rsidR="002F4B81" w:rsidRPr="002F4B81" w:rsidRDefault="002F4B81" w:rsidP="002F4B81">
      <w:pPr>
        <w:numPr>
          <w:ilvl w:val="0"/>
          <w:numId w:val="44"/>
        </w:num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 xml:space="preserve">Seriousness of the event, particularly if life threatening or fatal  </w:t>
      </w:r>
    </w:p>
    <w:p w14:paraId="4CD76D6E" w14:textId="77777777" w:rsidR="002F4B81" w:rsidRPr="002F4B81" w:rsidRDefault="002F4B81" w:rsidP="002F4B81">
      <w:pPr>
        <w:numPr>
          <w:ilvl w:val="0"/>
          <w:numId w:val="44"/>
        </w:num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An identifiable reporter (e.g., Principal Investigator)</w:t>
      </w:r>
    </w:p>
    <w:p w14:paraId="7F8DF457" w14:textId="77777777" w:rsidR="002F4B81" w:rsidRPr="002F4B81" w:rsidRDefault="002F4B81" w:rsidP="002F4B81">
      <w:pPr>
        <w:spacing w:after="0" w:line="240" w:lineRule="auto"/>
        <w:ind w:left="720"/>
        <w:jc w:val="both"/>
        <w:rPr>
          <w:rFonts w:ascii="Calibri" w:eastAsia="Times New Roman" w:hAnsi="Calibri" w:cs="Times New Roman"/>
          <w:szCs w:val="20"/>
          <w:lang w:val="en-US"/>
        </w:rPr>
      </w:pPr>
    </w:p>
    <w:p w14:paraId="03E3B694" w14:textId="77777777" w:rsidR="002F4B81" w:rsidRPr="002F4B81" w:rsidRDefault="002F4B81" w:rsidP="002F4B81">
      <w:pPr>
        <w:spacing w:after="0" w:line="240" w:lineRule="auto"/>
        <w:ind w:left="720"/>
        <w:jc w:val="both"/>
        <w:rPr>
          <w:rFonts w:ascii="Calibri" w:eastAsia="Times New Roman" w:hAnsi="Calibri" w:cs="Times New Roman"/>
          <w:szCs w:val="20"/>
        </w:rPr>
      </w:pPr>
      <w:r w:rsidRPr="002F4B81">
        <w:rPr>
          <w:rFonts w:ascii="Calibri" w:eastAsia="Times New Roman" w:hAnsi="Calibri" w:cs="Times New Roman"/>
          <w:szCs w:val="20"/>
          <w:lang w:val="en-US"/>
        </w:rPr>
        <w:lastRenderedPageBreak/>
        <w:t>This information must be provided on</w:t>
      </w:r>
      <w:r w:rsidRPr="002F4B81">
        <w:rPr>
          <w:rFonts w:ascii="Calibri" w:eastAsia="Times New Roman" w:hAnsi="Calibri" w:cs="Times New Roman"/>
          <w:szCs w:val="20"/>
        </w:rPr>
        <w:t xml:space="preserve"> the SAE Form provided to site. The site is expected to fully cooperate with the NCTU in order that a full and detailed report can be submitted to the MHRA and REC within the required timelines.</w:t>
      </w:r>
    </w:p>
    <w:p w14:paraId="51E000BD" w14:textId="77777777" w:rsidR="002F4B81" w:rsidRPr="002F4B81" w:rsidRDefault="002F4B81" w:rsidP="002F4B81">
      <w:pPr>
        <w:spacing w:after="0" w:line="240" w:lineRule="auto"/>
        <w:ind w:left="720"/>
        <w:jc w:val="both"/>
        <w:rPr>
          <w:rFonts w:ascii="Calibri" w:eastAsia="Times New Roman" w:hAnsi="Calibri" w:cs="Times New Roman"/>
          <w:szCs w:val="20"/>
        </w:rPr>
      </w:pPr>
    </w:p>
    <w:p w14:paraId="19893C9D" w14:textId="77777777" w:rsidR="002F4B81" w:rsidRPr="002F4B81" w:rsidRDefault="002F4B81" w:rsidP="002F4B81">
      <w:pPr>
        <w:spacing w:after="0" w:line="240" w:lineRule="auto"/>
        <w:ind w:left="720"/>
        <w:jc w:val="both"/>
        <w:rPr>
          <w:rFonts w:ascii="Calibri" w:eastAsia="Times New Roman" w:hAnsi="Calibri" w:cs="Times New Roman"/>
          <w:szCs w:val="20"/>
        </w:rPr>
      </w:pPr>
      <w:r w:rsidRPr="002F4B81">
        <w:rPr>
          <w:rFonts w:ascii="Calibri" w:eastAsia="Times New Roman" w:hAnsi="Calibri" w:cs="Times New Roman"/>
          <w:szCs w:val="20"/>
        </w:rPr>
        <w:t>PIs will be informed of all SUSARs by the C.I or member of the central clinical trial team.</w:t>
      </w:r>
    </w:p>
    <w:p w14:paraId="40E7005E" w14:textId="77777777" w:rsidR="002F4B81" w:rsidRPr="002F4B81" w:rsidRDefault="002F4B81" w:rsidP="002F4B81">
      <w:pPr>
        <w:spacing w:after="0" w:line="240" w:lineRule="auto"/>
        <w:contextualSpacing/>
        <w:jc w:val="both"/>
        <w:rPr>
          <w:rFonts w:ascii="Calibri" w:eastAsia="Calibri" w:hAnsi="Calibri" w:cs="Times New Roman"/>
          <w:i/>
        </w:rPr>
      </w:pPr>
    </w:p>
    <w:p w14:paraId="7905EBDD" w14:textId="77777777" w:rsidR="002F4B81" w:rsidRPr="002F4B81" w:rsidRDefault="002F4B81" w:rsidP="002F4B81">
      <w:pPr>
        <w:keepNext/>
        <w:numPr>
          <w:ilvl w:val="1"/>
          <w:numId w:val="0"/>
        </w:numPr>
        <w:tabs>
          <w:tab w:val="num" w:pos="-153"/>
        </w:tabs>
        <w:spacing w:after="0" w:line="240" w:lineRule="auto"/>
        <w:ind w:hanging="567"/>
        <w:outlineLvl w:val="1"/>
        <w:rPr>
          <w:rFonts w:ascii="Calibri" w:eastAsia="Times New Roman" w:hAnsi="Calibri" w:cs="Times New Roman"/>
          <w:b/>
          <w:sz w:val="26"/>
          <w:szCs w:val="20"/>
        </w:rPr>
      </w:pPr>
      <w:bookmarkStart w:id="69" w:name="_Toc499302703"/>
      <w:bookmarkStart w:id="70" w:name="_Toc7082731"/>
      <w:bookmarkStart w:id="71" w:name="_Toc83029353"/>
      <w:r w:rsidRPr="002F4B81">
        <w:rPr>
          <w:rFonts w:ascii="Calibri" w:eastAsia="Times New Roman" w:hAnsi="Calibri" w:cs="Times New Roman"/>
          <w:b/>
          <w:sz w:val="26"/>
          <w:szCs w:val="20"/>
        </w:rPr>
        <w:t>Notification of Deaths</w:t>
      </w:r>
      <w:bookmarkEnd w:id="69"/>
      <w:bookmarkEnd w:id="70"/>
      <w:bookmarkEnd w:id="71"/>
    </w:p>
    <w:p w14:paraId="733675B1" w14:textId="77777777" w:rsidR="002F4B81" w:rsidRPr="002F4B81" w:rsidRDefault="002F4B81" w:rsidP="002F4B81">
      <w:pPr>
        <w:spacing w:after="0" w:line="240" w:lineRule="auto"/>
        <w:rPr>
          <w:rFonts w:ascii="Calibri" w:eastAsia="Times New Roman" w:hAnsi="Calibri" w:cs="Times New Roman"/>
          <w:szCs w:val="20"/>
        </w:rPr>
      </w:pPr>
    </w:p>
    <w:p w14:paraId="0B4E039C" w14:textId="77777777" w:rsidR="002F4B81" w:rsidRPr="002F4B81" w:rsidRDefault="002F4B81" w:rsidP="002F4B81">
      <w:pPr>
        <w:spacing w:after="0" w:line="240" w:lineRule="auto"/>
        <w:ind w:left="720"/>
        <w:jc w:val="both"/>
        <w:rPr>
          <w:rFonts w:ascii="Calibri" w:eastAsia="Times New Roman" w:hAnsi="Calibri" w:cs="Times New Roman"/>
          <w:szCs w:val="20"/>
        </w:rPr>
      </w:pPr>
      <w:r w:rsidRPr="002F4B81">
        <w:rPr>
          <w:rFonts w:ascii="Calibri" w:eastAsia="Times New Roman" w:hAnsi="Calibri" w:cs="Times New Roman"/>
          <w:szCs w:val="20"/>
        </w:rPr>
        <w:t>All deaths will be reported as SAE’s irrespective of the cause of death and reported to the NCTU. All deaths will be reported to the trial oversight committee.</w:t>
      </w:r>
    </w:p>
    <w:p w14:paraId="4AED3856" w14:textId="77777777" w:rsidR="002F4B81" w:rsidRPr="002F4B81" w:rsidRDefault="002F4B81" w:rsidP="002F4B81">
      <w:pPr>
        <w:spacing w:after="0" w:line="240" w:lineRule="auto"/>
        <w:rPr>
          <w:rFonts w:ascii="Calibri" w:eastAsia="Times New Roman" w:hAnsi="Calibri" w:cs="Times New Roman"/>
          <w:szCs w:val="20"/>
        </w:rPr>
      </w:pPr>
    </w:p>
    <w:p w14:paraId="09970BB8" w14:textId="77777777" w:rsidR="002F4B81" w:rsidRPr="002F4B81" w:rsidRDefault="002F4B81" w:rsidP="002F4B81">
      <w:pPr>
        <w:spacing w:after="0" w:line="240" w:lineRule="auto"/>
        <w:ind w:right="-154"/>
        <w:rPr>
          <w:rFonts w:ascii="Calibri" w:eastAsia="Times New Roman" w:hAnsi="Calibri" w:cs="Times New Roman"/>
          <w:szCs w:val="20"/>
        </w:rPr>
      </w:pPr>
    </w:p>
    <w:p w14:paraId="02A94878" w14:textId="77777777" w:rsidR="002F4B81" w:rsidRPr="002F4B81" w:rsidRDefault="002F4B81" w:rsidP="002F4B81">
      <w:pPr>
        <w:keepNext/>
        <w:tabs>
          <w:tab w:val="num" w:pos="567"/>
        </w:tabs>
        <w:spacing w:after="0" w:line="360" w:lineRule="auto"/>
        <w:ind w:left="567" w:right="-154" w:hanging="567"/>
        <w:outlineLvl w:val="0"/>
        <w:rPr>
          <w:rFonts w:ascii="Calibri" w:eastAsia="Times New Roman" w:hAnsi="Calibri" w:cs="Times New Roman"/>
          <w:b/>
          <w:caps/>
          <w:sz w:val="36"/>
          <w:szCs w:val="20"/>
        </w:rPr>
      </w:pPr>
      <w:bookmarkStart w:id="72" w:name="_Toc7082732"/>
      <w:bookmarkStart w:id="73" w:name="_Toc83029354"/>
      <w:r w:rsidRPr="002F4B81">
        <w:rPr>
          <w:rFonts w:ascii="Calibri" w:eastAsia="Times New Roman" w:hAnsi="Calibri" w:cs="Times New Roman"/>
          <w:b/>
          <w:caps/>
          <w:sz w:val="36"/>
          <w:szCs w:val="20"/>
        </w:rPr>
        <w:t>Trial Assessments and visit details</w:t>
      </w:r>
      <w:bookmarkEnd w:id="72"/>
      <w:bookmarkEnd w:id="73"/>
    </w:p>
    <w:p w14:paraId="334DE708" w14:textId="77777777" w:rsidR="002F4B81" w:rsidRPr="002F4B81" w:rsidRDefault="002F4B81" w:rsidP="002F4B81">
      <w:pPr>
        <w:spacing w:before="120" w:after="0" w:line="240" w:lineRule="auto"/>
        <w:jc w:val="both"/>
        <w:rPr>
          <w:rFonts w:ascii="Calibri" w:eastAsia="Times New Roman" w:hAnsi="Calibri" w:cs="Times New Roman"/>
          <w:szCs w:val="20"/>
        </w:rPr>
      </w:pPr>
      <w:r w:rsidRPr="002F4B81">
        <w:rPr>
          <w:rFonts w:ascii="Calibri" w:eastAsia="Times New Roman" w:hAnsi="Calibri" w:cs="Times New Roman"/>
          <w:szCs w:val="20"/>
        </w:rPr>
        <w:t>The schedule of events in trial are shown in Table 1 below (section 7.2) and further detail can be found in the SETS aHUS protocol and Appendix 1 in the SAP.</w:t>
      </w:r>
      <w:bookmarkStart w:id="74" w:name="_Toc499302677"/>
    </w:p>
    <w:p w14:paraId="4EA4E3AB" w14:textId="77777777" w:rsidR="002F4B81" w:rsidRPr="002F4B81" w:rsidRDefault="002F4B81" w:rsidP="002F4B81">
      <w:pPr>
        <w:spacing w:before="120" w:after="0" w:line="240" w:lineRule="auto"/>
        <w:jc w:val="both"/>
        <w:rPr>
          <w:rFonts w:ascii="Calibri" w:eastAsia="Times New Roman" w:hAnsi="Calibri" w:cs="Times New Roman"/>
          <w:szCs w:val="20"/>
        </w:rPr>
      </w:pPr>
    </w:p>
    <w:p w14:paraId="26BEE5B9" w14:textId="77777777" w:rsidR="002F4B81" w:rsidRPr="002F4B81" w:rsidRDefault="002F4B81" w:rsidP="002F4B81">
      <w:pPr>
        <w:keepNext/>
        <w:numPr>
          <w:ilvl w:val="1"/>
          <w:numId w:val="0"/>
        </w:numPr>
        <w:tabs>
          <w:tab w:val="num" w:pos="-153"/>
        </w:tabs>
        <w:spacing w:after="0" w:line="240" w:lineRule="auto"/>
        <w:ind w:hanging="567"/>
        <w:outlineLvl w:val="1"/>
        <w:rPr>
          <w:rFonts w:ascii="Calibri" w:eastAsia="Times New Roman" w:hAnsi="Calibri" w:cs="Times New Roman"/>
          <w:b/>
          <w:sz w:val="26"/>
          <w:szCs w:val="20"/>
        </w:rPr>
      </w:pPr>
      <w:bookmarkStart w:id="75" w:name="_Toc7082733"/>
      <w:bookmarkStart w:id="76" w:name="_Toc83029355"/>
      <w:r w:rsidRPr="002F4B81">
        <w:rPr>
          <w:rFonts w:ascii="Calibri" w:eastAsia="Times New Roman" w:hAnsi="Calibri" w:cs="TimesNewRomanPSMT"/>
          <w:b/>
          <w:sz w:val="26"/>
          <w:szCs w:val="20"/>
        </w:rPr>
        <w:t>Clinical Assessments</w:t>
      </w:r>
      <w:bookmarkEnd w:id="75"/>
      <w:bookmarkEnd w:id="76"/>
    </w:p>
    <w:p w14:paraId="047FB271"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szCs w:val="20"/>
        </w:rPr>
      </w:pPr>
      <w:r w:rsidRPr="002F4B81">
        <w:rPr>
          <w:rFonts w:ascii="Calibri" w:eastAsia="Times New Roman" w:hAnsi="Calibri" w:cs="TimesNewRomanPSMT"/>
          <w:szCs w:val="20"/>
        </w:rPr>
        <w:t xml:space="preserve">Patients will be assessed regularly for evidence of disease relapse for the </w:t>
      </w:r>
      <w:proofErr w:type="gramStart"/>
      <w:r w:rsidRPr="002F4B81">
        <w:rPr>
          <w:rFonts w:ascii="Calibri" w:eastAsia="Times New Roman" w:hAnsi="Calibri" w:cs="TimesNewRomanPSMT"/>
          <w:szCs w:val="20"/>
        </w:rPr>
        <w:t>2 year</w:t>
      </w:r>
      <w:proofErr w:type="gramEnd"/>
      <w:r w:rsidRPr="002F4B81">
        <w:rPr>
          <w:rFonts w:ascii="Calibri" w:eastAsia="Times New Roman" w:hAnsi="Calibri" w:cs="TimesNewRomanPSMT"/>
          <w:szCs w:val="20"/>
        </w:rPr>
        <w:t xml:space="preserve"> duration of the study. The patients will attend a total of 34 visits over the </w:t>
      </w:r>
      <w:proofErr w:type="gramStart"/>
      <w:r w:rsidRPr="002F4B81">
        <w:rPr>
          <w:rFonts w:ascii="Calibri" w:eastAsia="Times New Roman" w:hAnsi="Calibri" w:cs="TimesNewRomanPSMT"/>
          <w:szCs w:val="20"/>
        </w:rPr>
        <w:t>2 year</w:t>
      </w:r>
      <w:proofErr w:type="gramEnd"/>
      <w:r w:rsidRPr="002F4B81">
        <w:rPr>
          <w:rFonts w:ascii="Calibri" w:eastAsia="Times New Roman" w:hAnsi="Calibri" w:cs="TimesNewRomanPSMT"/>
          <w:szCs w:val="20"/>
        </w:rPr>
        <w:t xml:space="preserve"> withdrawal follow-up period. Please see schedule of events (Section 7.2). </w:t>
      </w:r>
    </w:p>
    <w:p w14:paraId="31ED506D" w14:textId="77777777" w:rsidR="002F4B81" w:rsidRPr="002F4B81" w:rsidRDefault="002F4B81" w:rsidP="002F4B81">
      <w:pPr>
        <w:autoSpaceDE w:val="0"/>
        <w:autoSpaceDN w:val="0"/>
        <w:adjustRightInd w:val="0"/>
        <w:spacing w:after="0" w:line="240" w:lineRule="auto"/>
        <w:ind w:left="1701"/>
        <w:rPr>
          <w:rFonts w:ascii="Calibri" w:eastAsia="Times New Roman" w:hAnsi="Calibri" w:cs="TimesNewRomanPSMT"/>
          <w:szCs w:val="20"/>
        </w:rPr>
      </w:pPr>
    </w:p>
    <w:p w14:paraId="783321FD"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szCs w:val="20"/>
        </w:rPr>
      </w:pPr>
      <w:r w:rsidRPr="002F4B81">
        <w:rPr>
          <w:rFonts w:ascii="Calibri" w:eastAsia="Times New Roman" w:hAnsi="Calibri" w:cs="TimesNewRomanPSMT"/>
          <w:szCs w:val="20"/>
        </w:rPr>
        <w:t xml:space="preserve">Study participants will be reviewed at the study site weekly (+/- 2 days) for the first month then alternate weeks (+/-2 days) until month 6, then monthly (+/- 7 days) thereafter until the end of the study period (month 24). </w:t>
      </w:r>
    </w:p>
    <w:p w14:paraId="5CABD02F"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At each study visit, patients will undergo the following assessments:</w:t>
      </w:r>
    </w:p>
    <w:p w14:paraId="465E7CDB" w14:textId="77777777" w:rsidR="002F4B81" w:rsidRPr="002F4B81" w:rsidRDefault="002F4B81" w:rsidP="002F4B81">
      <w:pPr>
        <w:autoSpaceDE w:val="0"/>
        <w:autoSpaceDN w:val="0"/>
        <w:adjustRightInd w:val="0"/>
        <w:spacing w:after="0" w:line="240" w:lineRule="auto"/>
        <w:ind w:left="2160"/>
        <w:rPr>
          <w:rFonts w:ascii="Calibri" w:eastAsia="Times New Roman" w:hAnsi="Calibri" w:cs="TimesNewRomanPSMT"/>
          <w:szCs w:val="20"/>
        </w:rPr>
      </w:pPr>
    </w:p>
    <w:p w14:paraId="31E8B8F9"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 xml:space="preserve">Vital signs (temperature, </w:t>
      </w:r>
      <w:proofErr w:type="gramStart"/>
      <w:r w:rsidRPr="002F4B81">
        <w:rPr>
          <w:rFonts w:ascii="Calibri" w:eastAsia="Calibri" w:hAnsi="Calibri" w:cs="TimesNewRomanPSMT"/>
        </w:rPr>
        <w:t>pulse</w:t>
      </w:r>
      <w:proofErr w:type="gramEnd"/>
      <w:r w:rsidRPr="002F4B81">
        <w:rPr>
          <w:rFonts w:ascii="Calibri" w:eastAsia="Calibri" w:hAnsi="Calibri" w:cs="TimesNewRomanPSMT"/>
        </w:rPr>
        <w:t xml:space="preserve"> and blood pressure)</w:t>
      </w:r>
    </w:p>
    <w:p w14:paraId="480CF303"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Renal function (creatinine and estimated GFR)</w:t>
      </w:r>
    </w:p>
    <w:p w14:paraId="33D389AA"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Urinalysis and urine protein/creatinine</w:t>
      </w:r>
    </w:p>
    <w:p w14:paraId="555514D9"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 xml:space="preserve">Haemolysis markers including platelet count, haemoglobin and </w:t>
      </w:r>
      <w:proofErr w:type="gramStart"/>
      <w:r w:rsidRPr="002F4B81">
        <w:rPr>
          <w:rFonts w:ascii="Calibri" w:eastAsia="Calibri" w:hAnsi="Calibri" w:cs="TimesNewRomanPSMT"/>
        </w:rPr>
        <w:t>LDH</w:t>
      </w:r>
      <w:proofErr w:type="gramEnd"/>
    </w:p>
    <w:p w14:paraId="3C0DBDB9"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Electrolyte Profile (U&amp;Es)</w:t>
      </w:r>
    </w:p>
    <w:p w14:paraId="76342377"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 xml:space="preserve">Liver function (Bilirubin, ALT/AST, ALP, albumin, total protein, serum calcium &amp; phosphate)) </w:t>
      </w:r>
    </w:p>
    <w:p w14:paraId="49419473"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Concomitant medication review</w:t>
      </w:r>
    </w:p>
    <w:p w14:paraId="73E8E24E"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Urinalysis diary review</w:t>
      </w:r>
    </w:p>
    <w:p w14:paraId="483EC511"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Adverse Events</w:t>
      </w:r>
    </w:p>
    <w:p w14:paraId="2B1B0B66"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p>
    <w:p w14:paraId="479102F3"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Paediatric participants must have their weight recorded at every visit for calculation of estimated GFR.</w:t>
      </w:r>
    </w:p>
    <w:p w14:paraId="212AF547"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p>
    <w:p w14:paraId="081065D6"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 xml:space="preserve">Participants will provide the following at visits </w:t>
      </w:r>
      <w:r w:rsidRPr="002F4B81">
        <w:rPr>
          <w:rFonts w:ascii="Calibri" w:eastAsia="Times New Roman" w:hAnsi="Calibri" w:cs="Times New Roman"/>
          <w:szCs w:val="20"/>
        </w:rPr>
        <w:t>2, 3, 4, 6, 8, 10, 16, 19, 22, 28, and 34:</w:t>
      </w:r>
    </w:p>
    <w:p w14:paraId="781F6954" w14:textId="77777777" w:rsidR="002F4B81" w:rsidRPr="002F4B81" w:rsidRDefault="002F4B81" w:rsidP="002F4B81">
      <w:pPr>
        <w:numPr>
          <w:ilvl w:val="0"/>
          <w:numId w:val="42"/>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 xml:space="preserve">Biomarkers and complement activation </w:t>
      </w:r>
      <w:proofErr w:type="gramStart"/>
      <w:r w:rsidRPr="002F4B81">
        <w:rPr>
          <w:rFonts w:ascii="Calibri" w:eastAsia="Calibri" w:hAnsi="Calibri" w:cs="TimesNewRomanPSMT"/>
        </w:rPr>
        <w:t>samples</w:t>
      </w:r>
      <w:proofErr w:type="gramEnd"/>
    </w:p>
    <w:p w14:paraId="6818AA42" w14:textId="77777777" w:rsidR="002F4B81" w:rsidRPr="002F4B81" w:rsidRDefault="002F4B81" w:rsidP="002F4B81">
      <w:pPr>
        <w:autoSpaceDE w:val="0"/>
        <w:autoSpaceDN w:val="0"/>
        <w:adjustRightInd w:val="0"/>
        <w:spacing w:after="0" w:line="240" w:lineRule="auto"/>
        <w:ind w:left="2160"/>
        <w:rPr>
          <w:rFonts w:ascii="Calibri" w:eastAsia="Times New Roman" w:hAnsi="Calibri" w:cs="TimesNewRomanPSMT"/>
          <w:szCs w:val="20"/>
        </w:rPr>
      </w:pPr>
    </w:p>
    <w:p w14:paraId="154891CD"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 xml:space="preserve">Participants will undergo the following assessments at study visits 2, 6, 10, 16, 22, 28 and 34: </w:t>
      </w:r>
    </w:p>
    <w:p w14:paraId="1C0E2790" w14:textId="77777777" w:rsidR="002F4B81" w:rsidRPr="002F4B81" w:rsidRDefault="002F4B81" w:rsidP="002F4B81">
      <w:pPr>
        <w:numPr>
          <w:ilvl w:val="0"/>
          <w:numId w:val="42"/>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haptoglobin and blood film</w:t>
      </w:r>
    </w:p>
    <w:p w14:paraId="66107ABB" w14:textId="77777777" w:rsidR="002F4B81" w:rsidRPr="002F4B81" w:rsidRDefault="002F4B81" w:rsidP="002F4B81">
      <w:pPr>
        <w:numPr>
          <w:ilvl w:val="0"/>
          <w:numId w:val="42"/>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Urine PCR</w:t>
      </w:r>
    </w:p>
    <w:p w14:paraId="21413359" w14:textId="77777777" w:rsidR="002F4B81" w:rsidRPr="002F4B81" w:rsidRDefault="002F4B81" w:rsidP="002F4B81">
      <w:pPr>
        <w:autoSpaceDE w:val="0"/>
        <w:autoSpaceDN w:val="0"/>
        <w:adjustRightInd w:val="0"/>
        <w:spacing w:after="0" w:line="240" w:lineRule="auto"/>
        <w:ind w:left="2160"/>
        <w:rPr>
          <w:rFonts w:ascii="Calibri" w:eastAsia="Times New Roman" w:hAnsi="Calibri" w:cs="TimesNewRomanPSMT"/>
          <w:szCs w:val="20"/>
        </w:rPr>
      </w:pPr>
    </w:p>
    <w:p w14:paraId="5D5BA7E2"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p>
    <w:p w14:paraId="20447F0A"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 xml:space="preserve">Participants will undergo the following assessments at study visits 22 and </w:t>
      </w:r>
    </w:p>
    <w:p w14:paraId="7ECA78B9"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34:</w:t>
      </w:r>
    </w:p>
    <w:p w14:paraId="38864619" w14:textId="77777777" w:rsidR="002F4B81" w:rsidRPr="002F4B81" w:rsidRDefault="002F4B81" w:rsidP="002F4B81">
      <w:pPr>
        <w:numPr>
          <w:ilvl w:val="0"/>
          <w:numId w:val="46"/>
        </w:num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Physical Examination</w:t>
      </w:r>
    </w:p>
    <w:p w14:paraId="123BEE59"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p>
    <w:p w14:paraId="203387D4"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 xml:space="preserve">Following each patients visit the test results and assessment data collected should be entered into the MACRO database in a timely manner and before the </w:t>
      </w:r>
      <w:proofErr w:type="gramStart"/>
      <w:r w:rsidRPr="002F4B81">
        <w:rPr>
          <w:rFonts w:ascii="Calibri" w:eastAsia="Times New Roman" w:hAnsi="Calibri" w:cs="TimesNewRomanPSMT"/>
          <w:szCs w:val="20"/>
        </w:rPr>
        <w:t>patients</w:t>
      </w:r>
      <w:proofErr w:type="gramEnd"/>
      <w:r w:rsidRPr="002F4B81">
        <w:rPr>
          <w:rFonts w:ascii="Calibri" w:eastAsia="Times New Roman" w:hAnsi="Calibri" w:cs="TimesNewRomanPSMT"/>
          <w:szCs w:val="20"/>
        </w:rPr>
        <w:t xml:space="preserve"> next scheduled visit.</w:t>
      </w:r>
    </w:p>
    <w:bookmarkEnd w:id="74"/>
    <w:p w14:paraId="73EE8C08" w14:textId="77777777" w:rsidR="002F4B81" w:rsidRPr="002F4B81" w:rsidRDefault="002F4B81" w:rsidP="002F4B81">
      <w:pPr>
        <w:spacing w:after="0" w:line="240" w:lineRule="auto"/>
        <w:rPr>
          <w:rFonts w:ascii="Calibri" w:eastAsia="Times New Roman" w:hAnsi="Calibri" w:cs="Times New Roman"/>
          <w:szCs w:val="20"/>
        </w:rPr>
      </w:pPr>
    </w:p>
    <w:p w14:paraId="217EFBB4" w14:textId="77777777" w:rsidR="002F4B81" w:rsidRPr="002F4B81" w:rsidRDefault="002F4B81" w:rsidP="002F4B81">
      <w:pPr>
        <w:spacing w:after="0" w:line="240" w:lineRule="auto"/>
        <w:rPr>
          <w:rFonts w:ascii="Calibri" w:eastAsia="Times New Roman" w:hAnsi="Calibri" w:cs="Times New Roman"/>
          <w:szCs w:val="20"/>
        </w:rPr>
        <w:sectPr w:rsidR="002F4B81" w:rsidRPr="002F4B81">
          <w:headerReference w:type="default" r:id="rId15"/>
          <w:footerReference w:type="default" r:id="rId16"/>
          <w:pgSz w:w="11906" w:h="16838"/>
          <w:pgMar w:top="1440" w:right="1800" w:bottom="1440" w:left="1800" w:header="708" w:footer="708" w:gutter="0"/>
          <w:cols w:space="708"/>
          <w:docGrid w:linePitch="360"/>
        </w:sectPr>
      </w:pPr>
      <w:r w:rsidRPr="002F4B81">
        <w:rPr>
          <w:rFonts w:ascii="Calibri" w:eastAsia="Times New Roman" w:hAnsi="Calibri" w:cs="Times New Roman"/>
          <w:szCs w:val="20"/>
        </w:rPr>
        <w:t>Should any data be entered for visits outside the above visit windows, the date of the actual visit relative to baseline date will be used to assign the data to the correct visit (in terms of time from baseline) where possible if data does not already exist for the potential correct visit. Any data collected outside the timeframe for study follow-up for the patient will not be used.</w:t>
      </w:r>
    </w:p>
    <w:p w14:paraId="1F8AF857" w14:textId="77777777" w:rsidR="002F4B81" w:rsidRPr="002F4B81" w:rsidRDefault="002F4B81" w:rsidP="002F4B81">
      <w:pPr>
        <w:keepNext/>
        <w:numPr>
          <w:ilvl w:val="1"/>
          <w:numId w:val="0"/>
        </w:numPr>
        <w:tabs>
          <w:tab w:val="num" w:pos="-153"/>
        </w:tabs>
        <w:spacing w:after="0" w:line="240" w:lineRule="auto"/>
        <w:ind w:hanging="567"/>
        <w:outlineLvl w:val="1"/>
        <w:rPr>
          <w:rFonts w:ascii="Calibri" w:eastAsia="Times New Roman" w:hAnsi="Calibri" w:cs="Times New Roman"/>
          <w:b/>
          <w:sz w:val="26"/>
          <w:szCs w:val="26"/>
        </w:rPr>
      </w:pPr>
      <w:bookmarkStart w:id="77" w:name="_Toc499302682"/>
      <w:bookmarkStart w:id="78" w:name="_Toc7082734"/>
      <w:bookmarkStart w:id="79" w:name="_Toc83029356"/>
      <w:r w:rsidRPr="002F4B81">
        <w:rPr>
          <w:rFonts w:ascii="Calibri" w:eastAsia="Times New Roman" w:hAnsi="Calibri" w:cs="Times New Roman"/>
          <w:b/>
          <w:sz w:val="26"/>
          <w:szCs w:val="26"/>
        </w:rPr>
        <w:lastRenderedPageBreak/>
        <w:t>Table 1 Schedule of Events</w:t>
      </w:r>
      <w:bookmarkEnd w:id="77"/>
      <w:bookmarkEnd w:id="78"/>
      <w:r w:rsidRPr="002F4B81">
        <w:rPr>
          <w:rFonts w:ascii="Calibri" w:eastAsia="Times New Roman" w:hAnsi="Calibri" w:cs="Times New Roman"/>
          <w:b/>
          <w:sz w:val="26"/>
          <w:szCs w:val="26"/>
        </w:rPr>
        <w:t xml:space="preserve"> day -42 to 672</w:t>
      </w:r>
      <w:bookmarkEnd w:id="79"/>
    </w:p>
    <w:p w14:paraId="3165F42D" w14:textId="5BB48BFD" w:rsidR="002F4B81" w:rsidRPr="002F4B81" w:rsidRDefault="002F4B81" w:rsidP="002F4B81">
      <w:pPr>
        <w:spacing w:after="0" w:line="240" w:lineRule="auto"/>
        <w:rPr>
          <w:rFonts w:ascii="Tahoma" w:eastAsia="Times New Roman" w:hAnsi="Tahoma" w:cs="Times New Roman"/>
          <w:szCs w:val="20"/>
        </w:rPr>
      </w:pPr>
      <w:r w:rsidRPr="002F4B81">
        <w:rPr>
          <w:rFonts w:ascii="Tahoma" w:eastAsia="Times New Roman" w:hAnsi="Tahoma" w:cs="Times New Roman"/>
          <w:noProof/>
          <w:szCs w:val="20"/>
          <w:lang w:eastAsia="en-GB"/>
        </w:rPr>
        <w:drawing>
          <wp:anchor distT="0" distB="0" distL="114300" distR="114300" simplePos="0" relativeHeight="251663360" behindDoc="1" locked="0" layoutInCell="1" allowOverlap="1" wp14:anchorId="1B1D20C5" wp14:editId="06573C64">
            <wp:simplePos x="0" y="0"/>
            <wp:positionH relativeFrom="column">
              <wp:posOffset>-200025</wp:posOffset>
            </wp:positionH>
            <wp:positionV relativeFrom="paragraph">
              <wp:posOffset>285750</wp:posOffset>
            </wp:positionV>
            <wp:extent cx="5274310" cy="2969260"/>
            <wp:effectExtent l="0" t="0" r="2540" b="2540"/>
            <wp:wrapTight wrapText="bothSides">
              <wp:wrapPolygon edited="0">
                <wp:start x="1794" y="0"/>
                <wp:lineTo x="0" y="2079"/>
                <wp:lineTo x="0" y="21480"/>
                <wp:lineTo x="20206" y="21480"/>
                <wp:lineTo x="20908" y="20926"/>
                <wp:lineTo x="20206" y="19956"/>
                <wp:lineTo x="21532" y="19817"/>
                <wp:lineTo x="21532" y="15937"/>
                <wp:lineTo x="20206" y="15521"/>
                <wp:lineTo x="21532" y="14828"/>
                <wp:lineTo x="21532" y="13304"/>
                <wp:lineTo x="20206" y="13304"/>
                <wp:lineTo x="21532" y="12749"/>
                <wp:lineTo x="21532" y="11641"/>
                <wp:lineTo x="20206" y="11086"/>
                <wp:lineTo x="21298" y="11086"/>
                <wp:lineTo x="21532" y="10671"/>
                <wp:lineTo x="21532" y="7622"/>
                <wp:lineTo x="21376" y="7345"/>
                <wp:lineTo x="20206" y="6652"/>
                <wp:lineTo x="21532" y="6652"/>
                <wp:lineTo x="21532" y="4989"/>
                <wp:lineTo x="20206" y="4435"/>
                <wp:lineTo x="21064" y="4435"/>
                <wp:lineTo x="21532" y="3603"/>
                <wp:lineTo x="21532" y="2079"/>
                <wp:lineTo x="20128" y="0"/>
                <wp:lineTo x="1794"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2969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5542A2" w14:textId="621F47C6" w:rsidR="002F4B81" w:rsidRPr="002F4B81" w:rsidRDefault="002F4B81" w:rsidP="002F4B81">
      <w:pPr>
        <w:spacing w:after="0" w:line="240" w:lineRule="auto"/>
        <w:rPr>
          <w:rFonts w:ascii="Tahoma" w:eastAsia="Times New Roman" w:hAnsi="Tahoma" w:cs="Times New Roman"/>
          <w:szCs w:val="20"/>
        </w:rPr>
      </w:pPr>
      <w:r w:rsidRPr="002F4B81">
        <w:rPr>
          <w:rFonts w:ascii="Tahoma" w:eastAsia="Times New Roman" w:hAnsi="Tahoma" w:cs="Times New Roman"/>
          <w:noProof/>
          <w:szCs w:val="20"/>
          <w:lang w:eastAsia="en-GB"/>
        </w:rPr>
        <w:drawing>
          <wp:anchor distT="0" distB="0" distL="114300" distR="114300" simplePos="0" relativeHeight="251664384" behindDoc="1" locked="0" layoutInCell="1" allowOverlap="1" wp14:anchorId="477EE58E" wp14:editId="36291BE1">
            <wp:simplePos x="0" y="0"/>
            <wp:positionH relativeFrom="margin">
              <wp:posOffset>1905</wp:posOffset>
            </wp:positionH>
            <wp:positionV relativeFrom="paragraph">
              <wp:posOffset>-6350</wp:posOffset>
            </wp:positionV>
            <wp:extent cx="5274310" cy="3126105"/>
            <wp:effectExtent l="0" t="0" r="254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3126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EA03FC" w14:textId="77777777" w:rsidR="002F4B81" w:rsidRPr="002F4B81" w:rsidRDefault="002F4B81" w:rsidP="002F4B81">
      <w:pPr>
        <w:spacing w:after="0" w:line="240" w:lineRule="auto"/>
        <w:rPr>
          <w:rFonts w:ascii="Tahoma" w:eastAsia="Times New Roman" w:hAnsi="Tahoma" w:cs="Times New Roman"/>
          <w:szCs w:val="20"/>
        </w:rPr>
      </w:pPr>
    </w:p>
    <w:p w14:paraId="50A7D128" w14:textId="77777777" w:rsidR="002F4B81" w:rsidRPr="002F4B81" w:rsidRDefault="002F4B81" w:rsidP="002F4B81">
      <w:pPr>
        <w:spacing w:after="0" w:line="240" w:lineRule="auto"/>
        <w:rPr>
          <w:rFonts w:ascii="Tahoma" w:eastAsia="Times New Roman" w:hAnsi="Tahoma" w:cs="Times New Roman"/>
          <w:szCs w:val="20"/>
        </w:rPr>
      </w:pPr>
    </w:p>
    <w:p w14:paraId="510FDA0D" w14:textId="77777777" w:rsidR="002F4B81" w:rsidRPr="002F4B81" w:rsidRDefault="002F4B81" w:rsidP="002F4B81">
      <w:pPr>
        <w:spacing w:after="0" w:line="240" w:lineRule="auto"/>
        <w:rPr>
          <w:rFonts w:ascii="Tahoma" w:eastAsia="Times New Roman" w:hAnsi="Tahoma" w:cs="Times New Roman"/>
          <w:szCs w:val="20"/>
        </w:rPr>
      </w:pPr>
    </w:p>
    <w:p w14:paraId="682CFB7D" w14:textId="77777777" w:rsidR="002F4B81" w:rsidRPr="002F4B81" w:rsidRDefault="002F4B81" w:rsidP="002F4B81">
      <w:pPr>
        <w:spacing w:after="0" w:line="240" w:lineRule="auto"/>
        <w:rPr>
          <w:rFonts w:ascii="Tahoma" w:eastAsia="Times New Roman" w:hAnsi="Tahoma" w:cs="Times New Roman"/>
          <w:noProof/>
          <w:szCs w:val="20"/>
          <w:lang w:eastAsia="en-GB"/>
        </w:rPr>
      </w:pPr>
    </w:p>
    <w:p w14:paraId="20B8D14A" w14:textId="77777777" w:rsidR="002F4B81" w:rsidRPr="002F4B81" w:rsidRDefault="002F4B81" w:rsidP="002F4B81">
      <w:pPr>
        <w:spacing w:after="0" w:line="240" w:lineRule="auto"/>
        <w:rPr>
          <w:rFonts w:ascii="Tahoma" w:eastAsia="Times New Roman" w:hAnsi="Tahoma" w:cs="Times New Roman"/>
          <w:szCs w:val="20"/>
        </w:rPr>
      </w:pPr>
    </w:p>
    <w:p w14:paraId="6D41C66B" w14:textId="77777777" w:rsidR="002F4B81" w:rsidRPr="002F4B81" w:rsidRDefault="002F4B81" w:rsidP="002F4B81">
      <w:pPr>
        <w:spacing w:after="0" w:line="240" w:lineRule="auto"/>
        <w:rPr>
          <w:rFonts w:ascii="Tahoma" w:eastAsia="Times New Roman" w:hAnsi="Tahoma" w:cs="Times New Roman"/>
          <w:szCs w:val="20"/>
        </w:rPr>
      </w:pPr>
    </w:p>
    <w:p w14:paraId="0F65DC1A" w14:textId="77777777" w:rsidR="002F4B81" w:rsidRPr="002F4B81" w:rsidRDefault="002F4B81" w:rsidP="002F4B81">
      <w:pPr>
        <w:spacing w:after="0" w:line="240" w:lineRule="auto"/>
        <w:rPr>
          <w:rFonts w:ascii="Tahoma" w:eastAsia="Times New Roman" w:hAnsi="Tahoma" w:cs="Times New Roman"/>
          <w:szCs w:val="20"/>
        </w:rPr>
      </w:pPr>
    </w:p>
    <w:p w14:paraId="51B99435" w14:textId="77777777" w:rsidR="002F4B81" w:rsidRPr="002F4B81" w:rsidRDefault="002F4B81" w:rsidP="002F4B81">
      <w:pPr>
        <w:spacing w:after="0" w:line="240" w:lineRule="auto"/>
        <w:rPr>
          <w:rFonts w:ascii="Tahoma" w:eastAsia="Times New Roman" w:hAnsi="Tahoma" w:cs="Times New Roman"/>
          <w:szCs w:val="20"/>
        </w:rPr>
      </w:pPr>
    </w:p>
    <w:p w14:paraId="57778906" w14:textId="77777777" w:rsidR="002F4B81" w:rsidRPr="002F4B81" w:rsidRDefault="002F4B81" w:rsidP="002F4B81">
      <w:pPr>
        <w:spacing w:after="0" w:line="240" w:lineRule="auto"/>
        <w:rPr>
          <w:rFonts w:ascii="Tahoma" w:eastAsia="Times New Roman" w:hAnsi="Tahoma" w:cs="Times New Roman"/>
          <w:szCs w:val="20"/>
        </w:rPr>
      </w:pPr>
    </w:p>
    <w:p w14:paraId="1FD087DE" w14:textId="77777777" w:rsidR="002F4B81" w:rsidRPr="002F4B81" w:rsidRDefault="002F4B81" w:rsidP="002F4B81">
      <w:pPr>
        <w:spacing w:after="0" w:line="240" w:lineRule="auto"/>
        <w:rPr>
          <w:rFonts w:ascii="Tahoma" w:eastAsia="Times New Roman" w:hAnsi="Tahoma" w:cs="Times New Roman"/>
          <w:szCs w:val="20"/>
        </w:rPr>
      </w:pPr>
    </w:p>
    <w:p w14:paraId="1DF91D94" w14:textId="77777777" w:rsidR="002F4B81" w:rsidRPr="002F4B81" w:rsidRDefault="002F4B81" w:rsidP="002F4B81">
      <w:pPr>
        <w:spacing w:after="0" w:line="240" w:lineRule="auto"/>
        <w:rPr>
          <w:rFonts w:ascii="Tahoma" w:eastAsia="Times New Roman" w:hAnsi="Tahoma" w:cs="Times New Roman"/>
          <w:szCs w:val="20"/>
        </w:rPr>
      </w:pPr>
    </w:p>
    <w:p w14:paraId="78F066A4" w14:textId="77777777" w:rsidR="002F4B81" w:rsidRPr="002F4B81" w:rsidRDefault="002F4B81" w:rsidP="002F4B81">
      <w:pPr>
        <w:spacing w:after="0" w:line="240" w:lineRule="auto"/>
        <w:rPr>
          <w:rFonts w:ascii="Tahoma" w:eastAsia="Times New Roman" w:hAnsi="Tahoma" w:cs="Times New Roman"/>
          <w:szCs w:val="20"/>
        </w:rPr>
      </w:pPr>
    </w:p>
    <w:p w14:paraId="399EA467" w14:textId="77777777" w:rsidR="002F4B81" w:rsidRPr="002F4B81" w:rsidRDefault="002F4B81" w:rsidP="002F4B81">
      <w:pPr>
        <w:spacing w:after="0" w:line="240" w:lineRule="auto"/>
        <w:rPr>
          <w:rFonts w:ascii="Tahoma" w:eastAsia="Times New Roman" w:hAnsi="Tahoma" w:cs="Times New Roman"/>
          <w:szCs w:val="20"/>
        </w:rPr>
      </w:pPr>
    </w:p>
    <w:p w14:paraId="1615E2F4" w14:textId="77777777" w:rsidR="002F4B81" w:rsidRPr="002F4B81" w:rsidRDefault="002F4B81" w:rsidP="002F4B81">
      <w:pPr>
        <w:spacing w:after="0" w:line="240" w:lineRule="auto"/>
        <w:rPr>
          <w:rFonts w:ascii="Tahoma" w:eastAsia="Times New Roman" w:hAnsi="Tahoma" w:cs="Times New Roman"/>
          <w:szCs w:val="20"/>
        </w:rPr>
      </w:pPr>
    </w:p>
    <w:p w14:paraId="60B074D1" w14:textId="77777777" w:rsidR="002F4B81" w:rsidRPr="002F4B81" w:rsidRDefault="002F4B81" w:rsidP="002F4B81">
      <w:pPr>
        <w:spacing w:after="0" w:line="240" w:lineRule="auto"/>
        <w:rPr>
          <w:rFonts w:ascii="Tahoma" w:eastAsia="Times New Roman" w:hAnsi="Tahoma" w:cs="Times New Roman"/>
          <w:szCs w:val="20"/>
        </w:rPr>
      </w:pPr>
    </w:p>
    <w:p w14:paraId="6C7E6F62" w14:textId="77777777" w:rsidR="002F4B81" w:rsidRPr="002F4B81" w:rsidRDefault="002F4B81" w:rsidP="002F4B81">
      <w:pPr>
        <w:spacing w:after="0" w:line="240" w:lineRule="auto"/>
        <w:rPr>
          <w:rFonts w:ascii="Tahoma" w:eastAsia="Times New Roman" w:hAnsi="Tahoma" w:cs="Times New Roman"/>
          <w:szCs w:val="20"/>
        </w:rPr>
      </w:pPr>
    </w:p>
    <w:p w14:paraId="4983ED4D" w14:textId="77777777" w:rsidR="002F4B81" w:rsidRPr="002F4B81" w:rsidRDefault="002F4B81" w:rsidP="002F4B81">
      <w:pPr>
        <w:spacing w:after="0" w:line="240" w:lineRule="auto"/>
        <w:rPr>
          <w:rFonts w:ascii="Tahoma" w:eastAsia="Times New Roman" w:hAnsi="Tahoma" w:cs="Times New Roman"/>
          <w:szCs w:val="20"/>
        </w:rPr>
      </w:pPr>
    </w:p>
    <w:p w14:paraId="65336F9F" w14:textId="77777777" w:rsidR="002F4B81" w:rsidRPr="002F4B81" w:rsidRDefault="002F4B81" w:rsidP="002F4B81">
      <w:pPr>
        <w:spacing w:after="0" w:line="240" w:lineRule="auto"/>
        <w:rPr>
          <w:rFonts w:ascii="Tahoma" w:eastAsia="Times New Roman" w:hAnsi="Tahoma" w:cs="Times New Roman"/>
          <w:szCs w:val="20"/>
        </w:rPr>
      </w:pPr>
    </w:p>
    <w:p w14:paraId="014E2000" w14:textId="77777777" w:rsidR="002F4B81" w:rsidRPr="002F4B81" w:rsidRDefault="002F4B81" w:rsidP="002F4B81">
      <w:pPr>
        <w:spacing w:after="0" w:line="240" w:lineRule="auto"/>
        <w:rPr>
          <w:rFonts w:ascii="Tahoma" w:eastAsia="Times New Roman" w:hAnsi="Tahoma" w:cs="Times New Roman"/>
          <w:szCs w:val="20"/>
        </w:rPr>
      </w:pPr>
    </w:p>
    <w:p w14:paraId="2D2E4F6E" w14:textId="77777777" w:rsidR="002F4B81" w:rsidRPr="002F4B81" w:rsidRDefault="002F4B81" w:rsidP="002F4B81">
      <w:pPr>
        <w:spacing w:after="0" w:line="240" w:lineRule="auto"/>
        <w:rPr>
          <w:rFonts w:ascii="Tahoma" w:eastAsia="Times New Roman" w:hAnsi="Tahoma" w:cs="Times New Roman"/>
          <w:szCs w:val="20"/>
        </w:rPr>
      </w:pPr>
    </w:p>
    <w:p w14:paraId="64AA07FA" w14:textId="77777777" w:rsidR="002F4B81" w:rsidRPr="002F4B81" w:rsidRDefault="002F4B81" w:rsidP="002F4B81">
      <w:pPr>
        <w:spacing w:after="0" w:line="240" w:lineRule="auto"/>
        <w:rPr>
          <w:rFonts w:ascii="Tahoma" w:eastAsia="Times New Roman" w:hAnsi="Tahoma" w:cs="Times New Roman"/>
          <w:szCs w:val="20"/>
        </w:rPr>
      </w:pPr>
    </w:p>
    <w:p w14:paraId="6A00DF11" w14:textId="77777777" w:rsidR="002F4B81" w:rsidRPr="002F4B81" w:rsidRDefault="002F4B81" w:rsidP="002F4B81">
      <w:pPr>
        <w:spacing w:after="0" w:line="240" w:lineRule="auto"/>
        <w:rPr>
          <w:rFonts w:ascii="Tahoma" w:eastAsia="Times New Roman" w:hAnsi="Tahoma" w:cs="Times New Roman"/>
          <w:szCs w:val="20"/>
        </w:rPr>
      </w:pPr>
    </w:p>
    <w:p w14:paraId="3E7A7E38" w14:textId="77777777" w:rsidR="002F4B81" w:rsidRPr="002F4B81" w:rsidRDefault="002F4B81" w:rsidP="002F4B81">
      <w:pPr>
        <w:spacing w:after="0" w:line="240" w:lineRule="auto"/>
        <w:rPr>
          <w:rFonts w:ascii="Tahoma" w:eastAsia="Times New Roman" w:hAnsi="Tahoma" w:cs="Times New Roman"/>
          <w:szCs w:val="20"/>
        </w:rPr>
      </w:pPr>
    </w:p>
    <w:p w14:paraId="7C490B86" w14:textId="77777777" w:rsidR="002F4B81" w:rsidRPr="002F4B81" w:rsidRDefault="002F4B81" w:rsidP="002F4B81">
      <w:pPr>
        <w:spacing w:after="0" w:line="240" w:lineRule="auto"/>
        <w:rPr>
          <w:rFonts w:ascii="Tahoma" w:eastAsia="Times New Roman" w:hAnsi="Tahoma" w:cs="Times New Roman"/>
          <w:szCs w:val="20"/>
        </w:rPr>
      </w:pPr>
    </w:p>
    <w:p w14:paraId="194C0413" w14:textId="77777777" w:rsidR="002F4B81" w:rsidRPr="002F4B81" w:rsidRDefault="002F4B81" w:rsidP="002F4B81">
      <w:pPr>
        <w:spacing w:after="0" w:line="240" w:lineRule="auto"/>
        <w:rPr>
          <w:rFonts w:ascii="Tahoma" w:eastAsia="Times New Roman" w:hAnsi="Tahoma" w:cs="Times New Roman"/>
          <w:szCs w:val="20"/>
        </w:rPr>
      </w:pPr>
    </w:p>
    <w:p w14:paraId="14451210" w14:textId="77777777" w:rsidR="002F4B81" w:rsidRPr="002F4B81" w:rsidRDefault="002F4B81" w:rsidP="002F4B81">
      <w:pPr>
        <w:spacing w:after="0" w:line="240" w:lineRule="auto"/>
        <w:rPr>
          <w:rFonts w:ascii="Tahoma" w:eastAsia="Times New Roman" w:hAnsi="Tahoma" w:cs="Times New Roman"/>
          <w:szCs w:val="20"/>
        </w:rPr>
      </w:pPr>
    </w:p>
    <w:p w14:paraId="38D2BC64" w14:textId="77777777" w:rsidR="002F4B81" w:rsidRPr="002F4B81" w:rsidRDefault="002F4B81" w:rsidP="002F4B81">
      <w:pPr>
        <w:spacing w:after="0" w:line="240" w:lineRule="auto"/>
        <w:rPr>
          <w:rFonts w:ascii="Tahoma" w:eastAsia="Times New Roman" w:hAnsi="Tahoma" w:cs="Times New Roman"/>
          <w:szCs w:val="20"/>
        </w:rPr>
      </w:pPr>
    </w:p>
    <w:p w14:paraId="0792143C" w14:textId="77777777" w:rsidR="002F4B81" w:rsidRPr="002F4B81" w:rsidRDefault="002F4B81" w:rsidP="002F4B81">
      <w:pPr>
        <w:spacing w:after="0" w:line="240" w:lineRule="auto"/>
        <w:rPr>
          <w:rFonts w:ascii="Tahoma" w:eastAsia="Times New Roman" w:hAnsi="Tahoma" w:cs="Times New Roman"/>
          <w:szCs w:val="20"/>
        </w:rPr>
      </w:pPr>
    </w:p>
    <w:p w14:paraId="0A1EF55A" w14:textId="77777777" w:rsidR="002F4B81" w:rsidRPr="002F4B81" w:rsidRDefault="002F4B81" w:rsidP="002F4B81">
      <w:pPr>
        <w:spacing w:after="0" w:line="240" w:lineRule="auto"/>
        <w:rPr>
          <w:rFonts w:ascii="Tahoma" w:eastAsia="Times New Roman" w:hAnsi="Tahoma" w:cs="Times New Roman"/>
          <w:szCs w:val="20"/>
        </w:rPr>
      </w:pPr>
    </w:p>
    <w:p w14:paraId="60B72FF8" w14:textId="77777777" w:rsidR="002F4B81" w:rsidRPr="002F4B81" w:rsidRDefault="002F4B81" w:rsidP="002F4B81">
      <w:pPr>
        <w:spacing w:after="0" w:line="240" w:lineRule="auto"/>
        <w:jc w:val="right"/>
        <w:rPr>
          <w:rFonts w:ascii="Tahoma" w:eastAsia="Times New Roman" w:hAnsi="Tahoma" w:cs="Times New Roman"/>
          <w:szCs w:val="20"/>
        </w:rPr>
      </w:pPr>
    </w:p>
    <w:p w14:paraId="6EB838B9" w14:textId="77777777" w:rsidR="002F4B81" w:rsidRPr="002F4B81" w:rsidRDefault="002F4B81" w:rsidP="002F4B81">
      <w:pPr>
        <w:spacing w:after="0" w:line="240" w:lineRule="auto"/>
        <w:jc w:val="right"/>
        <w:rPr>
          <w:rFonts w:ascii="Tahoma" w:eastAsia="Times New Roman" w:hAnsi="Tahoma" w:cs="Times New Roman"/>
          <w:szCs w:val="20"/>
        </w:rPr>
      </w:pPr>
    </w:p>
    <w:p w14:paraId="2C65062C" w14:textId="77777777" w:rsidR="002F4B81" w:rsidRPr="002F4B81" w:rsidRDefault="002F4B81" w:rsidP="002F4B81">
      <w:pPr>
        <w:spacing w:after="0" w:line="240" w:lineRule="auto"/>
        <w:rPr>
          <w:rFonts w:ascii="Tahoma" w:eastAsia="Times New Roman" w:hAnsi="Tahoma" w:cs="Times New Roman"/>
          <w:szCs w:val="20"/>
        </w:rPr>
      </w:pPr>
    </w:p>
    <w:p w14:paraId="3AAA8E4A" w14:textId="77777777" w:rsidR="002F4B81" w:rsidRPr="002F4B81" w:rsidRDefault="002F4B81" w:rsidP="002F4B81">
      <w:pPr>
        <w:spacing w:after="0" w:line="240" w:lineRule="auto"/>
        <w:rPr>
          <w:rFonts w:ascii="Tahoma" w:eastAsia="Times New Roman" w:hAnsi="Tahoma" w:cs="Times New Roman"/>
          <w:szCs w:val="20"/>
        </w:rPr>
        <w:sectPr w:rsidR="002F4B81" w:rsidRPr="002F4B81" w:rsidSect="00BD65D2">
          <w:footerReference w:type="default" r:id="rId19"/>
          <w:pgSz w:w="11910" w:h="16840"/>
          <w:pgMar w:top="1440" w:right="1440" w:bottom="1440" w:left="1440" w:header="0" w:footer="870" w:gutter="0"/>
          <w:cols w:space="720"/>
          <w:docGrid w:linePitch="299"/>
        </w:sectPr>
      </w:pPr>
    </w:p>
    <w:p w14:paraId="3C219196" w14:textId="77777777" w:rsidR="002F4B81" w:rsidRPr="002F4B81" w:rsidRDefault="002F4B81" w:rsidP="002F4B81">
      <w:pPr>
        <w:keepNext/>
        <w:numPr>
          <w:ilvl w:val="1"/>
          <w:numId w:val="0"/>
        </w:numPr>
        <w:tabs>
          <w:tab w:val="num" w:pos="-153"/>
        </w:tabs>
        <w:spacing w:after="0" w:line="240" w:lineRule="auto"/>
        <w:ind w:hanging="567"/>
        <w:outlineLvl w:val="1"/>
        <w:rPr>
          <w:rFonts w:ascii="Calibri" w:eastAsia="Times New Roman" w:hAnsi="Calibri" w:cs="Times New Roman"/>
          <w:b/>
          <w:sz w:val="26"/>
          <w:szCs w:val="20"/>
        </w:rPr>
      </w:pPr>
      <w:bookmarkStart w:id="80" w:name="_Toc7082735"/>
      <w:bookmarkStart w:id="81" w:name="_Toc83029357"/>
      <w:r w:rsidRPr="002F4B81">
        <w:rPr>
          <w:rFonts w:ascii="Calibri" w:eastAsia="Times New Roman" w:hAnsi="Calibri" w:cs="Times New Roman"/>
          <w:b/>
          <w:sz w:val="26"/>
          <w:szCs w:val="20"/>
        </w:rPr>
        <w:lastRenderedPageBreak/>
        <w:t>Trial withdrawal criteria</w:t>
      </w:r>
      <w:bookmarkEnd w:id="80"/>
      <w:bookmarkEnd w:id="81"/>
    </w:p>
    <w:p w14:paraId="6EDB0620"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Participants have the right to withdraw from the trial at any time without having to give a reason.  Investigators at sites should try to ascertain the reason for withdrawal and document this reason within the eCRF and participant’s medical notes.</w:t>
      </w:r>
    </w:p>
    <w:p w14:paraId="6386E346" w14:textId="77777777" w:rsidR="002F4B81" w:rsidRPr="002F4B81" w:rsidRDefault="002F4B81" w:rsidP="002F4B81">
      <w:pPr>
        <w:spacing w:after="0" w:line="240" w:lineRule="auto"/>
        <w:ind w:left="1701"/>
        <w:jc w:val="both"/>
        <w:rPr>
          <w:rFonts w:ascii="Calibri" w:eastAsia="Times New Roman" w:hAnsi="Calibri" w:cs="Times New Roman"/>
          <w:szCs w:val="20"/>
        </w:rPr>
      </w:pPr>
    </w:p>
    <w:p w14:paraId="48C9D2C4"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The Investigator may discontinue a participant from the trial at any time if the Investigator considers it necessary for any reason including:</w:t>
      </w:r>
    </w:p>
    <w:p w14:paraId="01A776FC" w14:textId="77777777" w:rsidR="002F4B81" w:rsidRPr="002F4B81" w:rsidRDefault="002F4B81" w:rsidP="002F4B81">
      <w:pPr>
        <w:spacing w:after="0" w:line="240" w:lineRule="auto"/>
        <w:jc w:val="both"/>
        <w:rPr>
          <w:rFonts w:ascii="Tahoma" w:eastAsia="Times New Roman" w:hAnsi="Tahoma" w:cs="Times New Roman"/>
          <w:szCs w:val="20"/>
        </w:rPr>
      </w:pPr>
    </w:p>
    <w:p w14:paraId="108C437E" w14:textId="77777777" w:rsidR="002F4B81" w:rsidRPr="002F4B81" w:rsidRDefault="002F4B81" w:rsidP="002F4B81">
      <w:pPr>
        <w:numPr>
          <w:ilvl w:val="0"/>
          <w:numId w:val="45"/>
        </w:numPr>
        <w:tabs>
          <w:tab w:val="left" w:pos="2127"/>
        </w:tabs>
        <w:spacing w:after="0" w:line="240" w:lineRule="auto"/>
        <w:ind w:left="2127" w:hanging="1047"/>
        <w:contextualSpacing/>
        <w:rPr>
          <w:rFonts w:ascii="Calibri" w:eastAsia="Calibri" w:hAnsi="Calibri" w:cs="Times New Roman"/>
        </w:rPr>
      </w:pPr>
      <w:r w:rsidRPr="002F4B81">
        <w:rPr>
          <w:rFonts w:ascii="Calibri" w:eastAsia="Calibri" w:hAnsi="Calibri" w:cs="Times New Roman"/>
        </w:rPr>
        <w:t xml:space="preserve">Participant withdrawal of consent </w:t>
      </w:r>
    </w:p>
    <w:p w14:paraId="7005F71D" w14:textId="77777777" w:rsidR="002F4B81" w:rsidRPr="002F4B81" w:rsidRDefault="002F4B81" w:rsidP="002F4B81">
      <w:pPr>
        <w:numPr>
          <w:ilvl w:val="0"/>
          <w:numId w:val="45"/>
        </w:numPr>
        <w:tabs>
          <w:tab w:val="left" w:pos="2127"/>
        </w:tabs>
        <w:spacing w:after="0" w:line="240" w:lineRule="auto"/>
        <w:contextualSpacing/>
        <w:rPr>
          <w:rFonts w:ascii="Calibri" w:eastAsia="Calibri" w:hAnsi="Calibri" w:cs="Times New Roman"/>
        </w:rPr>
      </w:pPr>
      <w:r w:rsidRPr="002F4B81">
        <w:rPr>
          <w:rFonts w:ascii="Calibri" w:eastAsia="Calibri" w:hAnsi="Calibri" w:cs="Times New Roman"/>
        </w:rPr>
        <w:t>Significant protocol deviation or non-compliance</w:t>
      </w:r>
    </w:p>
    <w:p w14:paraId="2FE5FDAC" w14:textId="77777777" w:rsidR="002F4B81" w:rsidRPr="002F4B81" w:rsidRDefault="002F4B81" w:rsidP="002F4B81">
      <w:pPr>
        <w:numPr>
          <w:ilvl w:val="0"/>
          <w:numId w:val="45"/>
        </w:numPr>
        <w:tabs>
          <w:tab w:val="left" w:pos="2127"/>
        </w:tabs>
        <w:spacing w:after="0" w:line="240" w:lineRule="auto"/>
        <w:ind w:left="2127" w:hanging="1047"/>
        <w:contextualSpacing/>
        <w:rPr>
          <w:rFonts w:ascii="Calibri" w:eastAsia="Calibri" w:hAnsi="Calibri" w:cs="Times New Roman"/>
        </w:rPr>
      </w:pPr>
      <w:r w:rsidRPr="002F4B81">
        <w:rPr>
          <w:rFonts w:ascii="Calibri" w:eastAsia="Calibri" w:hAnsi="Calibri" w:cs="Times New Roman"/>
        </w:rPr>
        <w:t xml:space="preserve">Investigator’s discretion that it is in the best interest of the participant to withdraw from the study not relating to re-starting Eculizumab </w:t>
      </w:r>
      <w:proofErr w:type="gramStart"/>
      <w:r w:rsidRPr="002F4B81">
        <w:rPr>
          <w:rFonts w:ascii="Calibri" w:eastAsia="Calibri" w:hAnsi="Calibri" w:cs="Times New Roman"/>
        </w:rPr>
        <w:t>treatment</w:t>
      </w:r>
      <w:proofErr w:type="gramEnd"/>
    </w:p>
    <w:p w14:paraId="25418188" w14:textId="77777777" w:rsidR="002F4B81" w:rsidRPr="002F4B81" w:rsidRDefault="002F4B81" w:rsidP="002F4B81">
      <w:pPr>
        <w:numPr>
          <w:ilvl w:val="0"/>
          <w:numId w:val="45"/>
        </w:numPr>
        <w:tabs>
          <w:tab w:val="left" w:pos="2127"/>
        </w:tabs>
        <w:spacing w:after="0" w:line="240" w:lineRule="auto"/>
        <w:contextualSpacing/>
        <w:rPr>
          <w:rFonts w:ascii="Calibri" w:eastAsia="Calibri" w:hAnsi="Calibri" w:cs="Times New Roman"/>
        </w:rPr>
      </w:pPr>
      <w:r w:rsidRPr="002F4B81">
        <w:rPr>
          <w:rFonts w:ascii="Calibri" w:eastAsia="Calibri" w:hAnsi="Calibri" w:cs="Times New Roman"/>
        </w:rPr>
        <w:t xml:space="preserve">An adverse event that renders the participant unable to continue in the </w:t>
      </w:r>
      <w:proofErr w:type="gramStart"/>
      <w:r w:rsidRPr="002F4B81">
        <w:rPr>
          <w:rFonts w:ascii="Calibri" w:eastAsia="Calibri" w:hAnsi="Calibri" w:cs="Times New Roman"/>
        </w:rPr>
        <w:t>trial</w:t>
      </w:r>
      <w:proofErr w:type="gramEnd"/>
    </w:p>
    <w:p w14:paraId="5D131446" w14:textId="77777777" w:rsidR="002F4B81" w:rsidRPr="002F4B81" w:rsidRDefault="002F4B81" w:rsidP="002F4B81">
      <w:pPr>
        <w:numPr>
          <w:ilvl w:val="0"/>
          <w:numId w:val="45"/>
        </w:numPr>
        <w:tabs>
          <w:tab w:val="left" w:pos="2127"/>
        </w:tabs>
        <w:spacing w:after="0" w:line="240" w:lineRule="auto"/>
        <w:contextualSpacing/>
        <w:rPr>
          <w:rFonts w:ascii="Calibri" w:eastAsia="Calibri" w:hAnsi="Calibri" w:cs="Times New Roman"/>
        </w:rPr>
      </w:pPr>
      <w:r w:rsidRPr="002F4B81">
        <w:rPr>
          <w:rFonts w:ascii="Calibri" w:eastAsia="Calibri" w:hAnsi="Calibri" w:cs="Times New Roman"/>
        </w:rPr>
        <w:t xml:space="preserve">Termination of the clinical trial by the sponsor </w:t>
      </w:r>
    </w:p>
    <w:p w14:paraId="3FFDA16A" w14:textId="77777777" w:rsidR="002F4B81" w:rsidRPr="002F4B81" w:rsidRDefault="002F4B81" w:rsidP="002F4B81">
      <w:pPr>
        <w:spacing w:after="0" w:line="240" w:lineRule="auto"/>
        <w:ind w:left="1701"/>
        <w:jc w:val="both"/>
        <w:rPr>
          <w:rFonts w:ascii="Tahoma" w:eastAsia="Times New Roman" w:hAnsi="Tahoma" w:cs="Times New Roman"/>
          <w:szCs w:val="20"/>
        </w:rPr>
      </w:pPr>
    </w:p>
    <w:p w14:paraId="00262D23"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 xml:space="preserve">Participants who withdraw from the trial will not be replaced. </w:t>
      </w:r>
    </w:p>
    <w:p w14:paraId="539E5215" w14:textId="77777777" w:rsidR="002F4B81" w:rsidRPr="002F4B81" w:rsidRDefault="002F4B81" w:rsidP="002F4B81">
      <w:pPr>
        <w:spacing w:after="0" w:line="240" w:lineRule="auto"/>
        <w:jc w:val="both"/>
        <w:rPr>
          <w:rFonts w:ascii="Calibri" w:eastAsia="Times New Roman" w:hAnsi="Calibri" w:cs="Times New Roman"/>
          <w:szCs w:val="20"/>
        </w:rPr>
      </w:pPr>
    </w:p>
    <w:p w14:paraId="7BBFDC93" w14:textId="77777777" w:rsidR="002F4B81" w:rsidRPr="002F4B81" w:rsidRDefault="002F4B81" w:rsidP="002F4B81">
      <w:pPr>
        <w:keepNext/>
        <w:numPr>
          <w:ilvl w:val="1"/>
          <w:numId w:val="0"/>
        </w:numPr>
        <w:tabs>
          <w:tab w:val="num" w:pos="-153"/>
        </w:tabs>
        <w:spacing w:after="0" w:line="240" w:lineRule="auto"/>
        <w:ind w:hanging="567"/>
        <w:outlineLvl w:val="1"/>
        <w:rPr>
          <w:rFonts w:ascii="Calibri" w:eastAsia="Times New Roman" w:hAnsi="Calibri" w:cs="Times New Roman"/>
          <w:b/>
          <w:sz w:val="26"/>
          <w:szCs w:val="20"/>
        </w:rPr>
      </w:pPr>
      <w:bookmarkStart w:id="82" w:name="_Toc7082736"/>
      <w:bookmarkStart w:id="83" w:name="_Toc83029358"/>
      <w:r w:rsidRPr="002F4B81">
        <w:rPr>
          <w:rFonts w:ascii="Calibri" w:eastAsia="Times New Roman" w:hAnsi="Calibri" w:cs="Times New Roman"/>
          <w:b/>
          <w:sz w:val="26"/>
          <w:szCs w:val="20"/>
        </w:rPr>
        <w:t>End of trial</w:t>
      </w:r>
      <w:bookmarkEnd w:id="82"/>
      <w:bookmarkEnd w:id="83"/>
    </w:p>
    <w:p w14:paraId="0A7DDFAD" w14:textId="77777777" w:rsidR="002F4B81" w:rsidRPr="002F4B81" w:rsidRDefault="002F4B81" w:rsidP="002F4B81">
      <w:pPr>
        <w:spacing w:after="0" w:line="240" w:lineRule="auto"/>
        <w:jc w:val="both"/>
        <w:rPr>
          <w:rFonts w:ascii="Calibri" w:eastAsia="Times New Roman" w:hAnsi="Calibri" w:cs="Times New Roman"/>
          <w:szCs w:val="20"/>
        </w:rPr>
      </w:pPr>
    </w:p>
    <w:p w14:paraId="19FAB575"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 xml:space="preserve">The last visit will be defined as the last patient attending their visit 34 on day 672 (+/-7 days). </w:t>
      </w:r>
    </w:p>
    <w:p w14:paraId="42101987"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The final treatment outcome data will be collected when the final patient attends for their visit 34. At this point the end of study notification will be submitted to the Research Ethics Committee (REC). The data analysis and final report will be completed within a year of this study notification.</w:t>
      </w:r>
    </w:p>
    <w:p w14:paraId="7EB02994"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The trial may be ended prematurely on the recommendation of the DMC &amp; TSC if SAE’s or interim analysis indicates that this is required.  The criteria of such decisions will be decided by the DMC &amp; TSC as specified in the respective charter and SAP.</w:t>
      </w:r>
    </w:p>
    <w:p w14:paraId="4738154A" w14:textId="77777777" w:rsidR="002F4B81" w:rsidRPr="002F4B81" w:rsidRDefault="002F4B81" w:rsidP="002F4B81">
      <w:pPr>
        <w:spacing w:after="0" w:line="240" w:lineRule="auto"/>
        <w:jc w:val="both"/>
        <w:rPr>
          <w:rFonts w:ascii="Calibri" w:eastAsia="Times New Roman" w:hAnsi="Calibri" w:cs="Times New Roman"/>
          <w:szCs w:val="20"/>
        </w:rPr>
      </w:pPr>
    </w:p>
    <w:p w14:paraId="4D95A1E8" w14:textId="77777777" w:rsidR="002F4B81" w:rsidRPr="002F4B81" w:rsidRDefault="002F4B81" w:rsidP="002F4B81">
      <w:pPr>
        <w:keepNext/>
        <w:tabs>
          <w:tab w:val="num" w:pos="567"/>
        </w:tabs>
        <w:spacing w:after="0" w:line="360" w:lineRule="auto"/>
        <w:ind w:left="567" w:right="-154" w:hanging="567"/>
        <w:outlineLvl w:val="0"/>
        <w:rPr>
          <w:rFonts w:ascii="Calibri" w:eastAsia="Times New Roman" w:hAnsi="Calibri" w:cs="Times New Roman"/>
          <w:b/>
          <w:caps/>
          <w:sz w:val="36"/>
          <w:szCs w:val="20"/>
        </w:rPr>
      </w:pPr>
      <w:bookmarkStart w:id="84" w:name="_Toc7082737"/>
      <w:bookmarkStart w:id="85" w:name="_Toc83029359"/>
      <w:r w:rsidRPr="002F4B81">
        <w:rPr>
          <w:rFonts w:ascii="Calibri" w:eastAsia="Times New Roman" w:hAnsi="Calibri" w:cs="Times New Roman"/>
          <w:b/>
          <w:caps/>
          <w:sz w:val="36"/>
          <w:szCs w:val="20"/>
        </w:rPr>
        <w:t>Outcomes</w:t>
      </w:r>
      <w:bookmarkEnd w:id="84"/>
      <w:bookmarkEnd w:id="85"/>
    </w:p>
    <w:p w14:paraId="00711BF3" w14:textId="77777777" w:rsidR="002F4B81" w:rsidRPr="002F4B81" w:rsidRDefault="002F4B81" w:rsidP="002F4B81">
      <w:pPr>
        <w:keepNext/>
        <w:numPr>
          <w:ilvl w:val="1"/>
          <w:numId w:val="0"/>
        </w:numPr>
        <w:tabs>
          <w:tab w:val="num" w:pos="567"/>
        </w:tabs>
        <w:spacing w:after="0" w:line="240" w:lineRule="auto"/>
        <w:ind w:left="567" w:right="-154" w:hanging="567"/>
        <w:outlineLvl w:val="1"/>
        <w:rPr>
          <w:rFonts w:ascii="Calibri" w:eastAsia="Times New Roman" w:hAnsi="Calibri" w:cs="Times New Roman"/>
          <w:b/>
          <w:sz w:val="26"/>
          <w:szCs w:val="20"/>
        </w:rPr>
      </w:pPr>
      <w:bookmarkStart w:id="86" w:name="_Toc499302661"/>
      <w:bookmarkStart w:id="87" w:name="_Toc7082738"/>
      <w:bookmarkStart w:id="88" w:name="_Toc83029360"/>
      <w:r w:rsidRPr="002F4B81">
        <w:rPr>
          <w:rFonts w:ascii="Tahoma" w:eastAsia="Times New Roman" w:hAnsi="Tahoma" w:cs="Times New Roman"/>
          <w:b/>
          <w:sz w:val="26"/>
          <w:szCs w:val="20"/>
        </w:rPr>
        <w:t>Primary Outcome Measures</w:t>
      </w:r>
      <w:bookmarkEnd w:id="86"/>
      <w:bookmarkEnd w:id="87"/>
      <w:bookmarkEnd w:id="88"/>
    </w:p>
    <w:p w14:paraId="0E49E484" w14:textId="77777777" w:rsidR="002F4B81" w:rsidRPr="002F4B81" w:rsidRDefault="002F4B81" w:rsidP="002F4B81">
      <w:pPr>
        <w:spacing w:after="0" w:line="240" w:lineRule="auto"/>
        <w:rPr>
          <w:rFonts w:ascii="Tahoma" w:eastAsia="Times New Roman" w:hAnsi="Tahoma" w:cs="Times New Roman"/>
          <w:szCs w:val="20"/>
        </w:rPr>
      </w:pPr>
    </w:p>
    <w:p w14:paraId="43D04803"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Number of patients with a TMA related Serious Adverse Event (SAE) defined as any of the following:</w:t>
      </w:r>
    </w:p>
    <w:p w14:paraId="286778F0" w14:textId="77777777" w:rsidR="002F4B81" w:rsidRPr="002F4B81" w:rsidRDefault="002F4B81" w:rsidP="002F4B81">
      <w:pPr>
        <w:spacing w:after="0" w:line="240" w:lineRule="auto"/>
        <w:rPr>
          <w:rFonts w:ascii="Tahoma" w:eastAsia="Times New Roman" w:hAnsi="Tahoma" w:cs="Times New Roman"/>
          <w:szCs w:val="20"/>
        </w:rPr>
      </w:pPr>
    </w:p>
    <w:p w14:paraId="24976941" w14:textId="77777777" w:rsidR="002F4B81" w:rsidRPr="002F4B81" w:rsidRDefault="002F4B81" w:rsidP="002F4B81">
      <w:pPr>
        <w:numPr>
          <w:ilvl w:val="0"/>
          <w:numId w:val="2"/>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 xml:space="preserve">Irreversible (&gt;3 months) reduction in estimated glomerular filtration rate (eGFR)(See section 8.1.1 below for further details of the calculation), not attributable to another </w:t>
      </w:r>
      <w:proofErr w:type="gramStart"/>
      <w:r w:rsidRPr="002F4B81">
        <w:rPr>
          <w:rFonts w:ascii="Calibri" w:eastAsia="Calibri" w:hAnsi="Calibri" w:cs="TimesNewRomanPSMT"/>
        </w:rPr>
        <w:t>cause</w:t>
      </w:r>
      <w:proofErr w:type="gramEnd"/>
    </w:p>
    <w:p w14:paraId="5FADA2D3" w14:textId="77777777" w:rsidR="002F4B81" w:rsidRPr="002F4B81" w:rsidRDefault="002F4B81" w:rsidP="002F4B81">
      <w:pPr>
        <w:autoSpaceDE w:val="0"/>
        <w:autoSpaceDN w:val="0"/>
        <w:spacing w:after="0" w:line="240" w:lineRule="auto"/>
        <w:ind w:left="720"/>
        <w:rPr>
          <w:rFonts w:ascii="Calibri" w:eastAsia="Times New Roman" w:hAnsi="Calibri" w:cs="Times New Roman"/>
          <w:b/>
          <w:bCs/>
          <w:szCs w:val="20"/>
          <w:u w:val="single"/>
        </w:rPr>
      </w:pPr>
      <w:r w:rsidRPr="002F4B81">
        <w:rPr>
          <w:rFonts w:ascii="Calibri" w:eastAsia="Times New Roman" w:hAnsi="Calibri" w:cs="Times New Roman"/>
          <w:b/>
          <w:bCs/>
          <w:szCs w:val="20"/>
          <w:u w:val="single"/>
        </w:rPr>
        <w:t>In adults</w:t>
      </w:r>
    </w:p>
    <w:p w14:paraId="234C6C0B" w14:textId="77777777" w:rsidR="002F4B81" w:rsidRPr="002F4B81" w:rsidRDefault="002F4B81" w:rsidP="002F4B81">
      <w:pPr>
        <w:numPr>
          <w:ilvl w:val="0"/>
          <w:numId w:val="47"/>
        </w:numPr>
        <w:autoSpaceDE w:val="0"/>
        <w:autoSpaceDN w:val="0"/>
        <w:spacing w:after="200" w:line="276" w:lineRule="auto"/>
        <w:contextualSpacing/>
        <w:rPr>
          <w:rFonts w:ascii="Calibri" w:eastAsia="Calibri" w:hAnsi="Calibri" w:cs="Times New Roman"/>
        </w:rPr>
      </w:pPr>
      <w:r w:rsidRPr="002F4B81">
        <w:rPr>
          <w:rFonts w:ascii="Calibri" w:eastAsia="Calibri" w:hAnsi="Calibri" w:cs="Times New Roman"/>
        </w:rPr>
        <w:t>by ≥20% if the screening eGFR is &lt;90mls/min/1.73m</w:t>
      </w:r>
      <w:r w:rsidRPr="002F4B81">
        <w:rPr>
          <w:rFonts w:ascii="Calibri" w:eastAsia="Calibri" w:hAnsi="Calibri" w:cs="Times New Roman"/>
          <w:vertAlign w:val="superscript"/>
        </w:rPr>
        <w:t xml:space="preserve">2 </w:t>
      </w:r>
    </w:p>
    <w:p w14:paraId="45D9B158" w14:textId="77777777" w:rsidR="002F4B81" w:rsidRPr="002F4B81" w:rsidRDefault="002F4B81" w:rsidP="002F4B81">
      <w:pPr>
        <w:numPr>
          <w:ilvl w:val="0"/>
          <w:numId w:val="47"/>
        </w:numPr>
        <w:autoSpaceDE w:val="0"/>
        <w:autoSpaceDN w:val="0"/>
        <w:spacing w:after="200" w:line="276" w:lineRule="auto"/>
        <w:contextualSpacing/>
        <w:rPr>
          <w:rFonts w:ascii="Calibri" w:eastAsia="Calibri" w:hAnsi="Calibri" w:cs="Times New Roman"/>
        </w:rPr>
      </w:pPr>
      <w:r w:rsidRPr="002F4B81">
        <w:rPr>
          <w:rFonts w:ascii="Calibri" w:eastAsia="Calibri" w:hAnsi="Calibri" w:cs="Times New Roman"/>
        </w:rPr>
        <w:t>by &gt;20% to a level &lt;90mls/min/1.73m</w:t>
      </w:r>
      <w:r w:rsidRPr="002F4B81">
        <w:rPr>
          <w:rFonts w:ascii="Calibri" w:eastAsia="Calibri" w:hAnsi="Calibri" w:cs="Times New Roman"/>
          <w:vertAlign w:val="superscript"/>
        </w:rPr>
        <w:t>2</w:t>
      </w:r>
      <w:r w:rsidRPr="002F4B81">
        <w:rPr>
          <w:rFonts w:ascii="Calibri" w:eastAsia="Calibri" w:hAnsi="Calibri" w:cs="Times New Roman"/>
        </w:rPr>
        <w:t xml:space="preserve"> if the screening eGFR is &gt;90mls/min/1.73m</w:t>
      </w:r>
      <w:r w:rsidRPr="002F4B81">
        <w:rPr>
          <w:rFonts w:ascii="Calibri" w:eastAsia="Calibri" w:hAnsi="Calibri" w:cs="Times New Roman"/>
          <w:vertAlign w:val="superscript"/>
        </w:rPr>
        <w:t>2</w:t>
      </w:r>
    </w:p>
    <w:p w14:paraId="4B756485" w14:textId="77777777" w:rsidR="002F4B81" w:rsidRPr="002F4B81" w:rsidRDefault="002F4B81" w:rsidP="002F4B81">
      <w:pPr>
        <w:autoSpaceDE w:val="0"/>
        <w:autoSpaceDN w:val="0"/>
        <w:spacing w:after="0" w:line="240" w:lineRule="auto"/>
        <w:ind w:left="720"/>
        <w:rPr>
          <w:rFonts w:ascii="Calibri" w:eastAsia="Times New Roman" w:hAnsi="Calibri" w:cs="Times New Roman"/>
          <w:b/>
          <w:bCs/>
          <w:szCs w:val="20"/>
          <w:u w:val="single"/>
        </w:rPr>
      </w:pPr>
      <w:r w:rsidRPr="002F4B81">
        <w:rPr>
          <w:rFonts w:ascii="Calibri" w:eastAsia="Times New Roman" w:hAnsi="Calibri" w:cs="Times New Roman"/>
          <w:b/>
          <w:bCs/>
          <w:szCs w:val="20"/>
          <w:u w:val="single"/>
        </w:rPr>
        <w:t>In children</w:t>
      </w:r>
    </w:p>
    <w:p w14:paraId="719E1D34" w14:textId="77777777" w:rsidR="002F4B81" w:rsidRPr="002F4B81" w:rsidRDefault="002F4B81" w:rsidP="002F4B81">
      <w:pPr>
        <w:numPr>
          <w:ilvl w:val="0"/>
          <w:numId w:val="47"/>
        </w:numPr>
        <w:autoSpaceDE w:val="0"/>
        <w:autoSpaceDN w:val="0"/>
        <w:spacing w:after="200" w:line="276" w:lineRule="auto"/>
        <w:contextualSpacing/>
        <w:rPr>
          <w:rFonts w:ascii="Calibri" w:eastAsia="Calibri" w:hAnsi="Calibri" w:cs="Times New Roman"/>
        </w:rPr>
      </w:pPr>
      <w:r w:rsidRPr="002F4B81">
        <w:rPr>
          <w:rFonts w:ascii="Calibri" w:eastAsia="Calibri" w:hAnsi="Calibri" w:cs="Times New Roman"/>
        </w:rPr>
        <w:t>by ≥20% if the screening eGFR is &lt;75mls/min/1.73m</w:t>
      </w:r>
      <w:r w:rsidRPr="002F4B81">
        <w:rPr>
          <w:rFonts w:ascii="Calibri" w:eastAsia="Calibri" w:hAnsi="Calibri" w:cs="Times New Roman"/>
          <w:vertAlign w:val="superscript"/>
        </w:rPr>
        <w:t xml:space="preserve">2 </w:t>
      </w:r>
    </w:p>
    <w:p w14:paraId="59D33A64" w14:textId="77777777" w:rsidR="002F4B81" w:rsidRPr="002F4B81" w:rsidRDefault="002F4B81" w:rsidP="002F4B81">
      <w:pPr>
        <w:numPr>
          <w:ilvl w:val="0"/>
          <w:numId w:val="47"/>
        </w:numPr>
        <w:autoSpaceDE w:val="0"/>
        <w:autoSpaceDN w:val="0"/>
        <w:spacing w:after="200" w:line="276" w:lineRule="auto"/>
        <w:contextualSpacing/>
        <w:rPr>
          <w:rFonts w:ascii="Calibri" w:eastAsia="Calibri" w:hAnsi="Calibri" w:cs="Times New Roman"/>
        </w:rPr>
      </w:pPr>
      <w:r w:rsidRPr="002F4B81">
        <w:rPr>
          <w:rFonts w:ascii="Calibri" w:eastAsia="Calibri" w:hAnsi="Calibri" w:cs="Times New Roman"/>
        </w:rPr>
        <w:t>by &gt;20% to a level &lt;75mls/min/1.73m</w:t>
      </w:r>
      <w:r w:rsidRPr="002F4B81">
        <w:rPr>
          <w:rFonts w:ascii="Calibri" w:eastAsia="Calibri" w:hAnsi="Calibri" w:cs="Times New Roman"/>
          <w:vertAlign w:val="superscript"/>
        </w:rPr>
        <w:t>2</w:t>
      </w:r>
      <w:r w:rsidRPr="002F4B81">
        <w:rPr>
          <w:rFonts w:ascii="Calibri" w:eastAsia="Calibri" w:hAnsi="Calibri" w:cs="Times New Roman"/>
        </w:rPr>
        <w:t xml:space="preserve"> if the screening eGFR is &gt;75mls/min/1.73m</w:t>
      </w:r>
      <w:r w:rsidRPr="002F4B81">
        <w:rPr>
          <w:rFonts w:ascii="Calibri" w:eastAsia="Calibri" w:hAnsi="Calibri" w:cs="Times New Roman"/>
          <w:vertAlign w:val="superscript"/>
        </w:rPr>
        <w:t>2</w:t>
      </w:r>
    </w:p>
    <w:p w14:paraId="1773FAC1" w14:textId="77777777" w:rsidR="002F4B81" w:rsidRPr="002F4B81" w:rsidRDefault="002F4B81" w:rsidP="002F4B81">
      <w:pPr>
        <w:autoSpaceDE w:val="0"/>
        <w:autoSpaceDN w:val="0"/>
        <w:adjustRightInd w:val="0"/>
        <w:spacing w:after="0" w:line="240" w:lineRule="auto"/>
        <w:ind w:left="720"/>
        <w:contextualSpacing/>
        <w:rPr>
          <w:rFonts w:ascii="Calibri" w:eastAsia="Calibri" w:hAnsi="Calibri" w:cs="TimesNewRomanPSMT"/>
        </w:rPr>
      </w:pPr>
      <w:r w:rsidRPr="002F4B81">
        <w:rPr>
          <w:rFonts w:ascii="Calibri" w:eastAsia="Calibri" w:hAnsi="Calibri" w:cs="Times New Roman"/>
        </w:rPr>
        <w:t xml:space="preserve">The equations used to obtain eGFR are known to be inaccurate above a value of 90 </w:t>
      </w:r>
      <w:proofErr w:type="spellStart"/>
      <w:r w:rsidRPr="002F4B81">
        <w:rPr>
          <w:rFonts w:ascii="Calibri" w:eastAsia="Calibri" w:hAnsi="Calibri" w:cs="Times New Roman"/>
        </w:rPr>
        <w:t>mls</w:t>
      </w:r>
      <w:proofErr w:type="spellEnd"/>
      <w:r w:rsidRPr="002F4B81">
        <w:rPr>
          <w:rFonts w:ascii="Calibri" w:eastAsia="Calibri" w:hAnsi="Calibri" w:cs="Times New Roman"/>
        </w:rPr>
        <w:t>/min/1.73m</w:t>
      </w:r>
      <w:r w:rsidRPr="002F4B81">
        <w:rPr>
          <w:rFonts w:ascii="Calibri" w:eastAsia="Calibri" w:hAnsi="Calibri" w:cs="Times New Roman"/>
          <w:vertAlign w:val="superscript"/>
        </w:rPr>
        <w:t>2</w:t>
      </w:r>
      <w:r w:rsidRPr="002F4B81">
        <w:rPr>
          <w:rFonts w:ascii="Calibri" w:eastAsia="Calibri" w:hAnsi="Calibri" w:cs="Times New Roman"/>
        </w:rPr>
        <w:t xml:space="preserve"> for adults and 75 </w:t>
      </w:r>
      <w:proofErr w:type="spellStart"/>
      <w:r w:rsidRPr="002F4B81">
        <w:rPr>
          <w:rFonts w:ascii="Calibri" w:eastAsia="Calibri" w:hAnsi="Calibri" w:cs="Times New Roman"/>
        </w:rPr>
        <w:t>mls</w:t>
      </w:r>
      <w:proofErr w:type="spellEnd"/>
      <w:r w:rsidRPr="002F4B81">
        <w:rPr>
          <w:rFonts w:ascii="Calibri" w:eastAsia="Calibri" w:hAnsi="Calibri" w:cs="Times New Roman"/>
        </w:rPr>
        <w:t>/min/1.73m</w:t>
      </w:r>
      <w:r w:rsidRPr="002F4B81">
        <w:rPr>
          <w:rFonts w:ascii="Calibri" w:eastAsia="Calibri" w:hAnsi="Calibri" w:cs="Times New Roman"/>
          <w:vertAlign w:val="superscript"/>
        </w:rPr>
        <w:t>2</w:t>
      </w:r>
      <w:r w:rsidRPr="002F4B81">
        <w:rPr>
          <w:rFonts w:ascii="Calibri" w:eastAsia="Calibri" w:hAnsi="Calibri" w:cs="Times New Roman"/>
        </w:rPr>
        <w:t xml:space="preserve"> for children. It is plausible that a ≥20% reduction in eGFR could be due to this inaccuracy or other outside clinical factors. Where an irreversible reduction in eGFR of ≥20% is observed, the case will be reviewed by the DMC assess the causal relationship to eculizumab </w:t>
      </w:r>
      <w:proofErr w:type="gramStart"/>
      <w:r w:rsidRPr="002F4B81">
        <w:rPr>
          <w:rFonts w:ascii="Calibri" w:eastAsia="Calibri" w:hAnsi="Calibri" w:cs="Times New Roman"/>
        </w:rPr>
        <w:t>withdrawal</w:t>
      </w:r>
      <w:proofErr w:type="gramEnd"/>
    </w:p>
    <w:p w14:paraId="57676B38" w14:textId="77777777" w:rsidR="002F4B81" w:rsidRPr="002F4B81" w:rsidRDefault="002F4B81" w:rsidP="002F4B81">
      <w:pPr>
        <w:numPr>
          <w:ilvl w:val="0"/>
          <w:numId w:val="2"/>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 xml:space="preserve">An episode of AKI attributed to a TMA that requires renal replacement </w:t>
      </w:r>
      <w:proofErr w:type="gramStart"/>
      <w:r w:rsidRPr="002F4B81">
        <w:rPr>
          <w:rFonts w:ascii="Calibri" w:eastAsia="Calibri" w:hAnsi="Calibri" w:cs="TimesNewRomanPSMT"/>
        </w:rPr>
        <w:t>therapy</w:t>
      </w:r>
      <w:proofErr w:type="gramEnd"/>
    </w:p>
    <w:p w14:paraId="35892A85" w14:textId="77777777" w:rsidR="002F4B81" w:rsidRPr="002F4B81" w:rsidRDefault="002F4B81" w:rsidP="002F4B81">
      <w:pPr>
        <w:numPr>
          <w:ilvl w:val="0"/>
          <w:numId w:val="2"/>
        </w:numPr>
        <w:spacing w:after="200" w:line="276" w:lineRule="auto"/>
        <w:contextualSpacing/>
        <w:jc w:val="both"/>
        <w:rPr>
          <w:rFonts w:ascii="Calibri" w:eastAsia="Calibri" w:hAnsi="Calibri" w:cs="Times New Roman"/>
        </w:rPr>
      </w:pPr>
      <w:r w:rsidRPr="002F4B81">
        <w:rPr>
          <w:rFonts w:ascii="Calibri" w:eastAsia="Calibri" w:hAnsi="Calibri" w:cs="TimesNewRomanPSMT"/>
        </w:rPr>
        <w:t>A non-renal manifestation of a TMA that requires hospitalisation, causes irreversible organ damage or death.</w:t>
      </w:r>
      <w:r w:rsidRPr="002F4B81">
        <w:rPr>
          <w:rFonts w:ascii="Calibri" w:eastAsia="Calibri" w:hAnsi="Calibri" w:cs="Times New Roman"/>
        </w:rPr>
        <w:t xml:space="preserve"> </w:t>
      </w:r>
    </w:p>
    <w:p w14:paraId="6A310EB9"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lastRenderedPageBreak/>
        <w:t xml:space="preserve">These are not standard definitions as this trial is </w:t>
      </w:r>
      <w:proofErr w:type="gramStart"/>
      <w:r w:rsidRPr="002F4B81">
        <w:rPr>
          <w:rFonts w:ascii="Calibri" w:eastAsia="Times New Roman" w:hAnsi="Calibri" w:cs="Times New Roman"/>
        </w:rPr>
        <w:t>novel</w:t>
      </w:r>
      <w:proofErr w:type="gramEnd"/>
      <w:r w:rsidRPr="002F4B81">
        <w:rPr>
          <w:rFonts w:ascii="Calibri" w:eastAsia="Times New Roman" w:hAnsi="Calibri" w:cs="Times New Roman"/>
        </w:rPr>
        <w:t xml:space="preserve"> but they should constitute a severe manifestation of TMA recurrence, therefore will capture events for the primary outcome measure. There will need to be review of these events on an individual basis.</w:t>
      </w:r>
    </w:p>
    <w:p w14:paraId="770ECA50" w14:textId="77777777" w:rsidR="002F4B81" w:rsidRPr="002F4B81" w:rsidRDefault="002F4B81" w:rsidP="002F4B81">
      <w:pPr>
        <w:spacing w:after="0" w:line="240" w:lineRule="auto"/>
        <w:rPr>
          <w:rFonts w:ascii="Calibri" w:eastAsia="Times New Roman" w:hAnsi="Calibri" w:cs="Times New Roman"/>
          <w:sz w:val="20"/>
          <w:szCs w:val="20"/>
        </w:rPr>
      </w:pPr>
    </w:p>
    <w:p w14:paraId="0D74499D" w14:textId="77777777" w:rsidR="002F4B81" w:rsidRPr="002F4B81" w:rsidRDefault="002F4B81" w:rsidP="002F4B81">
      <w:pPr>
        <w:keepNext/>
        <w:numPr>
          <w:ilvl w:val="2"/>
          <w:numId w:val="34"/>
        </w:numPr>
        <w:spacing w:after="0" w:line="240" w:lineRule="auto"/>
        <w:ind w:right="-154"/>
        <w:outlineLvl w:val="1"/>
        <w:rPr>
          <w:rFonts w:ascii="Calibri" w:eastAsia="Times New Roman" w:hAnsi="Calibri" w:cs="Times New Roman"/>
          <w:b/>
          <w:sz w:val="26"/>
          <w:szCs w:val="20"/>
        </w:rPr>
      </w:pPr>
      <w:bookmarkStart w:id="89" w:name="_Toc83029361"/>
      <w:r w:rsidRPr="002F4B81">
        <w:rPr>
          <w:rFonts w:ascii="Calibri" w:eastAsia="Times New Roman" w:hAnsi="Calibri" w:cs="Times New Roman"/>
          <w:b/>
          <w:sz w:val="26"/>
          <w:szCs w:val="20"/>
        </w:rPr>
        <w:t>Calculation of eGFR</w:t>
      </w:r>
      <w:bookmarkEnd w:id="89"/>
    </w:p>
    <w:p w14:paraId="4138CAE6" w14:textId="77777777" w:rsidR="002F4B81" w:rsidRPr="002F4B81" w:rsidRDefault="002F4B81" w:rsidP="002F4B81">
      <w:pPr>
        <w:spacing w:after="0" w:line="240" w:lineRule="auto"/>
        <w:rPr>
          <w:rFonts w:ascii="Tahoma" w:eastAsia="Times New Roman" w:hAnsi="Tahoma" w:cs="Times New Roman"/>
          <w:sz w:val="20"/>
          <w:szCs w:val="20"/>
        </w:rPr>
      </w:pPr>
    </w:p>
    <w:p w14:paraId="3ACCC29B"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 xml:space="preserve">We will use the CKD-EPI 2009 for calculation of estimates of eGFR while previously planning to utilise a formula which allowed a coefficient for race (ethnicity) (Levey 2011). </w:t>
      </w:r>
    </w:p>
    <w:p w14:paraId="5C52811C" w14:textId="77777777" w:rsidR="002F4B81" w:rsidRPr="002F4B81" w:rsidRDefault="002F4B81" w:rsidP="002F4B81">
      <w:pPr>
        <w:spacing w:after="0" w:line="240" w:lineRule="auto"/>
        <w:rPr>
          <w:rFonts w:ascii="Calibri" w:eastAsia="Times New Roman" w:hAnsi="Calibri" w:cs="Times New Roman"/>
          <w:szCs w:val="20"/>
        </w:rPr>
      </w:pPr>
    </w:p>
    <w:p w14:paraId="642FEFFA"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 xml:space="preserve">When CKD-EPI was being developed it was noted that there was a different relationship between creatinine and </w:t>
      </w:r>
      <w:proofErr w:type="spellStart"/>
      <w:r w:rsidRPr="002F4B81">
        <w:rPr>
          <w:rFonts w:ascii="Calibri" w:eastAsia="Times New Roman" w:hAnsi="Calibri" w:cs="Times New Roman"/>
          <w:szCs w:val="20"/>
        </w:rPr>
        <w:t>mGFR</w:t>
      </w:r>
      <w:proofErr w:type="spellEnd"/>
      <w:r w:rsidRPr="002F4B81">
        <w:rPr>
          <w:rFonts w:ascii="Calibri" w:eastAsia="Times New Roman" w:hAnsi="Calibri" w:cs="Times New Roman"/>
          <w:szCs w:val="20"/>
        </w:rPr>
        <w:t xml:space="preserve"> in Black and White Americans. Therefore, a correction factor for race was introduced into the CKD-EPI-2009 equation (Levey 2011).</w:t>
      </w:r>
    </w:p>
    <w:p w14:paraId="1E163DBD"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 xml:space="preserve"> </w:t>
      </w:r>
    </w:p>
    <w:p w14:paraId="564B2F0F"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However, it has been recognised that the cohort of Black Americans in the original studies was not representative of all Black people. Therefore, it is currently not recommended to use the race coefficient for black people, so we use the CKD-EPI 2009 and simply remove the race coefficient that was included in calculations of eGFR used in previous DMCs (Levey 2011) (https://www.degruyter.com/document/doi/10.1515/cclm-2022-0928/html?lang=en)</w:t>
      </w:r>
    </w:p>
    <w:p w14:paraId="1D594385"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 xml:space="preserve"> </w:t>
      </w:r>
    </w:p>
    <w:p w14:paraId="047FFC78"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The following calculations will be used for estimates of eGFR:</w:t>
      </w:r>
    </w:p>
    <w:p w14:paraId="3D052F15" w14:textId="77777777" w:rsidR="002F4B81" w:rsidRPr="002F4B81" w:rsidRDefault="002F4B81" w:rsidP="002F4B81">
      <w:pPr>
        <w:spacing w:after="0" w:line="240" w:lineRule="auto"/>
        <w:rPr>
          <w:rFonts w:ascii="Calibri" w:eastAsia="Times New Roman" w:hAnsi="Calibri" w:cs="Times New Roman"/>
          <w:szCs w:val="20"/>
        </w:rPr>
      </w:pPr>
    </w:p>
    <w:p w14:paraId="0AEC07E8"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 xml:space="preserve">It is not expected that there will be participants of black ethnicity in the trial and mixed race does not form part of any adjusted </w:t>
      </w:r>
      <w:proofErr w:type="spellStart"/>
      <w:r w:rsidRPr="002F4B81">
        <w:rPr>
          <w:rFonts w:ascii="Calibri" w:eastAsia="Times New Roman" w:hAnsi="Calibri" w:cs="Times New Roman"/>
          <w:szCs w:val="20"/>
        </w:rPr>
        <w:t>calculation.Creatinine</w:t>
      </w:r>
      <w:proofErr w:type="spellEnd"/>
      <w:r w:rsidRPr="002F4B81">
        <w:rPr>
          <w:rFonts w:ascii="Calibri" w:eastAsia="Times New Roman" w:hAnsi="Calibri" w:cs="Times New Roman"/>
          <w:szCs w:val="20"/>
        </w:rPr>
        <w:t xml:space="preserve"> was measured in </w:t>
      </w:r>
      <w:r w:rsidRPr="002F4B81">
        <w:rPr>
          <w:rFonts w:ascii="Calibri" w:eastAsia="Times New Roman" w:hAnsi="Calibri" w:cs="Times New Roman"/>
          <w:bCs/>
          <w:szCs w:val="20"/>
          <w:shd w:val="clear" w:color="auto" w:fill="FFFFFF"/>
        </w:rPr>
        <w:t xml:space="preserve">µmol/L </w:t>
      </w:r>
      <w:r w:rsidRPr="002F4B81">
        <w:rPr>
          <w:rFonts w:ascii="Calibri" w:eastAsia="Times New Roman" w:hAnsi="Calibri" w:cs="Times New Roman"/>
          <w:szCs w:val="20"/>
        </w:rPr>
        <w:t>and formed part of the calculation.</w:t>
      </w:r>
    </w:p>
    <w:p w14:paraId="1BF80981" w14:textId="77777777" w:rsidR="002F4B81" w:rsidRPr="002F4B81" w:rsidRDefault="002F4B81" w:rsidP="002F4B81">
      <w:pPr>
        <w:spacing w:after="0" w:line="240" w:lineRule="auto"/>
        <w:rPr>
          <w:rFonts w:ascii="Calibri" w:eastAsia="Times New Roman" w:hAnsi="Calibri" w:cs="Times New Roman"/>
          <w:szCs w:val="20"/>
        </w:rPr>
      </w:pPr>
    </w:p>
    <w:p w14:paraId="15915283" w14:textId="77777777" w:rsidR="002F4B81" w:rsidRPr="002F4B81" w:rsidRDefault="002F4B81" w:rsidP="002F4B81">
      <w:pPr>
        <w:spacing w:after="0" w:line="240" w:lineRule="auto"/>
        <w:rPr>
          <w:rFonts w:ascii="Calibri" w:eastAsia="Times New Roman" w:hAnsi="Calibri" w:cs="Calibri"/>
          <w:color w:val="111111"/>
          <w:shd w:val="clear" w:color="auto" w:fill="FFFFFF"/>
        </w:rPr>
      </w:pPr>
      <w:r w:rsidRPr="002F4B81">
        <w:rPr>
          <w:rFonts w:ascii="Calibri" w:eastAsia="Times New Roman" w:hAnsi="Calibri" w:cs="Calibri"/>
        </w:rPr>
        <w:t>e</w:t>
      </w:r>
      <w:r w:rsidRPr="002F4B81">
        <w:rPr>
          <w:rFonts w:ascii="Calibri" w:eastAsia="Times New Roman" w:hAnsi="Calibri" w:cs="Calibri"/>
          <w:shd w:val="clear" w:color="auto" w:fill="FFFFFF"/>
        </w:rPr>
        <w:t>GFR = 141 × min (</w:t>
      </w:r>
      <w:proofErr w:type="spellStart"/>
      <w:r w:rsidRPr="002F4B81">
        <w:rPr>
          <w:rFonts w:ascii="Calibri" w:eastAsia="Times New Roman" w:hAnsi="Calibri" w:cs="Calibri"/>
          <w:shd w:val="clear" w:color="auto" w:fill="FFFFFF"/>
        </w:rPr>
        <w:t>Scr</w:t>
      </w:r>
      <w:proofErr w:type="spellEnd"/>
      <w:r w:rsidRPr="002F4B81">
        <w:rPr>
          <w:rFonts w:ascii="Calibri" w:eastAsia="Times New Roman" w:hAnsi="Calibri" w:cs="Calibri"/>
          <w:shd w:val="clear" w:color="auto" w:fill="FFFFFF"/>
        </w:rPr>
        <w:t xml:space="preserve"> /κ, 1)</w:t>
      </w:r>
      <w:r w:rsidRPr="002F4B81">
        <w:rPr>
          <w:rFonts w:ascii="Calibri" w:eastAsia="Times New Roman" w:hAnsi="Calibri" w:cs="Calibri"/>
          <w:shd w:val="clear" w:color="auto" w:fill="FFFFFF"/>
          <w:vertAlign w:val="superscript"/>
        </w:rPr>
        <w:t>α</w:t>
      </w:r>
      <w:r w:rsidRPr="002F4B81">
        <w:rPr>
          <w:rFonts w:ascii="Calibri" w:eastAsia="Times New Roman" w:hAnsi="Calibri" w:cs="Calibri"/>
          <w:shd w:val="clear" w:color="auto" w:fill="FFFFFF"/>
        </w:rPr>
        <w:t xml:space="preserve"> × max (</w:t>
      </w:r>
      <w:proofErr w:type="spellStart"/>
      <w:r w:rsidRPr="002F4B81">
        <w:rPr>
          <w:rFonts w:ascii="Calibri" w:eastAsia="Times New Roman" w:hAnsi="Calibri" w:cs="Calibri"/>
          <w:shd w:val="clear" w:color="auto" w:fill="FFFFFF"/>
        </w:rPr>
        <w:t>Scr</w:t>
      </w:r>
      <w:proofErr w:type="spellEnd"/>
      <w:r w:rsidRPr="002F4B81">
        <w:rPr>
          <w:rFonts w:ascii="Calibri" w:eastAsia="Times New Roman" w:hAnsi="Calibri" w:cs="Calibri"/>
          <w:shd w:val="clear" w:color="auto" w:fill="FFFFFF"/>
        </w:rPr>
        <w:t xml:space="preserve"> /κ, 1)</w:t>
      </w:r>
      <w:r w:rsidRPr="002F4B81">
        <w:rPr>
          <w:rFonts w:ascii="Calibri" w:eastAsia="Times New Roman" w:hAnsi="Calibri" w:cs="Calibri"/>
          <w:shd w:val="clear" w:color="auto" w:fill="FFFFFF"/>
          <w:vertAlign w:val="superscript"/>
        </w:rPr>
        <w:t>-1.209</w:t>
      </w:r>
      <w:r w:rsidRPr="002F4B81">
        <w:rPr>
          <w:rFonts w:ascii="Calibri" w:eastAsia="Times New Roman" w:hAnsi="Calibri" w:cs="Calibri"/>
          <w:shd w:val="clear" w:color="auto" w:fill="FFFFFF"/>
        </w:rPr>
        <w:t xml:space="preserve"> × 0.993</w:t>
      </w:r>
      <w:r w:rsidRPr="002F4B81">
        <w:rPr>
          <w:rFonts w:ascii="Calibri" w:eastAsia="Times New Roman" w:hAnsi="Calibri" w:cs="Calibri"/>
          <w:shd w:val="clear" w:color="auto" w:fill="FFFFFF"/>
          <w:vertAlign w:val="superscript"/>
        </w:rPr>
        <w:t>Age</w:t>
      </w:r>
      <w:r w:rsidRPr="002F4B81">
        <w:rPr>
          <w:rFonts w:ascii="Calibri" w:eastAsia="Times New Roman" w:hAnsi="Calibri" w:cs="Calibri"/>
          <w:shd w:val="clear" w:color="auto" w:fill="FFFFFF"/>
        </w:rPr>
        <w:t xml:space="preserve"> × 1.018 [if female]</w:t>
      </w:r>
      <w:r w:rsidRPr="002F4B81">
        <w:rPr>
          <w:rFonts w:ascii="Calibri" w:eastAsia="Times New Roman" w:hAnsi="Calibri" w:cs="Calibri"/>
          <w:color w:val="111111"/>
          <w:shd w:val="clear" w:color="auto" w:fill="FFFFFF"/>
        </w:rPr>
        <w:t>. </w:t>
      </w:r>
    </w:p>
    <w:p w14:paraId="03172B5C" w14:textId="77777777" w:rsidR="002F4B81" w:rsidRPr="002F4B81" w:rsidRDefault="002F4B81" w:rsidP="002F4B81">
      <w:pPr>
        <w:spacing w:after="0" w:line="240" w:lineRule="auto"/>
        <w:rPr>
          <w:rFonts w:ascii="Calibri" w:eastAsia="Times New Roman" w:hAnsi="Calibri" w:cs="Calibri"/>
          <w:color w:val="111111"/>
          <w:shd w:val="clear" w:color="auto" w:fill="FFFFFF"/>
        </w:rPr>
      </w:pPr>
    </w:p>
    <w:p w14:paraId="2AE70BA4" w14:textId="77777777" w:rsidR="002F4B81" w:rsidRPr="002F4B81" w:rsidRDefault="002F4B81" w:rsidP="002F4B81">
      <w:pPr>
        <w:spacing w:after="0" w:line="240" w:lineRule="auto"/>
        <w:rPr>
          <w:rFonts w:ascii="Calibri" w:eastAsia="Times New Roman" w:hAnsi="Calibri" w:cs="Calibri"/>
        </w:rPr>
      </w:pPr>
      <w:r w:rsidRPr="002F4B81">
        <w:rPr>
          <w:rFonts w:ascii="Calibri" w:eastAsia="Times New Roman" w:hAnsi="Calibri" w:cs="Calibri"/>
          <w:shd w:val="clear" w:color="auto" w:fill="FFFFFF"/>
        </w:rPr>
        <w:t>The equation uses serum creatinine (</w:t>
      </w:r>
      <w:proofErr w:type="spellStart"/>
      <w:r w:rsidRPr="002F4B81">
        <w:rPr>
          <w:rFonts w:ascii="Calibri" w:eastAsia="Times New Roman" w:hAnsi="Calibri" w:cs="Calibri"/>
          <w:shd w:val="clear" w:color="auto" w:fill="FFFFFF"/>
        </w:rPr>
        <w:t>Scr</w:t>
      </w:r>
      <w:proofErr w:type="spellEnd"/>
      <w:r w:rsidRPr="002F4B81">
        <w:rPr>
          <w:rFonts w:ascii="Calibri" w:eastAsia="Times New Roman" w:hAnsi="Calibri" w:cs="Calibri"/>
          <w:shd w:val="clear" w:color="auto" w:fill="FFFFFF"/>
        </w:rPr>
        <w:t>) in mg/dL, κ is 0.7 for females and 0.9 for males, α is -0.329 for females and -0.411 for males.</w:t>
      </w:r>
    </w:p>
    <w:p w14:paraId="7CB6544A" w14:textId="77777777" w:rsidR="002F4B81" w:rsidRPr="002F4B81" w:rsidRDefault="002F4B81" w:rsidP="002F4B81">
      <w:pPr>
        <w:spacing w:after="0" w:line="240" w:lineRule="auto"/>
        <w:rPr>
          <w:rFonts w:ascii="Calibri" w:eastAsia="Times New Roman" w:hAnsi="Calibri" w:cs="Times New Roman"/>
        </w:rPr>
      </w:pPr>
    </w:p>
    <w:p w14:paraId="79CC9730" w14:textId="77777777" w:rsidR="002F4B81" w:rsidRPr="002F4B81" w:rsidRDefault="002F4B81" w:rsidP="002F4B81">
      <w:pPr>
        <w:spacing w:after="0" w:line="240" w:lineRule="auto"/>
        <w:rPr>
          <w:rFonts w:ascii="Calibri" w:eastAsia="Times New Roman" w:hAnsi="Calibri" w:cs="Times New Roman"/>
        </w:rPr>
      </w:pPr>
    </w:p>
    <w:p w14:paraId="38D0F377" w14:textId="77777777" w:rsidR="002F4B81" w:rsidRPr="002F4B81" w:rsidRDefault="002F4B81" w:rsidP="002F4B81">
      <w:pPr>
        <w:spacing w:after="0" w:line="240" w:lineRule="auto"/>
        <w:rPr>
          <w:rFonts w:ascii="Tahoma" w:eastAsia="Times New Roman" w:hAnsi="Tahoma" w:cs="Times New Roman"/>
          <w:sz w:val="20"/>
          <w:szCs w:val="20"/>
        </w:rPr>
      </w:pPr>
    </w:p>
    <w:p w14:paraId="4318ECC7" w14:textId="77777777" w:rsidR="002F4B81" w:rsidRPr="002F4B81" w:rsidRDefault="002F4B81" w:rsidP="002F4B81">
      <w:pPr>
        <w:keepNext/>
        <w:numPr>
          <w:ilvl w:val="1"/>
          <w:numId w:val="0"/>
        </w:numPr>
        <w:tabs>
          <w:tab w:val="num" w:pos="567"/>
        </w:tabs>
        <w:spacing w:after="0" w:line="240" w:lineRule="auto"/>
        <w:ind w:left="567" w:right="-154" w:hanging="567"/>
        <w:outlineLvl w:val="1"/>
        <w:rPr>
          <w:rFonts w:ascii="Calibri" w:eastAsia="Times New Roman" w:hAnsi="Calibri" w:cs="Times New Roman"/>
          <w:b/>
          <w:sz w:val="26"/>
          <w:szCs w:val="20"/>
        </w:rPr>
      </w:pPr>
      <w:bookmarkStart w:id="90" w:name="_Toc499302662"/>
      <w:bookmarkStart w:id="91" w:name="_Toc7082739"/>
      <w:bookmarkStart w:id="92" w:name="_Toc83029362"/>
      <w:r w:rsidRPr="002F4B81">
        <w:rPr>
          <w:rFonts w:ascii="Tahoma" w:eastAsia="Times New Roman" w:hAnsi="Tahoma" w:cs="Times New Roman"/>
          <w:b/>
          <w:sz w:val="26"/>
          <w:szCs w:val="20"/>
        </w:rPr>
        <w:t>Secondary Outcome Measures</w:t>
      </w:r>
      <w:bookmarkEnd w:id="90"/>
      <w:bookmarkEnd w:id="91"/>
      <w:bookmarkEnd w:id="92"/>
    </w:p>
    <w:p w14:paraId="2E407240" w14:textId="77777777" w:rsidR="002F4B81" w:rsidRPr="002F4B81" w:rsidRDefault="002F4B81" w:rsidP="002F4B81">
      <w:pPr>
        <w:spacing w:after="0" w:line="240" w:lineRule="auto"/>
        <w:rPr>
          <w:rFonts w:ascii="Tahoma" w:eastAsia="Times New Roman" w:hAnsi="Tahoma" w:cs="Times New Roman"/>
          <w:szCs w:val="20"/>
        </w:rPr>
      </w:pPr>
    </w:p>
    <w:p w14:paraId="796BC090" w14:textId="77777777" w:rsidR="002F4B81" w:rsidRPr="002F4B81" w:rsidRDefault="002F4B81" w:rsidP="002F4B81">
      <w:pPr>
        <w:numPr>
          <w:ilvl w:val="0"/>
          <w:numId w:val="39"/>
        </w:numPr>
        <w:spacing w:after="0" w:line="240" w:lineRule="auto"/>
        <w:rPr>
          <w:rFonts w:ascii="Calibri" w:eastAsia="Times New Roman" w:hAnsi="Calibri" w:cs="Times New Roman"/>
          <w:szCs w:val="20"/>
        </w:rPr>
      </w:pPr>
      <w:r w:rsidRPr="002F4B81">
        <w:rPr>
          <w:rFonts w:ascii="Calibri" w:eastAsia="Times New Roman" w:hAnsi="Calibri" w:cs="Times New Roman"/>
          <w:szCs w:val="20"/>
        </w:rPr>
        <w:t>The effectiveness of a monitoring protocol to detect disease relapse following withdrawal of Eculizumab assessed by:</w:t>
      </w:r>
    </w:p>
    <w:p w14:paraId="35C740CF" w14:textId="77777777" w:rsidR="002F4B81" w:rsidRPr="002F4B81" w:rsidRDefault="002F4B81" w:rsidP="002F4B81">
      <w:pPr>
        <w:numPr>
          <w:ilvl w:val="1"/>
          <w:numId w:val="39"/>
        </w:numPr>
        <w:spacing w:after="0" w:line="240" w:lineRule="auto"/>
        <w:rPr>
          <w:rFonts w:ascii="Calibri" w:eastAsia="Times New Roman" w:hAnsi="Calibri" w:cs="Times New Roman"/>
          <w:szCs w:val="20"/>
        </w:rPr>
      </w:pPr>
      <w:r w:rsidRPr="002F4B81">
        <w:rPr>
          <w:rFonts w:ascii="Calibri" w:eastAsia="Times New Roman" w:hAnsi="Calibri" w:cs="Times New Roman"/>
          <w:szCs w:val="20"/>
        </w:rPr>
        <w:t>The proportion of patients who relapse and restart Eculizumab without the development of a TMA-related SAE.</w:t>
      </w:r>
    </w:p>
    <w:p w14:paraId="380E1FA3" w14:textId="77777777" w:rsidR="002F4B81" w:rsidRPr="002F4B81" w:rsidRDefault="002F4B81" w:rsidP="002F4B81">
      <w:pPr>
        <w:numPr>
          <w:ilvl w:val="1"/>
          <w:numId w:val="39"/>
        </w:numPr>
        <w:spacing w:after="0" w:line="240" w:lineRule="auto"/>
        <w:rPr>
          <w:rFonts w:ascii="Calibri" w:eastAsia="Times New Roman" w:hAnsi="Calibri" w:cs="Times New Roman"/>
          <w:szCs w:val="20"/>
        </w:rPr>
      </w:pPr>
      <w:r w:rsidRPr="002F4B81">
        <w:rPr>
          <w:rFonts w:ascii="Calibri" w:eastAsia="Times New Roman" w:hAnsi="Calibri" w:cs="Times New Roman"/>
          <w:szCs w:val="20"/>
        </w:rPr>
        <w:t xml:space="preserve">The time from the first clinical feature (symptom, positive </w:t>
      </w:r>
      <w:proofErr w:type="gramStart"/>
      <w:r w:rsidRPr="002F4B81">
        <w:rPr>
          <w:rFonts w:ascii="Calibri" w:eastAsia="Times New Roman" w:hAnsi="Calibri" w:cs="Times New Roman"/>
          <w:szCs w:val="20"/>
        </w:rPr>
        <w:t>urinalysis</w:t>
      </w:r>
      <w:proofErr w:type="gramEnd"/>
      <w:r w:rsidRPr="002F4B81">
        <w:rPr>
          <w:rFonts w:ascii="Calibri" w:eastAsia="Times New Roman" w:hAnsi="Calibri" w:cs="Times New Roman"/>
          <w:szCs w:val="20"/>
        </w:rPr>
        <w:t xml:space="preserve"> or laboratory result) of a relapse of TMA and the re-introduction of Eculizumab treatment. </w:t>
      </w:r>
    </w:p>
    <w:p w14:paraId="10E09346" w14:textId="77777777" w:rsidR="002F4B81" w:rsidRPr="002F4B81" w:rsidRDefault="002F4B81" w:rsidP="002F4B81">
      <w:pPr>
        <w:numPr>
          <w:ilvl w:val="0"/>
          <w:numId w:val="39"/>
        </w:numPr>
        <w:spacing w:after="0" w:line="240" w:lineRule="auto"/>
        <w:rPr>
          <w:rFonts w:ascii="Calibri" w:eastAsia="Times New Roman" w:hAnsi="Calibri" w:cs="Times New Roman"/>
          <w:szCs w:val="20"/>
        </w:rPr>
      </w:pPr>
      <w:r w:rsidRPr="002F4B81">
        <w:rPr>
          <w:rFonts w:ascii="Calibri" w:eastAsia="Times New Roman" w:hAnsi="Calibri" w:cs="Times New Roman"/>
          <w:szCs w:val="20"/>
        </w:rPr>
        <w:t>The relapse rate after withdrawal of Eculizumab as determined by the proportion of patients who relapse after Eculizumab is withdrawn.</w:t>
      </w:r>
    </w:p>
    <w:p w14:paraId="127E9CDB" w14:textId="77777777" w:rsidR="002F4B81" w:rsidRPr="002F4B81" w:rsidRDefault="002F4B81" w:rsidP="002F4B81">
      <w:pPr>
        <w:numPr>
          <w:ilvl w:val="0"/>
          <w:numId w:val="39"/>
        </w:numPr>
        <w:autoSpaceDE w:val="0"/>
        <w:autoSpaceDN w:val="0"/>
        <w:adjustRightInd w:val="0"/>
        <w:spacing w:after="0" w:line="240" w:lineRule="auto"/>
        <w:rPr>
          <w:rFonts w:ascii="Calibri" w:eastAsia="Times New Roman" w:hAnsi="Calibri" w:cs="TimesNewRomanPSMT"/>
        </w:rPr>
      </w:pPr>
      <w:r w:rsidRPr="002F4B81">
        <w:rPr>
          <w:rFonts w:ascii="Calibri" w:eastAsia="Times New Roman" w:hAnsi="Calibri" w:cs="Times New Roman"/>
        </w:rPr>
        <w:t xml:space="preserve">Estimate of </w:t>
      </w:r>
      <w:r w:rsidRPr="002F4B81">
        <w:rPr>
          <w:rFonts w:ascii="Calibri" w:eastAsia="Times New Roman" w:hAnsi="Calibri" w:cs="TimesNewRomanPSMT"/>
        </w:rPr>
        <w:t>the proportion of patients, currently on long-term treatment with Eculizumab, who can be maintained off treatment.</w:t>
      </w:r>
    </w:p>
    <w:p w14:paraId="1E54286C" w14:textId="77777777" w:rsidR="002F4B81" w:rsidRPr="002F4B81" w:rsidRDefault="002F4B81" w:rsidP="002F4B81">
      <w:pPr>
        <w:numPr>
          <w:ilvl w:val="0"/>
          <w:numId w:val="39"/>
        </w:numPr>
        <w:spacing w:after="0" w:line="240" w:lineRule="auto"/>
        <w:rPr>
          <w:rFonts w:ascii="Calibri" w:eastAsia="Times New Roman" w:hAnsi="Calibri" w:cs="Times New Roman"/>
        </w:rPr>
      </w:pPr>
      <w:r w:rsidRPr="002F4B81">
        <w:rPr>
          <w:rFonts w:ascii="Calibri" w:eastAsia="Times New Roman" w:hAnsi="Calibri" w:cs="Times New Roman"/>
        </w:rPr>
        <w:t xml:space="preserve">Description of the period from withdrawal to relapse in those patients who restart treatment measured from baseline (day 0) </w:t>
      </w:r>
      <w:proofErr w:type="gramStart"/>
      <w:r w:rsidRPr="002F4B81">
        <w:rPr>
          <w:rFonts w:ascii="Calibri" w:eastAsia="Times New Roman" w:hAnsi="Calibri" w:cs="Times New Roman"/>
        </w:rPr>
        <w:t>to day</w:t>
      </w:r>
      <w:proofErr w:type="gramEnd"/>
      <w:r w:rsidRPr="002F4B81">
        <w:rPr>
          <w:rFonts w:ascii="Calibri" w:eastAsia="Times New Roman" w:hAnsi="Calibri" w:cs="Times New Roman"/>
        </w:rPr>
        <w:t xml:space="preserve"> of re-introduction of treatment or end of the study.</w:t>
      </w:r>
    </w:p>
    <w:p w14:paraId="1D9F66D1" w14:textId="77777777" w:rsidR="002F4B81" w:rsidRPr="002F4B81" w:rsidRDefault="002F4B81" w:rsidP="002F4B81">
      <w:pPr>
        <w:numPr>
          <w:ilvl w:val="0"/>
          <w:numId w:val="39"/>
        </w:numPr>
        <w:spacing w:after="0" w:line="240" w:lineRule="auto"/>
        <w:rPr>
          <w:rFonts w:ascii="Calibri" w:eastAsia="Times New Roman" w:hAnsi="Calibri" w:cs="Times New Roman"/>
        </w:rPr>
      </w:pPr>
      <w:r w:rsidRPr="002F4B81">
        <w:rPr>
          <w:rFonts w:ascii="Calibri" w:eastAsia="Times New Roman" w:hAnsi="Calibri" w:cs="Times New Roman"/>
        </w:rPr>
        <w:t>The change in estimated GFR as calculated by the: [</w:t>
      </w:r>
      <w:r w:rsidRPr="002F4B81">
        <w:rPr>
          <w:rFonts w:ascii="Calibri" w:eastAsia="Times New Roman" w:hAnsi="Calibri" w:cs="Times New Roman"/>
          <w:b/>
        </w:rPr>
        <w:t>see 8.1.1)</w:t>
      </w:r>
    </w:p>
    <w:p w14:paraId="07382085" w14:textId="77777777" w:rsidR="002F4B81" w:rsidRPr="002F4B81" w:rsidRDefault="002F4B81" w:rsidP="002F4B81">
      <w:pPr>
        <w:numPr>
          <w:ilvl w:val="1"/>
          <w:numId w:val="39"/>
        </w:numPr>
        <w:spacing w:after="0" w:line="240" w:lineRule="auto"/>
        <w:rPr>
          <w:rFonts w:ascii="Calibri" w:eastAsia="Times New Roman" w:hAnsi="Calibri" w:cs="Times New Roman"/>
        </w:rPr>
      </w:pPr>
      <w:r w:rsidRPr="002F4B81">
        <w:rPr>
          <w:rFonts w:ascii="Calibri" w:eastAsia="Times New Roman" w:hAnsi="Calibri" w:cs="Times New Roman"/>
        </w:rPr>
        <w:lastRenderedPageBreak/>
        <w:t>CKD-EPI (</w:t>
      </w:r>
      <w:hyperlink r:id="rId20" w:history="1">
        <w:r w:rsidRPr="002F4B81">
          <w:rPr>
            <w:rFonts w:ascii="Calibri" w:eastAsia="Times New Roman" w:hAnsi="Calibri" w:cs="Times New Roman"/>
            <w:color w:val="0563C1"/>
            <w:u w:val="single"/>
          </w:rPr>
          <w:t>https://www.niddk.nih.gov/health-information/communication-programs/nkdep/laboratory-evaluation/glomerular-filtration-rate-calculators/ckd-epi-adults-si-units</w:t>
        </w:r>
      </w:hyperlink>
      <w:r w:rsidRPr="002F4B81">
        <w:rPr>
          <w:rFonts w:ascii="Calibri" w:eastAsia="Times New Roman" w:hAnsi="Calibri" w:cs="Times New Roman"/>
        </w:rPr>
        <w:t xml:space="preserve">) equation or </w:t>
      </w:r>
    </w:p>
    <w:p w14:paraId="0F443176" w14:textId="77777777" w:rsidR="002F4B81" w:rsidRPr="002F4B81" w:rsidRDefault="002F4B81" w:rsidP="002F4B81">
      <w:pPr>
        <w:numPr>
          <w:ilvl w:val="1"/>
          <w:numId w:val="39"/>
        </w:numPr>
        <w:spacing w:after="0" w:line="240" w:lineRule="auto"/>
        <w:rPr>
          <w:rFonts w:ascii="Calibri" w:eastAsia="Times New Roman" w:hAnsi="Calibri" w:cs="Times New Roman"/>
        </w:rPr>
      </w:pPr>
      <w:r w:rsidRPr="002F4B81">
        <w:rPr>
          <w:rFonts w:ascii="Calibri" w:eastAsia="Times New Roman" w:hAnsi="Calibri" w:cs="Times New Roman"/>
        </w:rPr>
        <w:t>modified Schwartz (</w:t>
      </w:r>
      <w:hyperlink r:id="rId21" w:history="1">
        <w:r w:rsidRPr="002F4B81">
          <w:rPr>
            <w:rFonts w:ascii="Calibri" w:eastAsia="Times New Roman" w:hAnsi="Calibri" w:cs="Times New Roman"/>
            <w:color w:val="0563C1"/>
            <w:u w:val="single"/>
          </w:rPr>
          <w:t>https://www.niddk.nih.gov/health-information/communication-programs/nkdep/laboratory-evaluation/glomerular-filtration-rate-calculators/children-si-units</w:t>
        </w:r>
      </w:hyperlink>
      <w:r w:rsidRPr="002F4B81">
        <w:rPr>
          <w:rFonts w:ascii="Calibri" w:eastAsia="Times New Roman" w:hAnsi="Calibri" w:cs="Times New Roman"/>
        </w:rPr>
        <w:t xml:space="preserve">) equation </w:t>
      </w:r>
    </w:p>
    <w:p w14:paraId="462A369C"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These change in GFR will be calculated over the course of the study from baseline (day 0) to end of the study.</w:t>
      </w:r>
    </w:p>
    <w:p w14:paraId="5C7DE818"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 xml:space="preserve">We will present eGFR, in addition to the change from baseline as follows: </w:t>
      </w:r>
    </w:p>
    <w:p w14:paraId="653DD05C" w14:textId="77777777" w:rsidR="002F4B81" w:rsidRPr="002F4B81" w:rsidRDefault="002F4B81" w:rsidP="002F4B81">
      <w:pPr>
        <w:spacing w:after="0" w:line="240" w:lineRule="auto"/>
        <w:rPr>
          <w:rFonts w:ascii="Calibri" w:eastAsia="Times New Roman" w:hAnsi="Calibri" w:cs="Times New Roman"/>
        </w:rPr>
      </w:pPr>
    </w:p>
    <w:p w14:paraId="0F6F4BFE" w14:textId="77777777" w:rsidR="002F4B81" w:rsidRPr="002F4B81" w:rsidRDefault="002F4B81" w:rsidP="002F4B81">
      <w:pPr>
        <w:spacing w:after="0" w:line="240" w:lineRule="auto"/>
        <w:ind w:left="720"/>
        <w:rPr>
          <w:rFonts w:ascii="Calibri" w:eastAsia="Times New Roman" w:hAnsi="Calibri" w:cs="Times New Roman"/>
        </w:rPr>
      </w:pPr>
      <w:r w:rsidRPr="002F4B81">
        <w:rPr>
          <w:rFonts w:ascii="Calibri" w:eastAsia="Times New Roman" w:hAnsi="Calibri" w:cs="Times New Roman"/>
        </w:rPr>
        <w:t>Numeric:</w:t>
      </w:r>
    </w:p>
    <w:p w14:paraId="3BC2F856" w14:textId="77777777" w:rsidR="002F4B81" w:rsidRPr="002F4B81" w:rsidRDefault="002F4B81" w:rsidP="002F4B81">
      <w:pPr>
        <w:spacing w:after="0" w:line="240" w:lineRule="auto"/>
        <w:ind w:left="720"/>
        <w:rPr>
          <w:rFonts w:ascii="Calibri" w:eastAsia="Times New Roman" w:hAnsi="Calibri" w:cs="Times New Roman"/>
        </w:rPr>
      </w:pPr>
      <w:r w:rsidRPr="002F4B81">
        <w:rPr>
          <w:rFonts w:ascii="Calibri" w:eastAsia="Times New Roman" w:hAnsi="Calibri" w:cs="Times New Roman"/>
        </w:rPr>
        <w:t>N(%) &gt;90 (adult)</w:t>
      </w:r>
    </w:p>
    <w:p w14:paraId="41BDC366" w14:textId="77777777" w:rsidR="002F4B81" w:rsidRPr="002F4B81" w:rsidRDefault="002F4B81" w:rsidP="002F4B81">
      <w:pPr>
        <w:spacing w:after="0" w:line="240" w:lineRule="auto"/>
        <w:ind w:left="720"/>
        <w:rPr>
          <w:rFonts w:ascii="Calibri" w:eastAsia="Times New Roman" w:hAnsi="Calibri" w:cs="Times New Roman"/>
        </w:rPr>
      </w:pPr>
      <w:r w:rsidRPr="002F4B81">
        <w:rPr>
          <w:rFonts w:ascii="Calibri" w:eastAsia="Times New Roman" w:hAnsi="Calibri" w:cs="Times New Roman"/>
        </w:rPr>
        <w:t>N(%) &gt;75 (child)</w:t>
      </w:r>
    </w:p>
    <w:p w14:paraId="27FDF6D3" w14:textId="77777777" w:rsidR="002F4B81" w:rsidRPr="002F4B81" w:rsidRDefault="002F4B81" w:rsidP="002F4B81">
      <w:pPr>
        <w:spacing w:after="0" w:line="240" w:lineRule="auto"/>
        <w:ind w:left="720"/>
        <w:rPr>
          <w:rFonts w:ascii="Calibri" w:eastAsia="Times New Roman" w:hAnsi="Calibri" w:cs="Times New Roman"/>
        </w:rPr>
      </w:pPr>
      <w:r w:rsidRPr="002F4B81">
        <w:rPr>
          <w:rFonts w:ascii="Calibri" w:eastAsia="Times New Roman" w:hAnsi="Calibri" w:cs="Times New Roman"/>
        </w:rPr>
        <w:t>N(%) &gt;75,&lt;=90 (adult; for comparison purposes with the child cut-off)</w:t>
      </w:r>
    </w:p>
    <w:p w14:paraId="54F2BD2A" w14:textId="77777777" w:rsidR="002F4B81" w:rsidRPr="002F4B81" w:rsidRDefault="002F4B81" w:rsidP="002F4B81">
      <w:pPr>
        <w:spacing w:after="0" w:line="240" w:lineRule="auto"/>
        <w:rPr>
          <w:rFonts w:ascii="Calibri" w:eastAsia="Times New Roman" w:hAnsi="Calibri" w:cs="Times New Roman"/>
        </w:rPr>
      </w:pPr>
    </w:p>
    <w:p w14:paraId="7F4FDD27" w14:textId="77777777" w:rsidR="002F4B81" w:rsidRPr="002F4B81" w:rsidRDefault="002F4B81" w:rsidP="002F4B81">
      <w:pPr>
        <w:numPr>
          <w:ilvl w:val="0"/>
          <w:numId w:val="39"/>
        </w:numPr>
        <w:spacing w:after="0" w:line="240" w:lineRule="auto"/>
        <w:rPr>
          <w:rFonts w:ascii="Calibri" w:eastAsia="Times New Roman" w:hAnsi="Calibri" w:cs="Times New Roman"/>
        </w:rPr>
      </w:pPr>
      <w:r w:rsidRPr="002F4B81">
        <w:rPr>
          <w:rFonts w:ascii="Calibri" w:eastAsia="Times New Roman" w:hAnsi="Calibri" w:cs="Times New Roman"/>
        </w:rPr>
        <w:t xml:space="preserve">Identification of important clinical and laboratory indicators of imminent relapse by review of reported symptoms, physical signs, </w:t>
      </w:r>
      <w:proofErr w:type="gramStart"/>
      <w:r w:rsidRPr="002F4B81">
        <w:rPr>
          <w:rFonts w:ascii="Calibri" w:eastAsia="Times New Roman" w:hAnsi="Calibri" w:cs="Times New Roman"/>
        </w:rPr>
        <w:t>urinalysis</w:t>
      </w:r>
      <w:proofErr w:type="gramEnd"/>
      <w:r w:rsidRPr="002F4B81">
        <w:rPr>
          <w:rFonts w:ascii="Calibri" w:eastAsia="Times New Roman" w:hAnsi="Calibri" w:cs="Times New Roman"/>
        </w:rPr>
        <w:t xml:space="preserve"> and laboratory results prior to the diagnosis of a relapse.</w:t>
      </w:r>
    </w:p>
    <w:p w14:paraId="35E42CC3" w14:textId="77777777" w:rsidR="002F4B81" w:rsidRPr="002F4B81" w:rsidRDefault="002F4B81" w:rsidP="002F4B81">
      <w:pPr>
        <w:spacing w:after="0" w:line="240" w:lineRule="auto"/>
        <w:jc w:val="both"/>
        <w:rPr>
          <w:rFonts w:ascii="Calibri" w:eastAsia="Times New Roman" w:hAnsi="Calibri" w:cs="Times New Roman"/>
          <w:szCs w:val="20"/>
        </w:rPr>
      </w:pPr>
    </w:p>
    <w:p w14:paraId="0D95F79B" w14:textId="77777777" w:rsidR="002F4B81" w:rsidRPr="002F4B81" w:rsidRDefault="002F4B81" w:rsidP="002F4B81">
      <w:pPr>
        <w:keepNext/>
        <w:numPr>
          <w:ilvl w:val="1"/>
          <w:numId w:val="0"/>
        </w:numPr>
        <w:tabs>
          <w:tab w:val="num" w:pos="567"/>
        </w:tabs>
        <w:spacing w:after="0" w:line="240" w:lineRule="auto"/>
        <w:ind w:left="567" w:hanging="567"/>
        <w:outlineLvl w:val="1"/>
        <w:rPr>
          <w:rFonts w:ascii="Calibri" w:eastAsia="Times New Roman" w:hAnsi="Calibri" w:cs="Times New Roman"/>
          <w:b/>
          <w:sz w:val="26"/>
          <w:szCs w:val="20"/>
        </w:rPr>
      </w:pPr>
      <w:bookmarkStart w:id="93" w:name="_Toc499302679"/>
      <w:bookmarkStart w:id="94" w:name="_Toc7082740"/>
      <w:bookmarkStart w:id="95" w:name="_Toc83029363"/>
      <w:r w:rsidRPr="002F4B81">
        <w:rPr>
          <w:rFonts w:ascii="Calibri" w:eastAsia="Times New Roman" w:hAnsi="Calibri" w:cs="Times New Roman"/>
          <w:b/>
          <w:sz w:val="26"/>
          <w:szCs w:val="20"/>
        </w:rPr>
        <w:t>Disease Relapse</w:t>
      </w:r>
      <w:bookmarkEnd w:id="93"/>
      <w:bookmarkEnd w:id="94"/>
      <w:bookmarkEnd w:id="95"/>
    </w:p>
    <w:p w14:paraId="4D48A2B7" w14:textId="77777777" w:rsidR="002F4B81" w:rsidRPr="002F4B81" w:rsidRDefault="002F4B81" w:rsidP="002F4B81">
      <w:pPr>
        <w:spacing w:after="0" w:line="240" w:lineRule="auto"/>
        <w:rPr>
          <w:rFonts w:ascii="Tahoma" w:eastAsia="Times New Roman" w:hAnsi="Tahoma" w:cs="Times New Roman"/>
          <w:szCs w:val="20"/>
        </w:rPr>
      </w:pPr>
    </w:p>
    <w:p w14:paraId="7697232A" w14:textId="77777777" w:rsidR="002F4B81" w:rsidRPr="002F4B81" w:rsidRDefault="002F4B81" w:rsidP="002F4B81">
      <w:pPr>
        <w:keepNext/>
        <w:numPr>
          <w:ilvl w:val="2"/>
          <w:numId w:val="34"/>
        </w:numPr>
        <w:spacing w:after="0" w:line="240" w:lineRule="auto"/>
        <w:outlineLvl w:val="1"/>
        <w:rPr>
          <w:rFonts w:ascii="Calibri" w:eastAsia="Times New Roman" w:hAnsi="Calibri" w:cs="Times New Roman"/>
          <w:b/>
          <w:sz w:val="26"/>
          <w:szCs w:val="20"/>
        </w:rPr>
      </w:pPr>
      <w:bookmarkStart w:id="96" w:name="_Toc499302680"/>
      <w:bookmarkStart w:id="97" w:name="_Toc7082741"/>
      <w:bookmarkStart w:id="98" w:name="_Toc83029364"/>
      <w:r w:rsidRPr="002F4B81">
        <w:rPr>
          <w:rFonts w:ascii="Calibri" w:eastAsia="Times New Roman" w:hAnsi="Calibri" w:cs="Times New Roman"/>
          <w:b/>
          <w:sz w:val="26"/>
          <w:szCs w:val="20"/>
          <w:u w:val="single"/>
        </w:rPr>
        <w:t>Definition of disease relapse</w:t>
      </w:r>
      <w:bookmarkEnd w:id="96"/>
      <w:bookmarkEnd w:id="97"/>
      <w:bookmarkEnd w:id="98"/>
    </w:p>
    <w:p w14:paraId="1F2CF68D" w14:textId="77777777" w:rsidR="002F4B81" w:rsidRPr="002F4B81" w:rsidRDefault="002F4B81" w:rsidP="002F4B81">
      <w:pPr>
        <w:spacing w:after="0" w:line="240" w:lineRule="auto"/>
        <w:ind w:left="227"/>
        <w:rPr>
          <w:rFonts w:ascii="Calibri" w:eastAsia="Times New Roman" w:hAnsi="Calibri" w:cs="Times New Roman"/>
          <w:szCs w:val="20"/>
        </w:rPr>
      </w:pPr>
      <w:r w:rsidRPr="002F4B81">
        <w:rPr>
          <w:rFonts w:ascii="Calibri" w:eastAsia="Times New Roman" w:hAnsi="Calibri" w:cs="Times New Roman"/>
          <w:szCs w:val="20"/>
        </w:rPr>
        <w:t>A relapse in aHUS after withdrawal of Eculizumab will be diagnosed by:</w:t>
      </w:r>
    </w:p>
    <w:p w14:paraId="1AFB2F1B" w14:textId="77777777" w:rsidR="002F4B81" w:rsidRPr="002F4B81" w:rsidRDefault="002F4B81" w:rsidP="002F4B81">
      <w:pPr>
        <w:spacing w:after="0" w:line="240" w:lineRule="auto"/>
        <w:ind w:left="227"/>
        <w:rPr>
          <w:rFonts w:ascii="Calibri" w:eastAsia="Times New Roman" w:hAnsi="Calibri" w:cs="Times New Roman"/>
          <w:szCs w:val="20"/>
        </w:rPr>
      </w:pPr>
      <w:r w:rsidRPr="002F4B81">
        <w:rPr>
          <w:rFonts w:ascii="Calibri" w:eastAsia="Times New Roman" w:hAnsi="Calibri" w:cs="Times New Roman"/>
          <w:szCs w:val="20"/>
        </w:rPr>
        <w:t>1.          Haematological relapse with a MAHA evidenced by the presence of the following criteria:</w:t>
      </w:r>
    </w:p>
    <w:p w14:paraId="314AD4E8" w14:textId="77777777" w:rsidR="002F4B81" w:rsidRPr="002F4B81" w:rsidRDefault="002F4B81" w:rsidP="002F4B81">
      <w:pPr>
        <w:spacing w:after="0" w:line="240" w:lineRule="auto"/>
        <w:ind w:left="459"/>
        <w:rPr>
          <w:rFonts w:ascii="Calibri" w:eastAsia="Times New Roman" w:hAnsi="Calibri" w:cs="Times New Roman"/>
          <w:szCs w:val="20"/>
        </w:rPr>
      </w:pPr>
      <w:r w:rsidRPr="002F4B81">
        <w:rPr>
          <w:rFonts w:ascii="Calibri" w:eastAsia="Times New Roman" w:hAnsi="Calibri" w:cs="Times New Roman"/>
          <w:szCs w:val="20"/>
        </w:rPr>
        <w:t xml:space="preserve">a.    </w:t>
      </w:r>
      <w:r w:rsidRPr="002F4B81">
        <w:rPr>
          <w:rFonts w:ascii="Calibri" w:eastAsia="Times New Roman" w:hAnsi="Calibri" w:cs="Times New Roman"/>
          <w:szCs w:val="20"/>
        </w:rPr>
        <w:tab/>
        <w:t>Platelet count of &lt;150 x 109 /l (if normal at screening) or a fall in platelet count by &gt;50% from screening</w:t>
      </w:r>
    </w:p>
    <w:p w14:paraId="1ED6A7AB" w14:textId="77777777" w:rsidR="002F4B81" w:rsidRPr="002F4B81" w:rsidRDefault="002F4B81" w:rsidP="002F4B81">
      <w:pPr>
        <w:spacing w:after="0" w:line="240" w:lineRule="auto"/>
        <w:ind w:left="459"/>
        <w:rPr>
          <w:rFonts w:ascii="Calibri" w:eastAsia="Times New Roman" w:hAnsi="Calibri" w:cs="Times New Roman"/>
          <w:szCs w:val="20"/>
        </w:rPr>
      </w:pPr>
      <w:r w:rsidRPr="002F4B81">
        <w:rPr>
          <w:rFonts w:ascii="Calibri" w:eastAsia="Times New Roman" w:hAnsi="Calibri" w:cs="Times New Roman"/>
          <w:szCs w:val="20"/>
        </w:rPr>
        <w:t>b.   An increase in LDH by &gt;50% above screening or haemoglobin &lt; lower limit of normal for age and gender</w:t>
      </w:r>
    </w:p>
    <w:p w14:paraId="2BEB075D" w14:textId="77777777" w:rsidR="002F4B81" w:rsidRPr="002F4B81" w:rsidRDefault="002F4B81" w:rsidP="002F4B81">
      <w:pPr>
        <w:spacing w:after="0" w:line="240" w:lineRule="auto"/>
        <w:ind w:left="227"/>
        <w:rPr>
          <w:rFonts w:ascii="Calibri" w:eastAsia="Times New Roman" w:hAnsi="Calibri" w:cs="Times New Roman"/>
          <w:szCs w:val="20"/>
        </w:rPr>
      </w:pPr>
      <w:r w:rsidRPr="002F4B81">
        <w:rPr>
          <w:rFonts w:ascii="Calibri" w:eastAsia="Times New Roman" w:hAnsi="Calibri" w:cs="Times New Roman"/>
          <w:szCs w:val="20"/>
        </w:rPr>
        <w:t>OR</w:t>
      </w:r>
    </w:p>
    <w:p w14:paraId="7286561F" w14:textId="77777777" w:rsidR="002F4B81" w:rsidRPr="002F4B81" w:rsidRDefault="002F4B81" w:rsidP="002F4B81">
      <w:pPr>
        <w:spacing w:after="0" w:line="240" w:lineRule="auto"/>
        <w:ind w:left="227"/>
        <w:rPr>
          <w:rFonts w:ascii="Calibri" w:eastAsia="Times New Roman" w:hAnsi="Calibri" w:cs="Times New Roman"/>
          <w:szCs w:val="20"/>
        </w:rPr>
      </w:pPr>
      <w:r w:rsidRPr="002F4B81">
        <w:rPr>
          <w:rFonts w:ascii="Calibri" w:eastAsia="Times New Roman" w:hAnsi="Calibri" w:cs="Times New Roman"/>
          <w:szCs w:val="20"/>
        </w:rPr>
        <w:t>2.          The presence of renal disease manifest by a decline in renal function (Acute Kidney Injury Network stage 1 AKI) confirmed on repeat testing after 6 hours) that is not explained by another pathology</w:t>
      </w:r>
    </w:p>
    <w:p w14:paraId="26A2CD36" w14:textId="77777777" w:rsidR="002F4B81" w:rsidRPr="002F4B81" w:rsidRDefault="002F4B81" w:rsidP="002F4B81">
      <w:pPr>
        <w:spacing w:after="0" w:line="240" w:lineRule="auto"/>
        <w:ind w:left="227"/>
        <w:rPr>
          <w:rFonts w:ascii="Calibri" w:eastAsia="Times New Roman" w:hAnsi="Calibri" w:cs="Times New Roman"/>
          <w:szCs w:val="20"/>
        </w:rPr>
      </w:pPr>
      <w:r w:rsidRPr="002F4B81">
        <w:rPr>
          <w:rFonts w:ascii="Calibri" w:eastAsia="Times New Roman" w:hAnsi="Calibri" w:cs="Times New Roman"/>
          <w:szCs w:val="20"/>
        </w:rPr>
        <w:t>OR</w:t>
      </w:r>
    </w:p>
    <w:p w14:paraId="4EA76476" w14:textId="77777777" w:rsidR="002F4B81" w:rsidRPr="002F4B81" w:rsidRDefault="002F4B81" w:rsidP="002F4B81">
      <w:pPr>
        <w:spacing w:after="0" w:line="240" w:lineRule="auto"/>
        <w:ind w:left="227"/>
        <w:rPr>
          <w:rFonts w:ascii="Calibri" w:eastAsia="Times New Roman" w:hAnsi="Calibri" w:cs="Times New Roman"/>
          <w:szCs w:val="20"/>
        </w:rPr>
      </w:pPr>
      <w:r w:rsidRPr="002F4B81">
        <w:rPr>
          <w:rFonts w:ascii="Calibri" w:eastAsia="Times New Roman" w:hAnsi="Calibri" w:cs="Times New Roman"/>
          <w:szCs w:val="20"/>
        </w:rPr>
        <w:t>3.          The presence of histological features of an active TMA on tissue biopsy performed as per local protocols for the investigation of renal disease.</w:t>
      </w:r>
    </w:p>
    <w:p w14:paraId="06C5E687" w14:textId="77777777" w:rsidR="002F4B81" w:rsidRPr="002F4B81" w:rsidRDefault="002F4B81" w:rsidP="002F4B81">
      <w:pPr>
        <w:spacing w:after="0" w:line="240" w:lineRule="auto"/>
        <w:ind w:left="227"/>
        <w:jc w:val="both"/>
        <w:rPr>
          <w:rFonts w:ascii="Calibri" w:eastAsia="Times New Roman" w:hAnsi="Calibri" w:cs="Times New Roman"/>
          <w:szCs w:val="20"/>
        </w:rPr>
      </w:pPr>
    </w:p>
    <w:p w14:paraId="71296C7B" w14:textId="77777777" w:rsidR="002F4B81" w:rsidRPr="002F4B81" w:rsidRDefault="002F4B81" w:rsidP="002F4B81">
      <w:pPr>
        <w:spacing w:after="0" w:line="240" w:lineRule="auto"/>
        <w:ind w:left="227"/>
        <w:jc w:val="both"/>
        <w:rPr>
          <w:rFonts w:ascii="Calibri" w:eastAsia="Times New Roman" w:hAnsi="Calibri" w:cs="Times New Roman"/>
          <w:szCs w:val="20"/>
        </w:rPr>
      </w:pPr>
      <w:r w:rsidRPr="002F4B81">
        <w:rPr>
          <w:rFonts w:ascii="Calibri" w:eastAsia="Times New Roman" w:hAnsi="Calibri" w:cs="Times New Roman"/>
          <w:szCs w:val="20"/>
        </w:rPr>
        <w:t xml:space="preserve">Any other adverse events that could represent a relapse should be discussed with the Investigators and/or the aHUS National Service. There is a </w:t>
      </w:r>
      <w:proofErr w:type="gramStart"/>
      <w:r w:rsidRPr="002F4B81">
        <w:rPr>
          <w:rFonts w:ascii="Calibri" w:eastAsia="Times New Roman" w:hAnsi="Calibri" w:cs="Times New Roman"/>
          <w:szCs w:val="20"/>
        </w:rPr>
        <w:t>Consultant</w:t>
      </w:r>
      <w:proofErr w:type="gramEnd"/>
      <w:r w:rsidRPr="002F4B81">
        <w:rPr>
          <w:rFonts w:ascii="Calibri" w:eastAsia="Times New Roman" w:hAnsi="Calibri" w:cs="Times New Roman"/>
          <w:szCs w:val="20"/>
        </w:rPr>
        <w:t xml:space="preserve"> physician on call for the aHUS National Service at all times who should be informed by the responsible physician of any case where there is diagnostic uncertainty. A decision to restart will be made according to current Service procedures, requiring a consensus opinion from the consultant staff following review of the available clinical information.</w:t>
      </w:r>
    </w:p>
    <w:p w14:paraId="5D33A7AA" w14:textId="77777777" w:rsidR="002F4B81" w:rsidRPr="002F4B81" w:rsidRDefault="002F4B81" w:rsidP="002F4B81">
      <w:pPr>
        <w:spacing w:after="0" w:line="240" w:lineRule="auto"/>
        <w:jc w:val="both"/>
        <w:rPr>
          <w:rFonts w:ascii="Calibri" w:eastAsia="Times New Roman" w:hAnsi="Calibri" w:cs="Times New Roman"/>
          <w:szCs w:val="20"/>
        </w:rPr>
      </w:pPr>
    </w:p>
    <w:p w14:paraId="21B3FDB3" w14:textId="77777777" w:rsidR="002F4B81" w:rsidRPr="002F4B81" w:rsidRDefault="002F4B81" w:rsidP="002F4B81">
      <w:pPr>
        <w:keepNext/>
        <w:tabs>
          <w:tab w:val="num" w:pos="567"/>
        </w:tabs>
        <w:spacing w:after="0" w:line="360" w:lineRule="auto"/>
        <w:ind w:left="567" w:right="-154" w:hanging="567"/>
        <w:outlineLvl w:val="0"/>
        <w:rPr>
          <w:rFonts w:ascii="Calibri" w:eastAsia="Times New Roman" w:hAnsi="Calibri" w:cs="Times New Roman"/>
          <w:b/>
          <w:caps/>
          <w:sz w:val="36"/>
          <w:szCs w:val="20"/>
        </w:rPr>
      </w:pPr>
      <w:bookmarkStart w:id="99" w:name="_Toc7082742"/>
      <w:bookmarkStart w:id="100" w:name="_Toc83029365"/>
      <w:r w:rsidRPr="002F4B81">
        <w:rPr>
          <w:rFonts w:ascii="Calibri" w:eastAsia="Times New Roman" w:hAnsi="Calibri" w:cs="Times New Roman"/>
          <w:b/>
          <w:caps/>
          <w:sz w:val="36"/>
          <w:szCs w:val="20"/>
        </w:rPr>
        <w:t>Statistical analyses</w:t>
      </w:r>
      <w:bookmarkEnd w:id="99"/>
      <w:bookmarkEnd w:id="100"/>
    </w:p>
    <w:p w14:paraId="111886CF" w14:textId="77777777" w:rsidR="002F4B81" w:rsidRPr="002F4B81" w:rsidRDefault="002F4B81" w:rsidP="002F4B81">
      <w:pPr>
        <w:keepNext/>
        <w:numPr>
          <w:ilvl w:val="1"/>
          <w:numId w:val="0"/>
        </w:numPr>
        <w:tabs>
          <w:tab w:val="num" w:pos="567"/>
        </w:tabs>
        <w:spacing w:after="0" w:line="240" w:lineRule="auto"/>
        <w:ind w:left="567" w:hanging="567"/>
        <w:outlineLvl w:val="1"/>
        <w:rPr>
          <w:rFonts w:ascii="Calibri" w:eastAsia="Times New Roman" w:hAnsi="Calibri" w:cs="Times New Roman"/>
          <w:b/>
          <w:sz w:val="26"/>
          <w:szCs w:val="20"/>
        </w:rPr>
      </w:pPr>
      <w:bookmarkStart w:id="101" w:name="_Toc7082743"/>
      <w:bookmarkStart w:id="102" w:name="_Toc83029366"/>
      <w:r w:rsidRPr="002F4B81">
        <w:rPr>
          <w:rFonts w:ascii="Tahoma" w:eastAsia="Times New Roman" w:hAnsi="Tahoma" w:cs="Times New Roman"/>
          <w:b/>
          <w:sz w:val="26"/>
          <w:szCs w:val="20"/>
        </w:rPr>
        <w:t>Sample size calculation and clinically important difference</w:t>
      </w:r>
      <w:bookmarkEnd w:id="101"/>
      <w:bookmarkEnd w:id="102"/>
    </w:p>
    <w:p w14:paraId="74F87150" w14:textId="77777777" w:rsidR="002F4B81" w:rsidRPr="002F4B81" w:rsidRDefault="002F4B81" w:rsidP="002F4B81">
      <w:pPr>
        <w:spacing w:before="120" w:after="0" w:line="240" w:lineRule="auto"/>
        <w:jc w:val="both"/>
        <w:rPr>
          <w:rFonts w:ascii="Calibri" w:eastAsia="Times New Roman" w:hAnsi="Calibri" w:cs="Arial"/>
        </w:rPr>
      </w:pPr>
      <w:bookmarkStart w:id="103" w:name="_Toc499290031"/>
      <w:r w:rsidRPr="002F4B81">
        <w:rPr>
          <w:rFonts w:ascii="Calibri" w:eastAsia="Times New Roman" w:hAnsi="Calibri" w:cs="Times New Roman"/>
          <w:szCs w:val="20"/>
        </w:rPr>
        <w:t xml:space="preserve">A maximum of 30 patients will be recruited to the withdrawal study; this is judged to be a feasible level of recruitment in a reasonable timeframe given the rare nature of the disease. The specifics of this sample size are intrinsically linked to the analysis methodology of the primary outcome measure and as such the justification is included in the protocol (section 11.2.1). There is no allowance for loss </w:t>
      </w:r>
      <w:r w:rsidRPr="002F4B81">
        <w:rPr>
          <w:rFonts w:ascii="Calibri" w:eastAsia="Times New Roman" w:hAnsi="Calibri" w:cs="Times New Roman"/>
          <w:szCs w:val="20"/>
        </w:rPr>
        <w:lastRenderedPageBreak/>
        <w:t>to follow-up as this patient group is already subject to a high degree of clinical follow-up and death is defined as one of the serious events under consideration</w:t>
      </w:r>
      <w:r w:rsidRPr="002F4B81">
        <w:rPr>
          <w:rFonts w:ascii="Calibri" w:eastAsia="Times New Roman" w:hAnsi="Calibri" w:cs="TimesNewRomanPSMT"/>
          <w:szCs w:val="20"/>
        </w:rPr>
        <w:t>.</w:t>
      </w:r>
      <w:bookmarkEnd w:id="103"/>
    </w:p>
    <w:p w14:paraId="7A1FFA27" w14:textId="77777777" w:rsidR="002F4B81" w:rsidRPr="002F4B81" w:rsidRDefault="002F4B81" w:rsidP="002F4B81">
      <w:pPr>
        <w:spacing w:after="0" w:line="276" w:lineRule="auto"/>
        <w:jc w:val="both"/>
        <w:rPr>
          <w:rFonts w:ascii="Calibri" w:eastAsia="Times New Roman" w:hAnsi="Calibri" w:cs="Arial"/>
        </w:rPr>
      </w:pPr>
    </w:p>
    <w:p w14:paraId="37CCA02E" w14:textId="77777777" w:rsidR="002F4B81" w:rsidRPr="002F4B81" w:rsidRDefault="002F4B81" w:rsidP="002F4B81">
      <w:pPr>
        <w:numPr>
          <w:ilvl w:val="1"/>
          <w:numId w:val="0"/>
        </w:numPr>
        <w:tabs>
          <w:tab w:val="num" w:pos="567"/>
        </w:tabs>
        <w:spacing w:before="120" w:after="0" w:line="240" w:lineRule="auto"/>
        <w:ind w:right="-154"/>
        <w:outlineLvl w:val="1"/>
        <w:rPr>
          <w:rFonts w:ascii="Calibri" w:eastAsia="Times New Roman" w:hAnsi="Calibri" w:cs="Times New Roman"/>
          <w:b/>
          <w:sz w:val="26"/>
          <w:szCs w:val="20"/>
        </w:rPr>
      </w:pPr>
      <w:bookmarkStart w:id="104" w:name="_Toc7082744"/>
      <w:bookmarkStart w:id="105" w:name="_Toc83029367"/>
      <w:r w:rsidRPr="002F4B81">
        <w:rPr>
          <w:rFonts w:ascii="Calibri" w:eastAsia="Times New Roman" w:hAnsi="Calibri" w:cs="Times New Roman"/>
          <w:b/>
          <w:sz w:val="26"/>
          <w:szCs w:val="20"/>
        </w:rPr>
        <w:t>Missing data</w:t>
      </w:r>
      <w:bookmarkStart w:id="106" w:name="_Toc72221693"/>
      <w:bookmarkEnd w:id="104"/>
      <w:bookmarkEnd w:id="105"/>
    </w:p>
    <w:p w14:paraId="4029E1D9" w14:textId="77777777" w:rsidR="002F4B81" w:rsidRPr="002F4B81" w:rsidRDefault="002F4B81" w:rsidP="002F4B81">
      <w:pPr>
        <w:spacing w:before="120" w:after="0" w:line="240" w:lineRule="auto"/>
        <w:jc w:val="both"/>
        <w:rPr>
          <w:rFonts w:ascii="Calibri" w:eastAsia="Times New Roman" w:hAnsi="Calibri" w:cs="Arial"/>
          <w:szCs w:val="20"/>
          <w:highlight w:val="yellow"/>
        </w:rPr>
      </w:pPr>
      <w:r w:rsidRPr="002F4B81">
        <w:rPr>
          <w:rFonts w:ascii="Calibri" w:eastAsia="Times New Roman" w:hAnsi="Calibri" w:cs="Arial"/>
          <w:szCs w:val="20"/>
        </w:rPr>
        <w:t>As a result of our intended sample size and trial design, we do not propose the use of any imputation techniques. We will report the number (percentage) of missing data for all variables.</w:t>
      </w:r>
    </w:p>
    <w:p w14:paraId="21CA1335" w14:textId="77777777" w:rsidR="002F4B81" w:rsidRPr="002F4B81" w:rsidRDefault="002F4B81" w:rsidP="002F4B81">
      <w:pPr>
        <w:keepNext/>
        <w:spacing w:after="0" w:line="240" w:lineRule="auto"/>
        <w:ind w:left="567"/>
        <w:outlineLvl w:val="1"/>
        <w:rPr>
          <w:rFonts w:ascii="Tahoma" w:eastAsia="Times New Roman" w:hAnsi="Tahoma" w:cs="Times New Roman"/>
          <w:b/>
          <w:sz w:val="26"/>
          <w:szCs w:val="20"/>
        </w:rPr>
      </w:pPr>
    </w:p>
    <w:p w14:paraId="604F95C5" w14:textId="77777777" w:rsidR="002F4B81" w:rsidRPr="002F4B81" w:rsidRDefault="002F4B81" w:rsidP="002F4B81">
      <w:pPr>
        <w:keepNext/>
        <w:numPr>
          <w:ilvl w:val="1"/>
          <w:numId w:val="0"/>
        </w:numPr>
        <w:tabs>
          <w:tab w:val="num" w:pos="567"/>
        </w:tabs>
        <w:spacing w:after="0" w:line="240" w:lineRule="auto"/>
        <w:ind w:left="567" w:hanging="567"/>
        <w:outlineLvl w:val="1"/>
        <w:rPr>
          <w:rFonts w:ascii="Tahoma" w:eastAsia="Times New Roman" w:hAnsi="Tahoma" w:cs="Times New Roman"/>
          <w:b/>
          <w:sz w:val="26"/>
          <w:szCs w:val="20"/>
        </w:rPr>
      </w:pPr>
      <w:bookmarkStart w:id="107" w:name="_Toc7082745"/>
      <w:bookmarkStart w:id="108" w:name="_Toc83029368"/>
      <w:r w:rsidRPr="002F4B81">
        <w:rPr>
          <w:rFonts w:ascii="Tahoma" w:eastAsia="Times New Roman" w:hAnsi="Tahoma" w:cs="Times New Roman"/>
          <w:b/>
          <w:sz w:val="26"/>
          <w:szCs w:val="20"/>
        </w:rPr>
        <w:t>Descriptive Analyses</w:t>
      </w:r>
      <w:bookmarkEnd w:id="107"/>
      <w:bookmarkEnd w:id="108"/>
    </w:p>
    <w:p w14:paraId="68318546" w14:textId="77777777" w:rsidR="002F4B81" w:rsidRPr="002F4B81" w:rsidRDefault="002F4B81" w:rsidP="002F4B81">
      <w:pPr>
        <w:spacing w:before="120" w:after="0" w:line="240" w:lineRule="auto"/>
        <w:jc w:val="both"/>
        <w:rPr>
          <w:rFonts w:ascii="Calibri" w:eastAsia="Times New Roman" w:hAnsi="Calibri" w:cs="Times New Roman"/>
          <w:szCs w:val="20"/>
        </w:rPr>
      </w:pPr>
      <w:r w:rsidRPr="002F4B81">
        <w:rPr>
          <w:rFonts w:ascii="Calibri" w:eastAsia="Times New Roman" w:hAnsi="Calibri" w:cs="Times New Roman"/>
          <w:szCs w:val="20"/>
        </w:rPr>
        <w:t>Descriptive analysis of the study population will be summarised for each randomised group and will include:</w:t>
      </w:r>
    </w:p>
    <w:p w14:paraId="4ED2BF0C" w14:textId="77777777" w:rsidR="002F4B81" w:rsidRPr="002F4B81" w:rsidRDefault="002F4B81" w:rsidP="002F4B81">
      <w:pPr>
        <w:numPr>
          <w:ilvl w:val="0"/>
          <w:numId w:val="35"/>
        </w:numPr>
        <w:spacing w:before="120" w:after="0" w:line="240" w:lineRule="auto"/>
        <w:jc w:val="both"/>
        <w:rPr>
          <w:rFonts w:ascii="Calibri" w:eastAsia="Times New Roman" w:hAnsi="Calibri" w:cs="Times New Roman"/>
          <w:szCs w:val="20"/>
        </w:rPr>
      </w:pPr>
      <w:r w:rsidRPr="002F4B81">
        <w:rPr>
          <w:rFonts w:ascii="Calibri" w:eastAsia="Times New Roman" w:hAnsi="Calibri" w:cs="Times New Roman"/>
          <w:szCs w:val="20"/>
        </w:rPr>
        <w:t>Baseline patient characteristics (section 4.1)</w:t>
      </w:r>
    </w:p>
    <w:p w14:paraId="05F8096D" w14:textId="77777777" w:rsidR="002F4B81" w:rsidRPr="002F4B81" w:rsidRDefault="002F4B81" w:rsidP="002F4B81">
      <w:pPr>
        <w:numPr>
          <w:ilvl w:val="0"/>
          <w:numId w:val="35"/>
        </w:numPr>
        <w:spacing w:before="120" w:after="0" w:line="240" w:lineRule="auto"/>
        <w:jc w:val="both"/>
        <w:rPr>
          <w:rFonts w:ascii="Calibri" w:eastAsia="Times New Roman" w:hAnsi="Calibri" w:cs="Times New Roman"/>
          <w:szCs w:val="20"/>
        </w:rPr>
      </w:pPr>
      <w:r w:rsidRPr="002F4B81">
        <w:rPr>
          <w:rFonts w:ascii="Calibri" w:eastAsia="Times New Roman" w:hAnsi="Calibri" w:cs="Times New Roman"/>
          <w:szCs w:val="20"/>
        </w:rPr>
        <w:t>Adverse event safety outcomes</w:t>
      </w:r>
    </w:p>
    <w:p w14:paraId="178E5AD0" w14:textId="77777777" w:rsidR="002F4B81" w:rsidRPr="002F4B81" w:rsidRDefault="002F4B81" w:rsidP="002F4B81">
      <w:pPr>
        <w:numPr>
          <w:ilvl w:val="0"/>
          <w:numId w:val="35"/>
        </w:numPr>
        <w:spacing w:before="120" w:after="0" w:line="240" w:lineRule="auto"/>
        <w:jc w:val="both"/>
        <w:rPr>
          <w:rFonts w:ascii="Calibri" w:eastAsia="Times New Roman" w:hAnsi="Calibri" w:cs="Times New Roman"/>
          <w:szCs w:val="20"/>
        </w:rPr>
      </w:pPr>
      <w:r w:rsidRPr="002F4B81">
        <w:rPr>
          <w:rFonts w:ascii="Calibri" w:eastAsia="Times New Roman" w:hAnsi="Calibri" w:cs="Times New Roman"/>
          <w:szCs w:val="20"/>
        </w:rPr>
        <w:t>All primary and secondary outcomes (section 8)</w:t>
      </w:r>
    </w:p>
    <w:p w14:paraId="4B3EAA97" w14:textId="77777777" w:rsidR="002F4B81" w:rsidRPr="002F4B81" w:rsidRDefault="002F4B81" w:rsidP="002F4B81">
      <w:pPr>
        <w:spacing w:before="120" w:after="0" w:line="240" w:lineRule="auto"/>
        <w:jc w:val="both"/>
        <w:rPr>
          <w:rFonts w:ascii="Calibri" w:eastAsia="Times New Roman" w:hAnsi="Calibri" w:cs="Times New Roman"/>
          <w:lang w:eastAsia="en-GB"/>
        </w:rPr>
      </w:pPr>
      <w:r w:rsidRPr="002F4B81">
        <w:rPr>
          <w:rFonts w:ascii="Calibri" w:eastAsia="Times New Roman" w:hAnsi="Calibri" w:cs="Times New Roman"/>
          <w:snapToGrid w:val="0"/>
        </w:rPr>
        <w:t>For dichotomous (binary) outcomes (</w:t>
      </w:r>
      <w:proofErr w:type="gramStart"/>
      <w:r w:rsidRPr="002F4B81">
        <w:rPr>
          <w:rFonts w:ascii="Calibri" w:eastAsia="Times New Roman" w:hAnsi="Calibri" w:cs="Times New Roman"/>
          <w:snapToGrid w:val="0"/>
        </w:rPr>
        <w:t>e.g.</w:t>
      </w:r>
      <w:proofErr w:type="gramEnd"/>
      <w:r w:rsidRPr="002F4B81">
        <w:rPr>
          <w:rFonts w:ascii="Calibri" w:eastAsia="Times New Roman" w:hAnsi="Calibri" w:cs="Times New Roman"/>
          <w:snapToGrid w:val="0"/>
        </w:rPr>
        <w:t xml:space="preserve"> </w:t>
      </w:r>
      <w:r w:rsidRPr="002F4B81">
        <w:rPr>
          <w:rFonts w:ascii="Calibri" w:eastAsia="Times New Roman" w:hAnsi="Calibri" w:cs="Times New Roman"/>
          <w:szCs w:val="20"/>
        </w:rPr>
        <w:t>episode of AKI</w:t>
      </w:r>
      <w:r w:rsidRPr="002F4B81">
        <w:rPr>
          <w:rFonts w:ascii="Calibri" w:eastAsia="Times New Roman" w:hAnsi="Calibri" w:cs="Times New Roman"/>
        </w:rPr>
        <w:t>), w</w:t>
      </w:r>
      <w:r w:rsidRPr="002F4B81">
        <w:rPr>
          <w:rFonts w:ascii="Calibri" w:eastAsia="Times New Roman" w:hAnsi="Calibri" w:cs="Times New Roman"/>
          <w:lang w:eastAsia="en-GB"/>
        </w:rPr>
        <w:t>e will extract the number of patients in the intervention arm who experienced the outcome of interest and the number of patients assessed at each reported time point and report percentages.</w:t>
      </w:r>
    </w:p>
    <w:p w14:paraId="3E233234" w14:textId="77777777" w:rsidR="002F4B81" w:rsidRPr="002F4B81" w:rsidRDefault="002F4B81" w:rsidP="002F4B81">
      <w:pPr>
        <w:spacing w:before="120" w:after="0" w:line="240" w:lineRule="auto"/>
        <w:ind w:right="-154"/>
        <w:jc w:val="both"/>
        <w:rPr>
          <w:rFonts w:ascii="Calibri" w:eastAsia="Times New Roman" w:hAnsi="Calibri" w:cs="Times New Roman"/>
          <w:snapToGrid w:val="0"/>
          <w:szCs w:val="20"/>
        </w:rPr>
      </w:pPr>
      <w:r w:rsidRPr="002F4B81">
        <w:rPr>
          <w:rFonts w:ascii="Calibri" w:eastAsia="Times New Roman" w:hAnsi="Calibri" w:cs="Times New Roman"/>
          <w:snapToGrid w:val="0"/>
          <w:szCs w:val="20"/>
        </w:rPr>
        <w:t>For continuous outcomes (</w:t>
      </w:r>
      <w:proofErr w:type="gramStart"/>
      <w:r w:rsidRPr="002F4B81">
        <w:rPr>
          <w:rFonts w:ascii="Calibri" w:eastAsia="Times New Roman" w:hAnsi="Calibri" w:cs="Times New Roman"/>
          <w:snapToGrid w:val="0"/>
          <w:szCs w:val="20"/>
        </w:rPr>
        <w:t>e.g.</w:t>
      </w:r>
      <w:proofErr w:type="gramEnd"/>
      <w:r w:rsidRPr="002F4B81">
        <w:rPr>
          <w:rFonts w:ascii="Calibri" w:eastAsia="Times New Roman" w:hAnsi="Calibri" w:cs="Times New Roman"/>
          <w:szCs w:val="20"/>
        </w:rPr>
        <w:t xml:space="preserve"> change in estimated GFR)</w:t>
      </w:r>
      <w:r w:rsidRPr="002F4B81">
        <w:rPr>
          <w:rFonts w:ascii="Calibri" w:eastAsia="Times New Roman" w:hAnsi="Calibri" w:cs="Times New Roman"/>
          <w:snapToGrid w:val="0"/>
          <w:szCs w:val="20"/>
        </w:rPr>
        <w:t xml:space="preserve">, the mean (SD) and range (or median and IQR as appropriate) will be recorded at each reported time point. </w:t>
      </w:r>
    </w:p>
    <w:p w14:paraId="6749DC70" w14:textId="77777777" w:rsidR="002F4B81" w:rsidRPr="002F4B81" w:rsidRDefault="002F4B81" w:rsidP="002F4B81">
      <w:pPr>
        <w:spacing w:before="120" w:after="0" w:line="240" w:lineRule="auto"/>
        <w:ind w:right="-154"/>
        <w:jc w:val="both"/>
        <w:rPr>
          <w:rFonts w:ascii="Calibri" w:eastAsia="Times New Roman" w:hAnsi="Calibri" w:cs="Times New Roman"/>
          <w:szCs w:val="20"/>
        </w:rPr>
      </w:pPr>
      <w:r w:rsidRPr="002F4B81">
        <w:rPr>
          <w:rFonts w:ascii="Calibri" w:eastAsia="Times New Roman" w:hAnsi="Calibri" w:cs="Times New Roman"/>
        </w:rPr>
        <w:t>Time-to-event outcomes</w:t>
      </w:r>
      <w:r w:rsidRPr="002F4B81">
        <w:rPr>
          <w:rFonts w:ascii="Calibri" w:eastAsia="Times New Roman" w:hAnsi="Calibri" w:cs="Times New Roman"/>
          <w:szCs w:val="20"/>
        </w:rPr>
        <w:t xml:space="preserve"> (Time to relapse) will be reported as the time in months from first treatment to date of observed event. This will be summarised using median survival.</w:t>
      </w:r>
    </w:p>
    <w:p w14:paraId="179AB5F1" w14:textId="77777777" w:rsidR="002F4B81" w:rsidRPr="002F4B81" w:rsidRDefault="002F4B81" w:rsidP="002F4B81">
      <w:pPr>
        <w:spacing w:before="120" w:after="0" w:line="240" w:lineRule="auto"/>
        <w:ind w:right="-154"/>
        <w:jc w:val="both"/>
        <w:rPr>
          <w:rFonts w:ascii="Calibri" w:eastAsia="Times New Roman" w:hAnsi="Calibri" w:cs="Times New Roman"/>
          <w:szCs w:val="20"/>
        </w:rPr>
      </w:pPr>
    </w:p>
    <w:p w14:paraId="25429EB1" w14:textId="77777777" w:rsidR="002F4B81" w:rsidRPr="002F4B81" w:rsidRDefault="002F4B81" w:rsidP="002F4B81">
      <w:pPr>
        <w:keepNext/>
        <w:numPr>
          <w:ilvl w:val="1"/>
          <w:numId w:val="0"/>
        </w:numPr>
        <w:tabs>
          <w:tab w:val="num" w:pos="567"/>
        </w:tabs>
        <w:spacing w:after="0" w:line="240" w:lineRule="auto"/>
        <w:ind w:left="567" w:hanging="567"/>
        <w:outlineLvl w:val="1"/>
        <w:rPr>
          <w:rFonts w:ascii="Tahoma" w:eastAsia="Times New Roman" w:hAnsi="Tahoma" w:cs="Times New Roman"/>
          <w:b/>
          <w:sz w:val="26"/>
          <w:szCs w:val="20"/>
        </w:rPr>
      </w:pPr>
      <w:bookmarkStart w:id="109" w:name="_Toc499302710"/>
      <w:bookmarkStart w:id="110" w:name="_Toc7082746"/>
      <w:bookmarkStart w:id="111" w:name="_Toc83029369"/>
      <w:r w:rsidRPr="002F4B81">
        <w:rPr>
          <w:rFonts w:ascii="Calibri" w:eastAsia="Times New Roman" w:hAnsi="Calibri" w:cs="Times New Roman"/>
          <w:b/>
          <w:sz w:val="26"/>
          <w:szCs w:val="20"/>
        </w:rPr>
        <w:t>Analysis of the Primary Outcome Measure</w:t>
      </w:r>
      <w:bookmarkEnd w:id="109"/>
      <w:bookmarkEnd w:id="110"/>
      <w:bookmarkEnd w:id="111"/>
    </w:p>
    <w:p w14:paraId="07CEB25D"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lang w:val="en-US"/>
        </w:rPr>
        <w:t>This is a single arm, open label trial with the primary endpoint being a binary response (the presence/absence of a primary outcome event (TMA related SAEs as defined in section 3.3 of the protocol) within the follow-up period). We will compare the rate of TMA related serious AEs following the withdrawal of medication in the study to that of expected, potentially treatment related serious AEs under standard care</w:t>
      </w:r>
      <w:r w:rsidRPr="002F4B81">
        <w:rPr>
          <w:rFonts w:ascii="Calibri" w:eastAsia="Times New Roman" w:hAnsi="Calibri" w:cs="Times New Roman"/>
          <w:szCs w:val="20"/>
        </w:rPr>
        <w:t>.  A maximum of 30 patients will be recruited; this is judged to be a feasible level of recruitment in a reasonable timeframe given the rare nature of the disease. There is no allowance for loss to follow-up as this patient group is already subject to a high degree of clinical follow-up and death is defined as one of the serious events under consideration.</w:t>
      </w:r>
    </w:p>
    <w:p w14:paraId="1F9D46E5" w14:textId="77777777" w:rsidR="002F4B81" w:rsidRPr="002F4B81" w:rsidRDefault="002F4B81" w:rsidP="002F4B81">
      <w:pPr>
        <w:spacing w:after="0" w:line="240" w:lineRule="auto"/>
        <w:jc w:val="both"/>
        <w:rPr>
          <w:rFonts w:ascii="Calibri" w:eastAsia="Times New Roman" w:hAnsi="Calibri" w:cs="Times New Roman"/>
          <w:szCs w:val="20"/>
          <w:lang w:val="en-US"/>
        </w:rPr>
      </w:pPr>
      <w:r w:rsidRPr="002F4B81">
        <w:rPr>
          <w:rFonts w:ascii="Calibri" w:eastAsia="Times New Roman" w:hAnsi="Calibri" w:cs="Times New Roman"/>
          <w:szCs w:val="20"/>
          <w:lang w:val="en-US"/>
        </w:rPr>
        <w:t xml:space="preserve">The Bayes factor single arm binary model will be used to monitor the trial. Based on historical data, the event rate for the standard of care is 0.06, and we expect that withdrawal of the treatment would give a response rate of 0.12. This choice of an acceptable event rate has been informed in discussion with patients.  Using this Bayesian hypothesis test-based design, we assume the serious event rate is 0.06 under the null hypothesis, and the event rate is 0.12 under the alternative hypothesis. </w:t>
      </w:r>
    </w:p>
    <w:p w14:paraId="6FB58000" w14:textId="77777777" w:rsidR="002F4B81" w:rsidRPr="002F4B81" w:rsidRDefault="002F4B81" w:rsidP="002F4B81">
      <w:pPr>
        <w:spacing w:after="0" w:line="240" w:lineRule="auto"/>
        <w:jc w:val="both"/>
        <w:rPr>
          <w:rFonts w:ascii="Calibri" w:eastAsia="Times New Roman" w:hAnsi="Calibri" w:cs="Times New Roman"/>
          <w:szCs w:val="20"/>
          <w:lang w:val="en-US"/>
        </w:rPr>
      </w:pPr>
      <w:r w:rsidRPr="002F4B81">
        <w:rPr>
          <w:rFonts w:ascii="Calibri" w:eastAsia="Times New Roman" w:hAnsi="Calibri" w:cs="Times New Roman"/>
          <w:szCs w:val="20"/>
          <w:lang w:val="en-US"/>
        </w:rPr>
        <w:t xml:space="preserve">We assume that the sample distribution of number of responses follows a binomial </w:t>
      </w:r>
      <w:proofErr w:type="gramStart"/>
      <w:r w:rsidRPr="002F4B81">
        <w:rPr>
          <w:rFonts w:ascii="Calibri" w:eastAsia="Times New Roman" w:hAnsi="Calibri" w:cs="Times New Roman"/>
          <w:szCs w:val="20"/>
          <w:lang w:val="en-US"/>
        </w:rPr>
        <w:t>distribution, and</w:t>
      </w:r>
      <w:proofErr w:type="gramEnd"/>
      <w:r w:rsidRPr="002F4B81">
        <w:rPr>
          <w:rFonts w:ascii="Calibri" w:eastAsia="Times New Roman" w:hAnsi="Calibri" w:cs="Times New Roman"/>
          <w:szCs w:val="20"/>
          <w:lang w:val="en-US"/>
        </w:rPr>
        <w:t xml:space="preserve"> use an inverse moment prior for response under the alternative hypothesis.</w:t>
      </w:r>
    </w:p>
    <w:p w14:paraId="20FC84C6" w14:textId="77777777" w:rsidR="002F4B81" w:rsidRPr="002F4B81" w:rsidRDefault="002F4B81" w:rsidP="002F4B81">
      <w:pPr>
        <w:spacing w:after="60" w:line="276" w:lineRule="auto"/>
        <w:contextualSpacing/>
        <w:jc w:val="both"/>
        <w:rPr>
          <w:rFonts w:ascii="Calibri" w:eastAsia="Calibri" w:hAnsi="Calibri" w:cs="Times New Roman"/>
          <w:b/>
          <w:lang w:val="en-US"/>
        </w:rPr>
      </w:pPr>
      <w:r w:rsidRPr="002F4B81">
        <w:rPr>
          <w:rFonts w:ascii="Calibri" w:eastAsia="Calibri" w:hAnsi="Calibri" w:cs="Times New Roman"/>
          <w:b/>
          <w:lang w:val="en-US"/>
        </w:rPr>
        <w:t>Stopping Rules</w:t>
      </w:r>
    </w:p>
    <w:p w14:paraId="127E74AD" w14:textId="77777777" w:rsidR="002F4B81" w:rsidRPr="002F4B81" w:rsidRDefault="002F4B81" w:rsidP="002F4B81">
      <w:pPr>
        <w:spacing w:after="0" w:line="240" w:lineRule="auto"/>
        <w:jc w:val="both"/>
        <w:rPr>
          <w:rFonts w:ascii="Calibri" w:eastAsia="Times New Roman" w:hAnsi="Calibri" w:cs="Times New Roman"/>
          <w:szCs w:val="20"/>
          <w:lang w:val="en-US"/>
        </w:rPr>
      </w:pPr>
      <w:r w:rsidRPr="002F4B81">
        <w:rPr>
          <w:rFonts w:ascii="Calibri" w:eastAsia="Times New Roman" w:hAnsi="Calibri" w:cs="Times New Roman"/>
          <w:szCs w:val="20"/>
          <w:lang w:val="en-US"/>
        </w:rPr>
        <w:t>A minimum of 5 patients will be enrolled before applying the stopping rules, and the cohort size for monitoring the trial is 5 patients. The DMC can request earlier review if adverse events are reported before this point.</w:t>
      </w:r>
    </w:p>
    <w:p w14:paraId="184ED509" w14:textId="77777777" w:rsidR="002F4B81" w:rsidRPr="002F4B81" w:rsidRDefault="002F4B81" w:rsidP="002F4B81">
      <w:pPr>
        <w:spacing w:after="0" w:line="240" w:lineRule="auto"/>
        <w:jc w:val="both"/>
        <w:rPr>
          <w:rFonts w:ascii="Calibri" w:eastAsia="Times New Roman" w:hAnsi="Calibri" w:cs="Times New Roman"/>
          <w:szCs w:val="20"/>
          <w:lang w:val="en-US"/>
        </w:rPr>
      </w:pPr>
      <w:r w:rsidRPr="002F4B81">
        <w:rPr>
          <w:rFonts w:ascii="Calibri" w:eastAsia="Times New Roman" w:hAnsi="Calibri" w:cs="Times New Roman"/>
          <w:szCs w:val="20"/>
          <w:lang w:val="en-US"/>
        </w:rPr>
        <w:t xml:space="preserve">We implement two stopping rules during the trial: </w:t>
      </w:r>
    </w:p>
    <w:p w14:paraId="234F78FD" w14:textId="77777777" w:rsidR="002F4B81" w:rsidRPr="002F4B81" w:rsidRDefault="002F4B81" w:rsidP="002F4B81">
      <w:pPr>
        <w:spacing w:after="0" w:line="240" w:lineRule="auto"/>
        <w:jc w:val="both"/>
        <w:rPr>
          <w:rFonts w:ascii="Calibri" w:eastAsia="Times New Roman" w:hAnsi="Calibri" w:cs="Times New Roman"/>
          <w:szCs w:val="20"/>
          <w:lang w:val="en-US"/>
        </w:rPr>
      </w:pPr>
      <w:r w:rsidRPr="002F4B81">
        <w:rPr>
          <w:rFonts w:ascii="Calibri" w:eastAsia="Times New Roman" w:hAnsi="Calibri" w:cs="Times New Roman"/>
          <w:szCs w:val="20"/>
          <w:lang w:val="en-US"/>
        </w:rPr>
        <w:t>(1)</w:t>
      </w:r>
      <w:r w:rsidRPr="002F4B81">
        <w:rPr>
          <w:rFonts w:ascii="Calibri" w:eastAsia="Times New Roman" w:hAnsi="Calibri" w:cs="Times New Roman"/>
          <w:szCs w:val="20"/>
          <w:lang w:val="en-US"/>
        </w:rPr>
        <w:tab/>
        <w:t xml:space="preserve">We will stop the trial for superiority (there being fewer serious events on the intervention than would be expected under standard of care) if the posterior probability of the alternative hypothesis is less than 0.05, </w:t>
      </w:r>
      <w:proofErr w:type="gramStart"/>
      <w:r w:rsidRPr="002F4B81">
        <w:rPr>
          <w:rFonts w:ascii="Calibri" w:eastAsia="Times New Roman" w:hAnsi="Calibri" w:cs="Times New Roman"/>
          <w:szCs w:val="20"/>
          <w:lang w:val="en-US"/>
        </w:rPr>
        <w:t>i.e.</w:t>
      </w:r>
      <w:proofErr w:type="gramEnd"/>
      <w:r w:rsidRPr="002F4B81">
        <w:rPr>
          <w:rFonts w:ascii="Calibri" w:eastAsia="Times New Roman" w:hAnsi="Calibri" w:cs="Times New Roman"/>
          <w:szCs w:val="20"/>
          <w:lang w:val="en-US"/>
        </w:rPr>
        <w:t xml:space="preserve"> </w:t>
      </w:r>
      <w:proofErr w:type="spellStart"/>
      <w:r w:rsidRPr="002F4B81">
        <w:rPr>
          <w:rFonts w:ascii="Calibri" w:eastAsia="Times New Roman" w:hAnsi="Calibri" w:cs="Times New Roman"/>
          <w:szCs w:val="20"/>
          <w:lang w:val="en-US"/>
        </w:rPr>
        <w:t>Pr</w:t>
      </w:r>
      <w:proofErr w:type="spellEnd"/>
      <w:r w:rsidRPr="002F4B81">
        <w:rPr>
          <w:rFonts w:ascii="Calibri" w:eastAsia="Times New Roman" w:hAnsi="Calibri" w:cs="Times New Roman"/>
          <w:szCs w:val="20"/>
          <w:lang w:val="en-US"/>
        </w:rPr>
        <w:t>(H1|Data) &lt; 0.05;</w:t>
      </w:r>
    </w:p>
    <w:p w14:paraId="3AE136A9" w14:textId="77777777" w:rsidR="002F4B81" w:rsidRPr="002F4B81" w:rsidRDefault="002F4B81" w:rsidP="002F4B81">
      <w:pPr>
        <w:spacing w:after="0" w:line="240" w:lineRule="auto"/>
        <w:jc w:val="both"/>
        <w:rPr>
          <w:rFonts w:ascii="Calibri" w:eastAsia="Times New Roman" w:hAnsi="Calibri" w:cs="Times New Roman"/>
          <w:szCs w:val="20"/>
          <w:lang w:val="en-US"/>
        </w:rPr>
      </w:pPr>
      <w:r w:rsidRPr="002F4B81">
        <w:rPr>
          <w:rFonts w:ascii="Calibri" w:eastAsia="Times New Roman" w:hAnsi="Calibri" w:cs="Times New Roman"/>
          <w:szCs w:val="20"/>
          <w:lang w:val="en-US"/>
        </w:rPr>
        <w:lastRenderedPageBreak/>
        <w:t>(2)</w:t>
      </w:r>
      <w:r w:rsidRPr="002F4B81">
        <w:rPr>
          <w:rFonts w:ascii="Calibri" w:eastAsia="Times New Roman" w:hAnsi="Calibri" w:cs="Times New Roman"/>
          <w:szCs w:val="20"/>
          <w:lang w:val="en-US"/>
        </w:rPr>
        <w:tab/>
        <w:t xml:space="preserve">We will stop the trial for inferiority if the posterior probability of the alternative hypothesis is greater than 0.80, i.e., </w:t>
      </w:r>
      <w:proofErr w:type="spellStart"/>
      <w:r w:rsidRPr="002F4B81">
        <w:rPr>
          <w:rFonts w:ascii="Calibri" w:eastAsia="Times New Roman" w:hAnsi="Calibri" w:cs="Times New Roman"/>
          <w:szCs w:val="20"/>
          <w:lang w:val="en-US"/>
        </w:rPr>
        <w:t>Pr</w:t>
      </w:r>
      <w:proofErr w:type="spellEnd"/>
      <w:r w:rsidRPr="002F4B81">
        <w:rPr>
          <w:rFonts w:ascii="Calibri" w:eastAsia="Times New Roman" w:hAnsi="Calibri" w:cs="Times New Roman"/>
          <w:szCs w:val="20"/>
          <w:lang w:val="en-US"/>
        </w:rPr>
        <w:t>(H1|Data) &gt; 0.80.</w:t>
      </w:r>
    </w:p>
    <w:p w14:paraId="6CFAC670" w14:textId="77777777" w:rsidR="002F4B81" w:rsidRPr="002F4B81" w:rsidRDefault="002F4B81" w:rsidP="002F4B81">
      <w:pPr>
        <w:spacing w:after="60" w:line="276" w:lineRule="auto"/>
        <w:contextualSpacing/>
        <w:jc w:val="both"/>
        <w:rPr>
          <w:rFonts w:ascii="Calibri" w:eastAsia="Calibri" w:hAnsi="Calibri" w:cs="Times New Roman"/>
          <w:lang w:val="en-US"/>
        </w:rPr>
      </w:pPr>
    </w:p>
    <w:p w14:paraId="6B9B96BE" w14:textId="77777777" w:rsidR="002F4B81" w:rsidRPr="002F4B81" w:rsidRDefault="002F4B81" w:rsidP="002F4B81">
      <w:pPr>
        <w:spacing w:after="60" w:line="276" w:lineRule="auto"/>
        <w:contextualSpacing/>
        <w:jc w:val="both"/>
        <w:rPr>
          <w:rFonts w:ascii="Calibri" w:eastAsia="Calibri" w:hAnsi="Calibri" w:cs="Times New Roman"/>
          <w:b/>
          <w:lang w:val="en-US"/>
        </w:rPr>
      </w:pPr>
      <w:r w:rsidRPr="002F4B81">
        <w:rPr>
          <w:rFonts w:ascii="Calibri" w:eastAsia="Calibri" w:hAnsi="Calibri" w:cs="Times New Roman"/>
          <w:b/>
          <w:lang w:val="en-US"/>
        </w:rPr>
        <w:t>Operating Characteristics</w:t>
      </w:r>
    </w:p>
    <w:p w14:paraId="4AF2F221" w14:textId="77777777" w:rsidR="002F4B81" w:rsidRPr="002F4B81" w:rsidRDefault="002F4B81" w:rsidP="002F4B81">
      <w:pPr>
        <w:spacing w:after="0" w:line="240" w:lineRule="auto"/>
        <w:jc w:val="both"/>
        <w:rPr>
          <w:rFonts w:ascii="Calibri" w:eastAsia="Times New Roman" w:hAnsi="Calibri" w:cs="Times New Roman"/>
          <w:szCs w:val="20"/>
          <w:lang w:val="en-US"/>
        </w:rPr>
      </w:pPr>
      <w:r w:rsidRPr="002F4B81">
        <w:rPr>
          <w:rFonts w:ascii="Calibri" w:eastAsia="Times New Roman" w:hAnsi="Calibri" w:cs="Times New Roman"/>
          <w:szCs w:val="20"/>
          <w:lang w:val="en-US"/>
        </w:rPr>
        <w:t xml:space="preserve">The operating characteristics of the design were produced using the M. D. Anderson Cancer Center Department of Biostatistics software </w:t>
      </w:r>
      <w:proofErr w:type="spellStart"/>
      <w:r w:rsidRPr="002F4B81">
        <w:rPr>
          <w:rFonts w:ascii="Calibri" w:eastAsia="Times New Roman" w:hAnsi="Calibri" w:cs="Times New Roman"/>
          <w:szCs w:val="20"/>
          <w:lang w:val="en-US"/>
        </w:rPr>
        <w:t>BayesFactorBinary</w:t>
      </w:r>
      <w:proofErr w:type="spellEnd"/>
      <w:r w:rsidRPr="002F4B81">
        <w:rPr>
          <w:rFonts w:ascii="Calibri" w:eastAsia="Times New Roman" w:hAnsi="Calibri" w:cs="Times New Roman"/>
          <w:szCs w:val="20"/>
          <w:lang w:val="en-US"/>
        </w:rPr>
        <w:t xml:space="preserve">, version </w:t>
      </w:r>
      <w:proofErr w:type="gramStart"/>
      <w:r w:rsidRPr="002F4B81">
        <w:rPr>
          <w:rFonts w:ascii="Calibri" w:eastAsia="Times New Roman" w:hAnsi="Calibri" w:cs="Times New Roman"/>
          <w:szCs w:val="20"/>
          <w:lang w:val="en-US"/>
        </w:rPr>
        <w:t>1.0</w:t>
      </w:r>
      <w:proofErr w:type="gramEnd"/>
      <w:r w:rsidRPr="002F4B81">
        <w:rPr>
          <w:rFonts w:ascii="Calibri" w:eastAsia="Times New Roman" w:hAnsi="Calibri" w:cs="Times New Roman"/>
          <w:szCs w:val="20"/>
          <w:lang w:val="en-US"/>
        </w:rPr>
        <w:t xml:space="preserve"> </w:t>
      </w:r>
    </w:p>
    <w:p w14:paraId="653FC69C"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 xml:space="preserve">Original location: </w:t>
      </w:r>
      <w:hyperlink r:id="rId22" w:history="1">
        <w:r w:rsidRPr="002F4B81">
          <w:rPr>
            <w:rFonts w:ascii="Calibri" w:eastAsia="Times New Roman" w:hAnsi="Calibri" w:cs="Times New Roman"/>
            <w:color w:val="0563C1"/>
            <w:szCs w:val="20"/>
            <w:u w:val="single"/>
          </w:rPr>
          <w:t>https://biostatistics.mdanderson.org/SoftwareDownload/ProductSupportFiles/BayesFactorBinary/UsersGuide_BayesFactorBinary.pdf</w:t>
        </w:r>
      </w:hyperlink>
    </w:p>
    <w:p w14:paraId="5AB33AB8"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Current locations:</w:t>
      </w:r>
    </w:p>
    <w:p w14:paraId="28E07BD6" w14:textId="77777777" w:rsidR="002F4B81" w:rsidRPr="002F4B81" w:rsidRDefault="002F4B81" w:rsidP="002F4B81">
      <w:pPr>
        <w:spacing w:after="0" w:line="240" w:lineRule="auto"/>
        <w:rPr>
          <w:rFonts w:ascii="Calibri" w:eastAsia="Calibri" w:hAnsi="Calibri" w:cs="Times New Roman"/>
        </w:rPr>
      </w:pPr>
      <w:r w:rsidRPr="002F4B81">
        <w:rPr>
          <w:rFonts w:ascii="Calibri" w:eastAsia="Calibri" w:hAnsi="Calibri" w:cs="Times New Roman"/>
        </w:rPr>
        <w:fldChar w:fldCharType="begin"/>
      </w:r>
      <w:r w:rsidRPr="002F4B81">
        <w:rPr>
          <w:rFonts w:ascii="Calibri" w:eastAsia="Calibri" w:hAnsi="Calibri" w:cs="Times New Roman"/>
        </w:rPr>
        <w:instrText xml:space="preserve"> HYPERLINK "https://biostatistics.mdanderson.org/SoftwareDownload/SingleSoftware/Index/94</w:instrText>
      </w:r>
    </w:p>
    <w:p w14:paraId="46FB9629" w14:textId="77777777" w:rsidR="002F4B81" w:rsidRPr="002F4B81" w:rsidRDefault="002F4B81" w:rsidP="002F4B81">
      <w:pPr>
        <w:spacing w:after="0" w:line="240" w:lineRule="auto"/>
        <w:rPr>
          <w:rFonts w:ascii="Calibri" w:eastAsia="Calibri" w:hAnsi="Calibri" w:cs="Times New Roman"/>
          <w:color w:val="0563C1"/>
          <w:u w:val="single"/>
        </w:rPr>
      </w:pPr>
      <w:r w:rsidRPr="002F4B81">
        <w:rPr>
          <w:rFonts w:ascii="Calibri" w:eastAsia="Calibri" w:hAnsi="Calibri" w:cs="Times New Roman"/>
        </w:rPr>
        <w:instrText xml:space="preserve">" </w:instrText>
      </w:r>
      <w:r w:rsidRPr="002F4B81">
        <w:rPr>
          <w:rFonts w:ascii="Calibri" w:eastAsia="Calibri" w:hAnsi="Calibri" w:cs="Times New Roman"/>
        </w:rPr>
      </w:r>
      <w:r w:rsidRPr="002F4B81">
        <w:rPr>
          <w:rFonts w:ascii="Calibri" w:eastAsia="Calibri" w:hAnsi="Calibri" w:cs="Times New Roman"/>
        </w:rPr>
        <w:fldChar w:fldCharType="separate"/>
      </w:r>
      <w:r w:rsidRPr="002F4B81">
        <w:rPr>
          <w:rFonts w:ascii="Calibri" w:eastAsia="Calibri" w:hAnsi="Calibri" w:cs="Times New Roman"/>
          <w:color w:val="0563C1"/>
          <w:u w:val="single"/>
        </w:rPr>
        <w:t>https://biostatistics.mdanderson.org/SoftwareDownload/SingleSoftware/Index/94</w:t>
      </w:r>
    </w:p>
    <w:p w14:paraId="3CBC7F6E" w14:textId="77777777" w:rsidR="002F4B81" w:rsidRPr="002F4B81" w:rsidRDefault="002F4B81" w:rsidP="002F4B81">
      <w:pPr>
        <w:tabs>
          <w:tab w:val="left" w:pos="0"/>
        </w:tabs>
        <w:spacing w:after="60" w:line="240" w:lineRule="auto"/>
        <w:contextualSpacing/>
        <w:rPr>
          <w:rFonts w:ascii="Calibri" w:eastAsia="Calibri" w:hAnsi="Calibri" w:cs="Times New Roman"/>
        </w:rPr>
      </w:pPr>
      <w:r w:rsidRPr="002F4B81">
        <w:rPr>
          <w:rFonts w:ascii="Calibri" w:eastAsia="Calibri" w:hAnsi="Calibri" w:cs="Times New Roman"/>
        </w:rPr>
        <w:fldChar w:fldCharType="end"/>
      </w:r>
      <w:hyperlink r:id="rId23" w:history="1">
        <w:r w:rsidRPr="002F4B81">
          <w:rPr>
            <w:rFonts w:ascii="Calibri" w:eastAsia="Calibri" w:hAnsi="Calibri" w:cs="Times New Roman"/>
            <w:color w:val="0563C1"/>
            <w:u w:val="single"/>
          </w:rPr>
          <w:t>https://biostatistics.mdanderson.org/SoftwareDownload/SoftwareFiles/BayesFactorBinary/UsersGuide_BayesFactorBinary.pdf</w:t>
        </w:r>
      </w:hyperlink>
    </w:p>
    <w:p w14:paraId="26718551" w14:textId="77777777" w:rsidR="002F4B81" w:rsidRPr="002F4B81" w:rsidRDefault="002F4B81" w:rsidP="002F4B81">
      <w:pPr>
        <w:tabs>
          <w:tab w:val="left" w:pos="0"/>
        </w:tabs>
        <w:spacing w:after="60" w:line="240" w:lineRule="auto"/>
        <w:contextualSpacing/>
        <w:rPr>
          <w:rFonts w:ascii="Times New Roman" w:eastAsia="Calibri" w:hAnsi="Times New Roman" w:cs="Times New Roman"/>
          <w:sz w:val="20"/>
          <w:szCs w:val="20"/>
        </w:rPr>
      </w:pPr>
    </w:p>
    <w:tbl>
      <w:tblPr>
        <w:tblW w:w="94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000"/>
        <w:gridCol w:w="1785"/>
        <w:gridCol w:w="1883"/>
        <w:gridCol w:w="1650"/>
        <w:gridCol w:w="3150"/>
      </w:tblGrid>
      <w:tr w:rsidR="002F4B81" w:rsidRPr="002F4B81" w14:paraId="0818BE10" w14:textId="77777777" w:rsidTr="00C667E5">
        <w:tc>
          <w:tcPr>
            <w:tcW w:w="0" w:type="auto"/>
            <w:tcBorders>
              <w:top w:val="single" w:sz="8" w:space="0" w:color="000000"/>
              <w:left w:val="single" w:sz="8" w:space="0" w:color="000000"/>
              <w:bottom w:val="single" w:sz="18" w:space="0" w:color="000000"/>
              <w:right w:val="single" w:sz="8" w:space="0" w:color="000000"/>
            </w:tcBorders>
            <w:shd w:val="clear" w:color="auto" w:fill="auto"/>
            <w:hideMark/>
          </w:tcPr>
          <w:p w14:paraId="6C142C8B" w14:textId="77777777" w:rsidR="002F4B81" w:rsidRPr="002F4B81" w:rsidRDefault="002F4B81" w:rsidP="002F4B81">
            <w:pPr>
              <w:spacing w:after="0" w:line="240" w:lineRule="auto"/>
              <w:rPr>
                <w:rFonts w:ascii="Calibri" w:eastAsia="MS Gothic" w:hAnsi="Calibri" w:cs="Times New Roman"/>
                <w:b/>
                <w:bCs/>
                <w:szCs w:val="20"/>
              </w:rPr>
            </w:pPr>
            <w:r w:rsidRPr="002F4B81">
              <w:rPr>
                <w:rFonts w:ascii="Calibri" w:eastAsia="MS Gothic" w:hAnsi="Calibri" w:cs="Times New Roman"/>
                <w:b/>
                <w:bCs/>
                <w:szCs w:val="20"/>
              </w:rPr>
              <w:t>Scenario</w:t>
            </w:r>
          </w:p>
        </w:tc>
        <w:tc>
          <w:tcPr>
            <w:tcW w:w="0" w:type="auto"/>
            <w:tcBorders>
              <w:top w:val="single" w:sz="8" w:space="0" w:color="000000"/>
              <w:left w:val="single" w:sz="8" w:space="0" w:color="000000"/>
              <w:bottom w:val="single" w:sz="18" w:space="0" w:color="000000"/>
              <w:right w:val="single" w:sz="8" w:space="0" w:color="000000"/>
            </w:tcBorders>
            <w:shd w:val="clear" w:color="auto" w:fill="auto"/>
            <w:hideMark/>
          </w:tcPr>
          <w:p w14:paraId="5CFDD292" w14:textId="77777777" w:rsidR="002F4B81" w:rsidRPr="002F4B81" w:rsidRDefault="002F4B81" w:rsidP="002F4B81">
            <w:pPr>
              <w:spacing w:after="0" w:line="240" w:lineRule="auto"/>
              <w:rPr>
                <w:rFonts w:ascii="Calibri" w:eastAsia="MS Gothic" w:hAnsi="Calibri" w:cs="Times New Roman"/>
                <w:b/>
                <w:bCs/>
                <w:szCs w:val="20"/>
              </w:rPr>
            </w:pPr>
            <w:r w:rsidRPr="002F4B81">
              <w:rPr>
                <w:rFonts w:ascii="Calibri" w:eastAsia="MS Gothic" w:hAnsi="Calibri" w:cs="Times New Roman"/>
                <w:b/>
                <w:bCs/>
                <w:szCs w:val="20"/>
              </w:rPr>
              <w:t>True rate of serious events</w:t>
            </w:r>
          </w:p>
        </w:tc>
        <w:tc>
          <w:tcPr>
            <w:tcW w:w="1883" w:type="dxa"/>
            <w:tcBorders>
              <w:top w:val="single" w:sz="8" w:space="0" w:color="000000"/>
              <w:left w:val="single" w:sz="8" w:space="0" w:color="000000"/>
              <w:bottom w:val="single" w:sz="18" w:space="0" w:color="000000"/>
              <w:right w:val="single" w:sz="8" w:space="0" w:color="000000"/>
            </w:tcBorders>
            <w:shd w:val="clear" w:color="auto" w:fill="auto"/>
            <w:hideMark/>
          </w:tcPr>
          <w:p w14:paraId="10841178" w14:textId="77777777" w:rsidR="002F4B81" w:rsidRPr="002F4B81" w:rsidRDefault="002F4B81" w:rsidP="002F4B81">
            <w:pPr>
              <w:spacing w:after="0" w:line="240" w:lineRule="auto"/>
              <w:rPr>
                <w:rFonts w:ascii="Calibri" w:eastAsia="MS Gothic" w:hAnsi="Calibri" w:cs="Times New Roman"/>
                <w:b/>
                <w:bCs/>
                <w:szCs w:val="20"/>
              </w:rPr>
            </w:pPr>
            <w:r w:rsidRPr="002F4B81">
              <w:rPr>
                <w:rFonts w:ascii="Calibri" w:eastAsia="MS Gothic" w:hAnsi="Calibri" w:cs="Times New Roman"/>
                <w:b/>
                <w:bCs/>
                <w:szCs w:val="20"/>
              </w:rPr>
              <w:t>Probability of Stopping for Inferiority</w:t>
            </w:r>
          </w:p>
        </w:tc>
        <w:tc>
          <w:tcPr>
            <w:tcW w:w="1650" w:type="dxa"/>
            <w:tcBorders>
              <w:top w:val="single" w:sz="8" w:space="0" w:color="000000"/>
              <w:left w:val="single" w:sz="8" w:space="0" w:color="000000"/>
              <w:bottom w:val="single" w:sz="18" w:space="0" w:color="000000"/>
              <w:right w:val="single" w:sz="8" w:space="0" w:color="000000"/>
            </w:tcBorders>
            <w:shd w:val="clear" w:color="auto" w:fill="auto"/>
            <w:hideMark/>
          </w:tcPr>
          <w:p w14:paraId="359EE7AF" w14:textId="77777777" w:rsidR="002F4B81" w:rsidRPr="002F4B81" w:rsidRDefault="002F4B81" w:rsidP="002F4B81">
            <w:pPr>
              <w:spacing w:after="0" w:line="240" w:lineRule="auto"/>
              <w:rPr>
                <w:rFonts w:ascii="Calibri" w:eastAsia="MS Gothic" w:hAnsi="Calibri" w:cs="Times New Roman"/>
                <w:b/>
                <w:bCs/>
                <w:szCs w:val="20"/>
              </w:rPr>
            </w:pPr>
            <w:r w:rsidRPr="002F4B81">
              <w:rPr>
                <w:rFonts w:ascii="Calibri" w:eastAsia="MS Gothic" w:hAnsi="Calibri" w:cs="Times New Roman"/>
                <w:b/>
                <w:bCs/>
                <w:szCs w:val="20"/>
              </w:rPr>
              <w:t>Probability of Stopping for Superiority</w:t>
            </w:r>
          </w:p>
        </w:tc>
        <w:tc>
          <w:tcPr>
            <w:tcW w:w="3150" w:type="dxa"/>
            <w:tcBorders>
              <w:top w:val="single" w:sz="8" w:space="0" w:color="000000"/>
              <w:left w:val="single" w:sz="8" w:space="0" w:color="000000"/>
              <w:bottom w:val="single" w:sz="18" w:space="0" w:color="000000"/>
              <w:right w:val="single" w:sz="8" w:space="0" w:color="000000"/>
            </w:tcBorders>
            <w:shd w:val="clear" w:color="auto" w:fill="auto"/>
            <w:hideMark/>
          </w:tcPr>
          <w:p w14:paraId="2C2AFC2B" w14:textId="77777777" w:rsidR="002F4B81" w:rsidRPr="002F4B81" w:rsidRDefault="002F4B81" w:rsidP="002F4B81">
            <w:pPr>
              <w:spacing w:after="0" w:line="240" w:lineRule="auto"/>
              <w:rPr>
                <w:rFonts w:ascii="Calibri" w:eastAsia="MS Gothic" w:hAnsi="Calibri" w:cs="Times New Roman"/>
                <w:b/>
                <w:bCs/>
                <w:szCs w:val="20"/>
              </w:rPr>
            </w:pPr>
            <w:r w:rsidRPr="002F4B81">
              <w:rPr>
                <w:rFonts w:ascii="Calibri" w:eastAsia="MS Gothic" w:hAnsi="Calibri" w:cs="Times New Roman"/>
                <w:b/>
                <w:bCs/>
                <w:szCs w:val="20"/>
              </w:rPr>
              <w:t xml:space="preserve">Average number of patients treated (Percentiles: 10%, 25%, 50%, 75%, 90%) </w:t>
            </w:r>
          </w:p>
        </w:tc>
      </w:tr>
      <w:tr w:rsidR="002F4B81" w:rsidRPr="002F4B81" w14:paraId="21237E69" w14:textId="77777777" w:rsidTr="00C667E5">
        <w:tc>
          <w:tcPr>
            <w:tcW w:w="0" w:type="auto"/>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38402762" w14:textId="77777777" w:rsidR="002F4B81" w:rsidRPr="002F4B81" w:rsidRDefault="002F4B81" w:rsidP="002F4B81">
            <w:pPr>
              <w:spacing w:after="0" w:line="240" w:lineRule="auto"/>
              <w:jc w:val="center"/>
              <w:rPr>
                <w:rFonts w:ascii="Calibri" w:eastAsia="MS Gothic" w:hAnsi="Calibri" w:cs="Times New Roman"/>
                <w:b/>
                <w:bCs/>
                <w:szCs w:val="20"/>
              </w:rPr>
            </w:pPr>
            <w:r w:rsidRPr="002F4B81">
              <w:rPr>
                <w:rFonts w:ascii="Calibri" w:eastAsia="MS Gothic" w:hAnsi="Calibri" w:cs="Times New Roman"/>
                <w:b/>
                <w:bCs/>
                <w:szCs w:val="20"/>
              </w:rPr>
              <w:t>1</w:t>
            </w:r>
          </w:p>
        </w:tc>
        <w:tc>
          <w:tcPr>
            <w:tcW w:w="0" w:type="auto"/>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10339D97"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0.06</w:t>
            </w:r>
          </w:p>
        </w:tc>
        <w:tc>
          <w:tcPr>
            <w:tcW w:w="1883" w:type="dxa"/>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27316C2B"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0.096</w:t>
            </w:r>
          </w:p>
        </w:tc>
        <w:tc>
          <w:tcPr>
            <w:tcW w:w="1650" w:type="dxa"/>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2E0F7DF2"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w:t>
            </w:r>
          </w:p>
        </w:tc>
        <w:tc>
          <w:tcPr>
            <w:tcW w:w="3150" w:type="dxa"/>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235F7BF7"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28.44 (30, 30, 30, 30, 30 )</w:t>
            </w:r>
          </w:p>
        </w:tc>
      </w:tr>
      <w:tr w:rsidR="002F4B81" w:rsidRPr="002F4B81" w14:paraId="4C0A8550" w14:textId="77777777" w:rsidTr="00C667E5">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9B54727" w14:textId="77777777" w:rsidR="002F4B81" w:rsidRPr="002F4B81" w:rsidRDefault="002F4B81" w:rsidP="002F4B81">
            <w:pPr>
              <w:spacing w:after="0" w:line="240" w:lineRule="auto"/>
              <w:jc w:val="center"/>
              <w:rPr>
                <w:rFonts w:ascii="Calibri" w:eastAsia="MS Gothic" w:hAnsi="Calibri" w:cs="Times New Roman"/>
                <w:b/>
                <w:bCs/>
                <w:szCs w:val="20"/>
              </w:rPr>
            </w:pPr>
            <w:r w:rsidRPr="002F4B81">
              <w:rPr>
                <w:rFonts w:ascii="Calibri" w:eastAsia="MS Gothic" w:hAnsi="Calibri" w:cs="Times New Roman"/>
                <w:b/>
                <w:bCs/>
                <w:szCs w:val="20"/>
              </w:rPr>
              <w:t>2</w:t>
            </w:r>
          </w:p>
        </w:tc>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A77882B"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0.12</w:t>
            </w:r>
          </w:p>
        </w:tc>
        <w:tc>
          <w:tcPr>
            <w:tcW w:w="188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6AFD422"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0.443</w:t>
            </w:r>
          </w:p>
        </w:tc>
        <w:tc>
          <w:tcPr>
            <w:tcW w:w="165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269CF28"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w:t>
            </w:r>
          </w:p>
        </w:tc>
        <w:tc>
          <w:tcPr>
            <w:tcW w:w="315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03CEADA"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23.48 (5, 15, 30, 30, 30 )</w:t>
            </w:r>
          </w:p>
        </w:tc>
      </w:tr>
      <w:tr w:rsidR="002F4B81" w:rsidRPr="002F4B81" w14:paraId="6B614492" w14:textId="77777777" w:rsidTr="00C667E5">
        <w:tc>
          <w:tcPr>
            <w:tcW w:w="0" w:type="auto"/>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4AA918EA" w14:textId="77777777" w:rsidR="002F4B81" w:rsidRPr="002F4B81" w:rsidRDefault="002F4B81" w:rsidP="002F4B81">
            <w:pPr>
              <w:spacing w:after="0" w:line="240" w:lineRule="auto"/>
              <w:jc w:val="center"/>
              <w:rPr>
                <w:rFonts w:ascii="Calibri" w:eastAsia="MS Gothic" w:hAnsi="Calibri" w:cs="Times New Roman"/>
                <w:b/>
                <w:bCs/>
                <w:szCs w:val="20"/>
              </w:rPr>
            </w:pPr>
            <w:r w:rsidRPr="002F4B81">
              <w:rPr>
                <w:rFonts w:ascii="Calibri" w:eastAsia="MS Gothic" w:hAnsi="Calibri" w:cs="Times New Roman"/>
                <w:b/>
                <w:bCs/>
                <w:szCs w:val="20"/>
              </w:rPr>
              <w:t>3</w:t>
            </w:r>
          </w:p>
        </w:tc>
        <w:tc>
          <w:tcPr>
            <w:tcW w:w="0" w:type="auto"/>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542DB474"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0.18</w:t>
            </w:r>
          </w:p>
        </w:tc>
        <w:tc>
          <w:tcPr>
            <w:tcW w:w="1883" w:type="dxa"/>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7870B21C"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0.753</w:t>
            </w:r>
          </w:p>
        </w:tc>
        <w:tc>
          <w:tcPr>
            <w:tcW w:w="1650" w:type="dxa"/>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166DD290"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w:t>
            </w:r>
          </w:p>
        </w:tc>
        <w:tc>
          <w:tcPr>
            <w:tcW w:w="3150" w:type="dxa"/>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0E33917E"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17.76 (5, 10, 15, 30, 30 )</w:t>
            </w:r>
          </w:p>
        </w:tc>
      </w:tr>
      <w:tr w:rsidR="002F4B81" w:rsidRPr="002F4B81" w14:paraId="078D7C87" w14:textId="77777777" w:rsidTr="00C667E5">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D907EEB" w14:textId="77777777" w:rsidR="002F4B81" w:rsidRPr="002F4B81" w:rsidRDefault="002F4B81" w:rsidP="002F4B81">
            <w:pPr>
              <w:spacing w:after="0" w:line="240" w:lineRule="auto"/>
              <w:jc w:val="center"/>
              <w:rPr>
                <w:rFonts w:ascii="Calibri" w:eastAsia="MS Gothic" w:hAnsi="Calibri" w:cs="Times New Roman"/>
                <w:b/>
                <w:bCs/>
                <w:szCs w:val="20"/>
              </w:rPr>
            </w:pPr>
            <w:r w:rsidRPr="002F4B81">
              <w:rPr>
                <w:rFonts w:ascii="Calibri" w:eastAsia="MS Gothic" w:hAnsi="Calibri" w:cs="Times New Roman"/>
                <w:b/>
                <w:bCs/>
                <w:szCs w:val="20"/>
              </w:rPr>
              <w:t>4</w:t>
            </w:r>
          </w:p>
        </w:tc>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B61A3CE"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0.24</w:t>
            </w:r>
          </w:p>
        </w:tc>
        <w:tc>
          <w:tcPr>
            <w:tcW w:w="188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BD61D01"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0.928</w:t>
            </w:r>
          </w:p>
        </w:tc>
        <w:tc>
          <w:tcPr>
            <w:tcW w:w="165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023A348"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w:t>
            </w:r>
          </w:p>
        </w:tc>
        <w:tc>
          <w:tcPr>
            <w:tcW w:w="315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23BB4A2"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13.72 (5, 5, 15, 15, 30 )</w:t>
            </w:r>
          </w:p>
        </w:tc>
      </w:tr>
      <w:tr w:rsidR="002F4B81" w:rsidRPr="002F4B81" w14:paraId="7893FCC4" w14:textId="77777777" w:rsidTr="00C667E5">
        <w:tc>
          <w:tcPr>
            <w:tcW w:w="0" w:type="auto"/>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59EEFA11" w14:textId="77777777" w:rsidR="002F4B81" w:rsidRPr="002F4B81" w:rsidRDefault="002F4B81" w:rsidP="002F4B81">
            <w:pPr>
              <w:spacing w:after="0" w:line="240" w:lineRule="auto"/>
              <w:jc w:val="center"/>
              <w:rPr>
                <w:rFonts w:ascii="Calibri" w:eastAsia="MS Gothic" w:hAnsi="Calibri" w:cs="Times New Roman"/>
                <w:b/>
                <w:bCs/>
                <w:szCs w:val="20"/>
              </w:rPr>
            </w:pPr>
            <w:r w:rsidRPr="002F4B81">
              <w:rPr>
                <w:rFonts w:ascii="Calibri" w:eastAsia="MS Gothic" w:hAnsi="Calibri" w:cs="Times New Roman"/>
                <w:b/>
                <w:bCs/>
                <w:szCs w:val="20"/>
              </w:rPr>
              <w:t>5</w:t>
            </w:r>
          </w:p>
        </w:tc>
        <w:tc>
          <w:tcPr>
            <w:tcW w:w="0" w:type="auto"/>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3FFC52C4"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0.30</w:t>
            </w:r>
          </w:p>
        </w:tc>
        <w:tc>
          <w:tcPr>
            <w:tcW w:w="1883" w:type="dxa"/>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4DFFF4F5"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0.982</w:t>
            </w:r>
          </w:p>
        </w:tc>
        <w:tc>
          <w:tcPr>
            <w:tcW w:w="1650" w:type="dxa"/>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6F6526FB"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0</w:t>
            </w:r>
          </w:p>
        </w:tc>
        <w:tc>
          <w:tcPr>
            <w:tcW w:w="3150" w:type="dxa"/>
            <w:tcBorders>
              <w:top w:val="single" w:sz="8" w:space="0" w:color="000000"/>
              <w:left w:val="single" w:sz="8" w:space="0" w:color="000000"/>
              <w:bottom w:val="single" w:sz="8" w:space="0" w:color="000000"/>
              <w:right w:val="single" w:sz="8" w:space="0" w:color="000000"/>
            </w:tcBorders>
            <w:shd w:val="clear" w:color="auto" w:fill="C0C0C0"/>
            <w:vAlign w:val="center"/>
            <w:hideMark/>
          </w:tcPr>
          <w:p w14:paraId="16954C12" w14:textId="77777777" w:rsidR="002F4B81" w:rsidRPr="002F4B81" w:rsidRDefault="002F4B81" w:rsidP="002F4B81">
            <w:pPr>
              <w:spacing w:after="0" w:line="240" w:lineRule="auto"/>
              <w:jc w:val="center"/>
              <w:rPr>
                <w:rFonts w:ascii="Calibri" w:eastAsia="Times New Roman" w:hAnsi="Calibri" w:cs="Times New Roman"/>
                <w:szCs w:val="20"/>
              </w:rPr>
            </w:pPr>
            <w:r w:rsidRPr="002F4B81">
              <w:rPr>
                <w:rFonts w:ascii="Calibri" w:eastAsia="Times New Roman" w:hAnsi="Calibri" w:cs="Times New Roman"/>
                <w:szCs w:val="20"/>
              </w:rPr>
              <w:t>10.52 (5, 5, 10, 15, 20 )</w:t>
            </w:r>
          </w:p>
        </w:tc>
      </w:tr>
    </w:tbl>
    <w:p w14:paraId="6054EE2D" w14:textId="77777777" w:rsidR="002F4B81" w:rsidRPr="002F4B81" w:rsidRDefault="002F4B81" w:rsidP="002F4B81">
      <w:pPr>
        <w:spacing w:after="60" w:line="276" w:lineRule="auto"/>
        <w:ind w:left="720"/>
        <w:contextualSpacing/>
        <w:rPr>
          <w:rFonts w:ascii="Times New Roman" w:eastAsia="Calibri" w:hAnsi="Times New Roman" w:cs="Times New Roman"/>
          <w:sz w:val="20"/>
          <w:szCs w:val="20"/>
          <w:lang w:val="en-US"/>
        </w:rPr>
      </w:pPr>
    </w:p>
    <w:p w14:paraId="354221AB" w14:textId="77777777" w:rsidR="002F4B81" w:rsidRPr="002F4B81" w:rsidRDefault="002F4B81" w:rsidP="002F4B81">
      <w:pPr>
        <w:spacing w:after="0" w:line="240" w:lineRule="auto"/>
        <w:jc w:val="both"/>
        <w:rPr>
          <w:rFonts w:ascii="Calibri" w:eastAsia="Times New Roman" w:hAnsi="Calibri" w:cs="Times New Roman"/>
          <w:szCs w:val="20"/>
          <w:lang w:val="en-US"/>
        </w:rPr>
      </w:pPr>
      <w:r w:rsidRPr="002F4B81">
        <w:rPr>
          <w:rFonts w:ascii="Calibri" w:eastAsia="Times New Roman" w:hAnsi="Calibri" w:cs="Times New Roman"/>
          <w:szCs w:val="20"/>
          <w:lang w:val="en-US"/>
        </w:rPr>
        <w:t xml:space="preserve">For example, if the true rate of serious events is 0.06 (Scenario 1, the null hypothesis), the trial will stop with probabilities of 0.096 and 0 in </w:t>
      </w:r>
      <w:proofErr w:type="spellStart"/>
      <w:r w:rsidRPr="002F4B81">
        <w:rPr>
          <w:rFonts w:ascii="Calibri" w:eastAsia="Times New Roman" w:hAnsi="Calibri" w:cs="Times New Roman"/>
          <w:szCs w:val="20"/>
          <w:lang w:val="en-US"/>
        </w:rPr>
        <w:t>favour</w:t>
      </w:r>
      <w:proofErr w:type="spellEnd"/>
      <w:r w:rsidRPr="002F4B81">
        <w:rPr>
          <w:rFonts w:ascii="Calibri" w:eastAsia="Times New Roman" w:hAnsi="Calibri" w:cs="Times New Roman"/>
          <w:szCs w:val="20"/>
          <w:lang w:val="en-US"/>
        </w:rPr>
        <w:t xml:space="preserve"> of the alternative and null hypotheses, respectively.  The average number of patients (10%, 90% percentiles) treated is 28.44 (30, 30).  If the true serious event rate is 0.12 (Scenario 2, the alternative hypothesis), the trial will stop with probabilities of 0.443 and 0 in </w:t>
      </w:r>
      <w:proofErr w:type="spellStart"/>
      <w:r w:rsidRPr="002F4B81">
        <w:rPr>
          <w:rFonts w:ascii="Calibri" w:eastAsia="Times New Roman" w:hAnsi="Calibri" w:cs="Times New Roman"/>
          <w:szCs w:val="20"/>
          <w:lang w:val="en-US"/>
        </w:rPr>
        <w:t>favour</w:t>
      </w:r>
      <w:proofErr w:type="spellEnd"/>
      <w:r w:rsidRPr="002F4B81">
        <w:rPr>
          <w:rFonts w:ascii="Calibri" w:eastAsia="Times New Roman" w:hAnsi="Calibri" w:cs="Times New Roman"/>
          <w:szCs w:val="20"/>
          <w:lang w:val="en-US"/>
        </w:rPr>
        <w:t xml:space="preserve"> of the alternative and null hypotheses, respectively.  The average number of patients (10%, 90%) treated is 23.48 (5, 30).</w:t>
      </w:r>
    </w:p>
    <w:p w14:paraId="4512777C" w14:textId="77777777" w:rsidR="002F4B81" w:rsidRPr="002F4B81" w:rsidRDefault="002F4B81" w:rsidP="002F4B81">
      <w:pPr>
        <w:spacing w:after="0" w:line="240" w:lineRule="auto"/>
        <w:jc w:val="both"/>
        <w:rPr>
          <w:rFonts w:ascii="Calibri" w:eastAsia="Times New Roman" w:hAnsi="Calibri" w:cs="Times New Roman"/>
          <w:b/>
          <w:szCs w:val="20"/>
          <w:lang w:val="en-US"/>
        </w:rPr>
      </w:pPr>
    </w:p>
    <w:p w14:paraId="707EAC22" w14:textId="77777777" w:rsidR="002F4B81" w:rsidRPr="002F4B81" w:rsidRDefault="002F4B81" w:rsidP="002F4B81">
      <w:pPr>
        <w:spacing w:after="0" w:line="240" w:lineRule="auto"/>
        <w:jc w:val="both"/>
        <w:rPr>
          <w:rFonts w:ascii="Calibri" w:eastAsia="Times New Roman" w:hAnsi="Calibri" w:cs="Times New Roman"/>
          <w:b/>
          <w:szCs w:val="20"/>
          <w:lang w:val="en-US"/>
        </w:rPr>
      </w:pPr>
      <w:r w:rsidRPr="002F4B81">
        <w:rPr>
          <w:rFonts w:ascii="Calibri" w:eastAsia="Times New Roman" w:hAnsi="Calibri" w:cs="Times New Roman"/>
          <w:b/>
          <w:szCs w:val="20"/>
          <w:lang w:val="en-US"/>
        </w:rPr>
        <w:t>Stopping Boundaries</w:t>
      </w:r>
    </w:p>
    <w:p w14:paraId="469E7742"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 xml:space="preserve">The stopping boundaries of the design were produced using the M. D. Anderson Cancer </w:t>
      </w:r>
      <w:proofErr w:type="spellStart"/>
      <w:r w:rsidRPr="002F4B81">
        <w:rPr>
          <w:rFonts w:ascii="Calibri" w:eastAsia="Times New Roman" w:hAnsi="Calibri" w:cs="Times New Roman"/>
          <w:szCs w:val="20"/>
        </w:rPr>
        <w:t>Center</w:t>
      </w:r>
      <w:proofErr w:type="spellEnd"/>
      <w:r w:rsidRPr="002F4B81">
        <w:rPr>
          <w:rFonts w:ascii="Calibri" w:eastAsia="Times New Roman" w:hAnsi="Calibri" w:cs="Times New Roman"/>
          <w:szCs w:val="20"/>
        </w:rPr>
        <w:t xml:space="preserve"> Department of Biostatistics software </w:t>
      </w:r>
      <w:proofErr w:type="spellStart"/>
      <w:r w:rsidRPr="002F4B81">
        <w:rPr>
          <w:rFonts w:ascii="Calibri" w:eastAsia="Times New Roman" w:hAnsi="Calibri" w:cs="Times New Roman"/>
          <w:b/>
          <w:szCs w:val="20"/>
        </w:rPr>
        <w:t>BayesFactorBinary</w:t>
      </w:r>
      <w:proofErr w:type="spellEnd"/>
      <w:r w:rsidRPr="002F4B81">
        <w:rPr>
          <w:rFonts w:ascii="Calibri" w:eastAsia="Times New Roman" w:hAnsi="Calibri" w:cs="Times New Roman"/>
          <w:szCs w:val="20"/>
        </w:rPr>
        <w:t xml:space="preserve">, version 1.0.  </w:t>
      </w:r>
    </w:p>
    <w:p w14:paraId="4851EFD3" w14:textId="77777777" w:rsidR="002F4B81" w:rsidRPr="002F4B81" w:rsidRDefault="002F4B81" w:rsidP="002F4B81">
      <w:pPr>
        <w:spacing w:after="0" w:line="240" w:lineRule="auto"/>
        <w:jc w:val="both"/>
        <w:rPr>
          <w:rFonts w:ascii="Calibri" w:eastAsia="Times New Roman" w:hAnsi="Calibri" w:cs="Times New Roman"/>
          <w:szCs w:val="20"/>
        </w:rPr>
      </w:pPr>
    </w:p>
    <w:p w14:paraId="0A6A4B1F" w14:textId="77777777" w:rsidR="002F4B81" w:rsidRPr="002F4B81" w:rsidRDefault="002F4B81" w:rsidP="002F4B81">
      <w:pPr>
        <w:tabs>
          <w:tab w:val="left" w:pos="0"/>
        </w:tabs>
        <w:spacing w:after="60" w:line="240" w:lineRule="auto"/>
        <w:ind w:left="1440"/>
        <w:contextualSpacing/>
        <w:rPr>
          <w:rFonts w:ascii="Calibri" w:eastAsia="Calibri" w:hAnsi="Calibri" w:cs="Times New Roman"/>
        </w:rPr>
      </w:pPr>
    </w:p>
    <w:tbl>
      <w:tblPr>
        <w:tblW w:w="9010" w:type="dxa"/>
        <w:tblCellSpacing w:w="15" w:type="dxa"/>
        <w:tblInd w:w="632"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826"/>
        <w:gridCol w:w="2441"/>
        <w:gridCol w:w="2344"/>
        <w:gridCol w:w="2399"/>
      </w:tblGrid>
      <w:tr w:rsidR="002F4B81" w:rsidRPr="002F4B81" w14:paraId="74D9121E" w14:textId="77777777" w:rsidTr="00C667E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D09318"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Number of patients (in complete cohorts of 5)</w:t>
            </w:r>
          </w:p>
        </w:tc>
        <w:tc>
          <w:tcPr>
            <w:tcW w:w="0" w:type="auto"/>
            <w:tcBorders>
              <w:top w:val="outset" w:sz="6" w:space="0" w:color="auto"/>
              <w:left w:val="outset" w:sz="6" w:space="0" w:color="auto"/>
              <w:bottom w:val="outset" w:sz="6" w:space="0" w:color="auto"/>
              <w:right w:val="outset" w:sz="6" w:space="0" w:color="auto"/>
            </w:tcBorders>
            <w:vAlign w:val="center"/>
            <w:hideMark/>
          </w:tcPr>
          <w:p w14:paraId="1EA7C75A"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b/>
                <w:bCs/>
                <w:sz w:val="20"/>
                <w:szCs w:val="20"/>
                <w:lang w:eastAsia="en-GB"/>
              </w:rPr>
              <w:t>Stop</w:t>
            </w:r>
            <w:r w:rsidRPr="002F4B81">
              <w:rPr>
                <w:rFonts w:ascii="Tahoma" w:eastAsia="Times New Roman" w:hAnsi="Tahoma" w:cs="Times New Roman"/>
                <w:sz w:val="20"/>
                <w:szCs w:val="20"/>
                <w:lang w:eastAsia="en-GB"/>
              </w:rPr>
              <w:t xml:space="preserve"> the trial for Superiority if there are this many </w:t>
            </w:r>
            <w:r w:rsidRPr="002F4B81">
              <w:rPr>
                <w:rFonts w:ascii="Tahoma" w:eastAsia="Times New Roman" w:hAnsi="Tahoma" w:cs="Times New Roman"/>
                <w:b/>
                <w:sz w:val="20"/>
                <w:szCs w:val="20"/>
                <w:lang w:eastAsia="en-GB"/>
              </w:rPr>
              <w:t>Events</w:t>
            </w:r>
            <w:r w:rsidRPr="002F4B81">
              <w:rPr>
                <w:rFonts w:ascii="Tahoma" w:eastAsia="Times New Roman" w:hAnsi="Tahoma" w:cs="Times New Roman"/>
                <w:b/>
                <w:bCs/>
                <w:sz w:val="20"/>
                <w:szCs w:val="20"/>
                <w:lang w:eastAsia="en-GB"/>
              </w:rPr>
              <w:t xml:space="preserve"> </w:t>
            </w:r>
            <w:r w:rsidRPr="002F4B81">
              <w:rPr>
                <w:rFonts w:ascii="Tahoma" w:eastAsia="Times New Roman" w:hAnsi="Tahoma" w:cs="Times New Roman"/>
                <w:sz w:val="20"/>
                <w:szCs w:val="20"/>
                <w:lang w:eastAsia="en-GB"/>
              </w:rPr>
              <w:t>(inclusive)</w:t>
            </w:r>
          </w:p>
        </w:tc>
        <w:tc>
          <w:tcPr>
            <w:tcW w:w="0" w:type="auto"/>
            <w:tcBorders>
              <w:top w:val="outset" w:sz="6" w:space="0" w:color="auto"/>
              <w:left w:val="outset" w:sz="6" w:space="0" w:color="auto"/>
              <w:bottom w:val="outset" w:sz="6" w:space="0" w:color="auto"/>
              <w:right w:val="outset" w:sz="6" w:space="0" w:color="auto"/>
            </w:tcBorders>
            <w:vAlign w:val="center"/>
            <w:hideMark/>
          </w:tcPr>
          <w:p w14:paraId="2597940D"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b/>
                <w:bCs/>
                <w:sz w:val="20"/>
                <w:szCs w:val="20"/>
                <w:lang w:eastAsia="en-GB"/>
              </w:rPr>
              <w:t>Continue</w:t>
            </w:r>
            <w:r w:rsidRPr="002F4B81">
              <w:rPr>
                <w:rFonts w:ascii="Tahoma" w:eastAsia="Times New Roman" w:hAnsi="Tahoma" w:cs="Times New Roman"/>
                <w:sz w:val="20"/>
                <w:szCs w:val="20"/>
                <w:lang w:eastAsia="en-GB"/>
              </w:rPr>
              <w:t xml:space="preserve"> the trial if there are this many </w:t>
            </w:r>
            <w:r w:rsidRPr="002F4B81">
              <w:rPr>
                <w:rFonts w:ascii="Tahoma" w:eastAsia="Times New Roman" w:hAnsi="Tahoma" w:cs="Times New Roman"/>
                <w:b/>
                <w:bCs/>
                <w:sz w:val="20"/>
                <w:szCs w:val="20"/>
                <w:lang w:eastAsia="en-GB"/>
              </w:rPr>
              <w:t>Events</w:t>
            </w:r>
            <w:r w:rsidRPr="002F4B81">
              <w:rPr>
                <w:rFonts w:ascii="Tahoma" w:eastAsia="Times New Roman" w:hAnsi="Tahoma" w:cs="Times New Roman"/>
                <w:sz w:val="20"/>
                <w:szCs w:val="20"/>
                <w:lang w:eastAsia="en-GB"/>
              </w:rPr>
              <w:t xml:space="preserve"> (inclusive)</w:t>
            </w:r>
          </w:p>
        </w:tc>
        <w:tc>
          <w:tcPr>
            <w:tcW w:w="0" w:type="auto"/>
            <w:tcBorders>
              <w:top w:val="outset" w:sz="6" w:space="0" w:color="auto"/>
              <w:left w:val="outset" w:sz="6" w:space="0" w:color="auto"/>
              <w:bottom w:val="outset" w:sz="6" w:space="0" w:color="auto"/>
              <w:right w:val="outset" w:sz="6" w:space="0" w:color="auto"/>
            </w:tcBorders>
            <w:vAlign w:val="center"/>
            <w:hideMark/>
          </w:tcPr>
          <w:p w14:paraId="43176DB8"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b/>
                <w:bCs/>
                <w:sz w:val="20"/>
                <w:szCs w:val="20"/>
                <w:lang w:eastAsia="en-GB"/>
              </w:rPr>
              <w:t>Stop</w:t>
            </w:r>
            <w:r w:rsidRPr="002F4B81">
              <w:rPr>
                <w:rFonts w:ascii="Tahoma" w:eastAsia="Times New Roman" w:hAnsi="Tahoma" w:cs="Times New Roman"/>
                <w:sz w:val="20"/>
                <w:szCs w:val="20"/>
                <w:lang w:eastAsia="en-GB"/>
              </w:rPr>
              <w:t xml:space="preserve"> the trial for Inferiority if there are this many </w:t>
            </w:r>
            <w:r w:rsidRPr="002F4B81">
              <w:rPr>
                <w:rFonts w:ascii="Tahoma" w:eastAsia="Times New Roman" w:hAnsi="Tahoma" w:cs="Times New Roman"/>
                <w:b/>
                <w:bCs/>
                <w:sz w:val="20"/>
                <w:szCs w:val="20"/>
                <w:lang w:eastAsia="en-GB"/>
              </w:rPr>
              <w:t>Events</w:t>
            </w:r>
            <w:r w:rsidRPr="002F4B81">
              <w:rPr>
                <w:rFonts w:ascii="Tahoma" w:eastAsia="Times New Roman" w:hAnsi="Tahoma" w:cs="Times New Roman"/>
                <w:sz w:val="20"/>
                <w:szCs w:val="20"/>
                <w:lang w:eastAsia="en-GB"/>
              </w:rPr>
              <w:t xml:space="preserve"> (inclusive)</w:t>
            </w:r>
          </w:p>
        </w:tc>
      </w:tr>
      <w:tr w:rsidR="002F4B81" w:rsidRPr="002F4B81" w14:paraId="28B9DE3B" w14:textId="77777777" w:rsidTr="00C667E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9906C7"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 xml:space="preserve">5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A5E020"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Never stop for superiority with this many patients</w:t>
            </w:r>
          </w:p>
        </w:tc>
        <w:tc>
          <w:tcPr>
            <w:tcW w:w="0" w:type="auto"/>
            <w:tcBorders>
              <w:top w:val="outset" w:sz="6" w:space="0" w:color="auto"/>
              <w:left w:val="outset" w:sz="6" w:space="0" w:color="auto"/>
              <w:bottom w:val="outset" w:sz="6" w:space="0" w:color="auto"/>
              <w:right w:val="outset" w:sz="6" w:space="0" w:color="auto"/>
            </w:tcBorders>
            <w:vAlign w:val="center"/>
            <w:hideMark/>
          </w:tcPr>
          <w:p w14:paraId="319411AE"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0-1</w:t>
            </w:r>
          </w:p>
        </w:tc>
        <w:tc>
          <w:tcPr>
            <w:tcW w:w="0" w:type="auto"/>
            <w:tcBorders>
              <w:top w:val="outset" w:sz="6" w:space="0" w:color="auto"/>
              <w:left w:val="outset" w:sz="6" w:space="0" w:color="auto"/>
              <w:bottom w:val="outset" w:sz="6" w:space="0" w:color="auto"/>
              <w:right w:val="outset" w:sz="6" w:space="0" w:color="auto"/>
            </w:tcBorders>
            <w:vAlign w:val="center"/>
            <w:hideMark/>
          </w:tcPr>
          <w:p w14:paraId="187702FA"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2-5</w:t>
            </w:r>
          </w:p>
        </w:tc>
      </w:tr>
      <w:tr w:rsidR="002F4B81" w:rsidRPr="002F4B81" w14:paraId="246BD3D1" w14:textId="77777777" w:rsidTr="00C667E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8F33C1"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10 or 15</w:t>
            </w:r>
          </w:p>
        </w:tc>
        <w:tc>
          <w:tcPr>
            <w:tcW w:w="0" w:type="auto"/>
            <w:tcBorders>
              <w:top w:val="outset" w:sz="6" w:space="0" w:color="auto"/>
              <w:left w:val="outset" w:sz="6" w:space="0" w:color="auto"/>
              <w:bottom w:val="outset" w:sz="6" w:space="0" w:color="auto"/>
              <w:right w:val="outset" w:sz="6" w:space="0" w:color="auto"/>
            </w:tcBorders>
            <w:vAlign w:val="center"/>
            <w:hideMark/>
          </w:tcPr>
          <w:p w14:paraId="79C16766"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Never stop for superiority with this many patients</w:t>
            </w:r>
          </w:p>
        </w:tc>
        <w:tc>
          <w:tcPr>
            <w:tcW w:w="0" w:type="auto"/>
            <w:tcBorders>
              <w:top w:val="outset" w:sz="6" w:space="0" w:color="auto"/>
              <w:left w:val="outset" w:sz="6" w:space="0" w:color="auto"/>
              <w:bottom w:val="outset" w:sz="6" w:space="0" w:color="auto"/>
              <w:right w:val="outset" w:sz="6" w:space="0" w:color="auto"/>
            </w:tcBorders>
            <w:vAlign w:val="center"/>
            <w:hideMark/>
          </w:tcPr>
          <w:p w14:paraId="0BA8B0AA"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0-2</w:t>
            </w:r>
          </w:p>
        </w:tc>
        <w:tc>
          <w:tcPr>
            <w:tcW w:w="0" w:type="auto"/>
            <w:tcBorders>
              <w:top w:val="outset" w:sz="6" w:space="0" w:color="auto"/>
              <w:left w:val="outset" w:sz="6" w:space="0" w:color="auto"/>
              <w:bottom w:val="outset" w:sz="6" w:space="0" w:color="auto"/>
              <w:right w:val="outset" w:sz="6" w:space="0" w:color="auto"/>
            </w:tcBorders>
            <w:vAlign w:val="center"/>
            <w:hideMark/>
          </w:tcPr>
          <w:p w14:paraId="618E1FEE"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3-15</w:t>
            </w:r>
          </w:p>
        </w:tc>
      </w:tr>
      <w:tr w:rsidR="002F4B81" w:rsidRPr="002F4B81" w14:paraId="798BA8AA" w14:textId="77777777" w:rsidTr="00C667E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A9B10C"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 xml:space="preserve">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F9F513"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Never stop for superiority with this many patients</w:t>
            </w:r>
          </w:p>
        </w:tc>
        <w:tc>
          <w:tcPr>
            <w:tcW w:w="0" w:type="auto"/>
            <w:tcBorders>
              <w:top w:val="outset" w:sz="6" w:space="0" w:color="auto"/>
              <w:left w:val="outset" w:sz="6" w:space="0" w:color="auto"/>
              <w:bottom w:val="outset" w:sz="6" w:space="0" w:color="auto"/>
              <w:right w:val="outset" w:sz="6" w:space="0" w:color="auto"/>
            </w:tcBorders>
            <w:vAlign w:val="center"/>
            <w:hideMark/>
          </w:tcPr>
          <w:p w14:paraId="473B99F7"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0-3</w:t>
            </w:r>
          </w:p>
        </w:tc>
        <w:tc>
          <w:tcPr>
            <w:tcW w:w="0" w:type="auto"/>
            <w:tcBorders>
              <w:top w:val="outset" w:sz="6" w:space="0" w:color="auto"/>
              <w:left w:val="outset" w:sz="6" w:space="0" w:color="auto"/>
              <w:bottom w:val="outset" w:sz="6" w:space="0" w:color="auto"/>
              <w:right w:val="outset" w:sz="6" w:space="0" w:color="auto"/>
            </w:tcBorders>
            <w:vAlign w:val="center"/>
            <w:hideMark/>
          </w:tcPr>
          <w:p w14:paraId="548E7E2F"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4-20</w:t>
            </w:r>
          </w:p>
        </w:tc>
      </w:tr>
      <w:tr w:rsidR="002F4B81" w:rsidRPr="002F4B81" w14:paraId="7C839A55" w14:textId="77777777" w:rsidTr="00C667E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D2688E"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lastRenderedPageBreak/>
              <w:t>25 or 30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0217E2"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Never stop for superiority with this many patients</w:t>
            </w:r>
          </w:p>
        </w:tc>
        <w:tc>
          <w:tcPr>
            <w:tcW w:w="0" w:type="auto"/>
            <w:tcBorders>
              <w:top w:val="outset" w:sz="6" w:space="0" w:color="auto"/>
              <w:left w:val="outset" w:sz="6" w:space="0" w:color="auto"/>
              <w:bottom w:val="outset" w:sz="6" w:space="0" w:color="auto"/>
              <w:right w:val="outset" w:sz="6" w:space="0" w:color="auto"/>
            </w:tcBorders>
            <w:vAlign w:val="center"/>
            <w:hideMark/>
          </w:tcPr>
          <w:p w14:paraId="475AFC2A"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0-4 (The trial always stops at 30 patients, which is the maximum)</w:t>
            </w:r>
          </w:p>
        </w:tc>
        <w:tc>
          <w:tcPr>
            <w:tcW w:w="0" w:type="auto"/>
            <w:tcBorders>
              <w:top w:val="outset" w:sz="6" w:space="0" w:color="auto"/>
              <w:left w:val="outset" w:sz="6" w:space="0" w:color="auto"/>
              <w:bottom w:val="outset" w:sz="6" w:space="0" w:color="auto"/>
              <w:right w:val="outset" w:sz="6" w:space="0" w:color="auto"/>
            </w:tcBorders>
            <w:vAlign w:val="center"/>
            <w:hideMark/>
          </w:tcPr>
          <w:p w14:paraId="0888A08B" w14:textId="77777777" w:rsidR="002F4B81" w:rsidRPr="002F4B81" w:rsidRDefault="002F4B81" w:rsidP="002F4B81">
            <w:pPr>
              <w:spacing w:after="0" w:line="240" w:lineRule="auto"/>
              <w:rPr>
                <w:rFonts w:ascii="Tahoma" w:eastAsia="Times New Roman" w:hAnsi="Tahoma" w:cs="Times New Roman"/>
                <w:sz w:val="20"/>
                <w:szCs w:val="20"/>
                <w:lang w:eastAsia="en-GB"/>
              </w:rPr>
            </w:pPr>
            <w:r w:rsidRPr="002F4B81">
              <w:rPr>
                <w:rFonts w:ascii="Tahoma" w:eastAsia="Times New Roman" w:hAnsi="Tahoma" w:cs="Times New Roman"/>
                <w:sz w:val="20"/>
                <w:szCs w:val="20"/>
                <w:lang w:eastAsia="en-GB"/>
              </w:rPr>
              <w:t>5-30</w:t>
            </w:r>
          </w:p>
        </w:tc>
      </w:tr>
    </w:tbl>
    <w:p w14:paraId="5FC4A4AA" w14:textId="77777777" w:rsidR="002F4B81" w:rsidRPr="002F4B81" w:rsidRDefault="002F4B81" w:rsidP="002F4B81">
      <w:pPr>
        <w:spacing w:after="60" w:line="276" w:lineRule="auto"/>
        <w:ind w:left="720"/>
        <w:contextualSpacing/>
        <w:rPr>
          <w:rFonts w:ascii="Times New Roman" w:eastAsia="Calibri" w:hAnsi="Times New Roman" w:cs="Times New Roman"/>
          <w:sz w:val="20"/>
          <w:szCs w:val="20"/>
        </w:rPr>
      </w:pPr>
    </w:p>
    <w:p w14:paraId="15EDFC48" w14:textId="77777777" w:rsidR="002F4B81" w:rsidRPr="002F4B81" w:rsidRDefault="002F4B81" w:rsidP="002F4B81">
      <w:pPr>
        <w:spacing w:after="60" w:line="240" w:lineRule="auto"/>
        <w:jc w:val="both"/>
        <w:rPr>
          <w:rFonts w:ascii="Calibri" w:eastAsia="Times New Roman" w:hAnsi="Calibri" w:cs="Times New Roman"/>
          <w:szCs w:val="20"/>
        </w:rPr>
      </w:pPr>
      <w:r w:rsidRPr="002F4B81">
        <w:rPr>
          <w:rFonts w:ascii="Calibri" w:eastAsia="Times New Roman" w:hAnsi="Calibri" w:cs="Times New Roman"/>
          <w:szCs w:val="20"/>
        </w:rPr>
        <w:t>We have taken the conservative approach of stopping the study on the grounds of inferiority should there be 2 serious events in the first cohort of 5 patients. Subsequent to this, the study would stop should there be 3 or more serious events observed in the first 15 patients, 4 or more in the first 20 patients, and 5 or more in the whole study population during follow-up.</w:t>
      </w:r>
    </w:p>
    <w:p w14:paraId="65F4068F" w14:textId="77777777" w:rsidR="002F4B81" w:rsidRPr="002F4B81" w:rsidRDefault="002F4B81" w:rsidP="002F4B81">
      <w:pPr>
        <w:spacing w:after="60" w:line="240" w:lineRule="auto"/>
        <w:jc w:val="both"/>
        <w:rPr>
          <w:rFonts w:ascii="Calibri" w:eastAsia="Times New Roman" w:hAnsi="Calibri" w:cs="Times New Roman"/>
          <w:szCs w:val="20"/>
          <w:lang w:val="en-US"/>
        </w:rPr>
      </w:pPr>
      <w:r w:rsidRPr="002F4B81">
        <w:rPr>
          <w:rFonts w:ascii="Calibri" w:eastAsia="Times New Roman" w:hAnsi="Calibri" w:cs="Times New Roman"/>
          <w:szCs w:val="20"/>
          <w:lang w:val="en-US"/>
        </w:rPr>
        <w:t>Therefore, we are well placed to quickly respond to any negative safety signal from the emerging data.</w:t>
      </w:r>
    </w:p>
    <w:p w14:paraId="5DAC82D3" w14:textId="77777777" w:rsidR="002F4B81" w:rsidRPr="002F4B81" w:rsidRDefault="002F4B81" w:rsidP="002F4B81">
      <w:pPr>
        <w:spacing w:after="60" w:line="240" w:lineRule="auto"/>
        <w:jc w:val="both"/>
        <w:rPr>
          <w:rFonts w:ascii="Calibri" w:eastAsia="Times New Roman" w:hAnsi="Calibri" w:cs="Times New Roman"/>
          <w:szCs w:val="20"/>
          <w:lang w:val="en-US"/>
        </w:rPr>
      </w:pPr>
    </w:p>
    <w:p w14:paraId="3E23C18D" w14:textId="77777777" w:rsidR="002F4B81" w:rsidRPr="002F4B81" w:rsidRDefault="002F4B81" w:rsidP="002F4B81">
      <w:pPr>
        <w:spacing w:after="60" w:line="240" w:lineRule="auto"/>
        <w:jc w:val="both"/>
        <w:rPr>
          <w:rFonts w:ascii="Calibri" w:eastAsia="Times New Roman" w:hAnsi="Calibri" w:cs="Times New Roman"/>
          <w:szCs w:val="20"/>
          <w:lang w:val="en-US"/>
        </w:rPr>
      </w:pPr>
      <w:r w:rsidRPr="002F4B81">
        <w:rPr>
          <w:rFonts w:ascii="Calibri" w:eastAsia="Times New Roman" w:hAnsi="Calibri" w:cs="Times New Roman"/>
          <w:szCs w:val="20"/>
          <w:lang w:val="en-US"/>
        </w:rPr>
        <w:t xml:space="preserve">These numbers have been obtained using 1000 repetitions in the software simulation. These calculations have also been repeated using different numbers of repetitions; in these </w:t>
      </w:r>
      <w:proofErr w:type="gramStart"/>
      <w:r w:rsidRPr="002F4B81">
        <w:rPr>
          <w:rFonts w:ascii="Calibri" w:eastAsia="Times New Roman" w:hAnsi="Calibri" w:cs="Times New Roman"/>
          <w:szCs w:val="20"/>
          <w:lang w:val="en-US"/>
        </w:rPr>
        <w:t>cases</w:t>
      </w:r>
      <w:proofErr w:type="gramEnd"/>
      <w:r w:rsidRPr="002F4B81">
        <w:rPr>
          <w:rFonts w:ascii="Calibri" w:eastAsia="Times New Roman" w:hAnsi="Calibri" w:cs="Times New Roman"/>
          <w:szCs w:val="20"/>
          <w:lang w:val="en-US"/>
        </w:rPr>
        <w:t xml:space="preserve"> the resulting stopping boundaries are unchanged from those quoted above while the probability of stopping for inferiority and the average number of patients treated are marginally changed.</w:t>
      </w:r>
    </w:p>
    <w:p w14:paraId="7CC52373" w14:textId="77777777" w:rsidR="002F4B81" w:rsidRPr="002F4B81" w:rsidRDefault="002F4B81" w:rsidP="002F4B81">
      <w:pPr>
        <w:spacing w:after="0" w:line="240" w:lineRule="auto"/>
        <w:jc w:val="both"/>
        <w:rPr>
          <w:rFonts w:ascii="Calibri" w:eastAsia="Times New Roman" w:hAnsi="Calibri" w:cs="TimesNewRomanPSMT"/>
          <w:szCs w:val="20"/>
        </w:rPr>
      </w:pPr>
    </w:p>
    <w:p w14:paraId="31EDDBD4" w14:textId="77777777" w:rsidR="002F4B81" w:rsidRPr="002F4B81" w:rsidRDefault="002F4B81" w:rsidP="002F4B81">
      <w:pPr>
        <w:spacing w:after="0" w:line="240" w:lineRule="auto"/>
        <w:jc w:val="both"/>
        <w:rPr>
          <w:rFonts w:ascii="Calibri" w:eastAsia="Times New Roman" w:hAnsi="Calibri" w:cs="TimesNewRomanPSMT"/>
          <w:szCs w:val="20"/>
        </w:rPr>
      </w:pPr>
      <w:r w:rsidRPr="002F4B81">
        <w:rPr>
          <w:rFonts w:ascii="Calibri" w:eastAsia="Times New Roman" w:hAnsi="Calibri" w:cs="TimesNewRomanPSMT"/>
          <w:szCs w:val="20"/>
        </w:rPr>
        <w:t>It is acknowledged that there may well be differing risk of relapse according to disease aetiology however, the available numbers do not allow for risk strata to be monitored separately. The Data Monitoring Committee (DMC) will consider the issue of risk based on disease aetiology as part of their remit.</w:t>
      </w:r>
    </w:p>
    <w:p w14:paraId="0D1720F8" w14:textId="77777777" w:rsidR="002F4B81" w:rsidRPr="002F4B81" w:rsidRDefault="002F4B81" w:rsidP="002F4B81">
      <w:pPr>
        <w:spacing w:after="0" w:line="240" w:lineRule="auto"/>
        <w:jc w:val="both"/>
        <w:rPr>
          <w:rFonts w:ascii="Calibri" w:eastAsia="Times New Roman" w:hAnsi="Calibri" w:cs="TimesNewRomanPSMT"/>
          <w:szCs w:val="20"/>
        </w:rPr>
      </w:pPr>
    </w:p>
    <w:p w14:paraId="4B589279" w14:textId="77777777" w:rsidR="002F4B81" w:rsidRPr="002F4B81" w:rsidRDefault="002F4B81" w:rsidP="002F4B81">
      <w:pPr>
        <w:spacing w:after="0" w:line="240" w:lineRule="auto"/>
        <w:jc w:val="both"/>
        <w:rPr>
          <w:rFonts w:ascii="Calibri" w:eastAsia="Times New Roman" w:hAnsi="Calibri" w:cs="TimesNewRomanPSMT"/>
          <w:szCs w:val="20"/>
        </w:rPr>
      </w:pPr>
      <w:r w:rsidRPr="002F4B81">
        <w:rPr>
          <w:rFonts w:ascii="Calibri" w:eastAsia="Times New Roman" w:hAnsi="Calibri" w:cs="TimesNewRomanPSMT"/>
          <w:szCs w:val="20"/>
        </w:rPr>
        <w:t xml:space="preserve">In addition to this ongoing analysis, at the end of the study, the primary outcome data will also be reported descriptively, together with the number of patients recruited. Descriptive statistics reported will be selected from mean, median, standard deviation, </w:t>
      </w:r>
      <w:proofErr w:type="gramStart"/>
      <w:r w:rsidRPr="002F4B81">
        <w:rPr>
          <w:rFonts w:ascii="Calibri" w:eastAsia="Times New Roman" w:hAnsi="Calibri" w:cs="TimesNewRomanPSMT"/>
          <w:szCs w:val="20"/>
        </w:rPr>
        <w:t>range</w:t>
      </w:r>
      <w:proofErr w:type="gramEnd"/>
      <w:r w:rsidRPr="002F4B81">
        <w:rPr>
          <w:rFonts w:ascii="Calibri" w:eastAsia="Times New Roman" w:hAnsi="Calibri" w:cs="TimesNewRomanPSMT"/>
          <w:szCs w:val="20"/>
        </w:rPr>
        <w:t xml:space="preserve"> and inter-quartile range as appropriate to the specific outcome measure. For proportion outcomes, the number of patients recording the event will be reported together with this value.</w:t>
      </w:r>
    </w:p>
    <w:p w14:paraId="1FF817A2" w14:textId="77777777" w:rsidR="002F4B81" w:rsidRPr="002F4B81" w:rsidRDefault="002F4B81" w:rsidP="002F4B81">
      <w:pPr>
        <w:spacing w:after="0" w:line="240" w:lineRule="auto"/>
        <w:jc w:val="both"/>
        <w:rPr>
          <w:rFonts w:ascii="Calibri" w:eastAsia="Times New Roman" w:hAnsi="Calibri" w:cs="TimesNewRomanPSMT"/>
          <w:szCs w:val="20"/>
        </w:rPr>
      </w:pPr>
    </w:p>
    <w:p w14:paraId="0BAF5601" w14:textId="77777777" w:rsidR="002F4B81" w:rsidRPr="002F4B81" w:rsidRDefault="002F4B81" w:rsidP="002F4B81">
      <w:pPr>
        <w:spacing w:after="0" w:line="240" w:lineRule="auto"/>
        <w:jc w:val="both"/>
        <w:rPr>
          <w:rFonts w:ascii="Calibri" w:eastAsia="Times New Roman" w:hAnsi="Calibri" w:cs="TimesNewRomanPSMT"/>
          <w:szCs w:val="20"/>
        </w:rPr>
      </w:pPr>
      <w:r w:rsidRPr="002F4B81">
        <w:rPr>
          <w:rFonts w:ascii="Calibri" w:eastAsia="Times New Roman" w:hAnsi="Calibri" w:cs="TimesNewRomanPSMT"/>
          <w:szCs w:val="20"/>
        </w:rPr>
        <w:t>Due to small the sample size, no comparative statistical methods will be applied. There will be no imputation of any missing data and analysis will take the form of a complete case analysis.</w:t>
      </w:r>
    </w:p>
    <w:p w14:paraId="60832806" w14:textId="77777777" w:rsidR="002F4B81" w:rsidRPr="002F4B81" w:rsidRDefault="002F4B81" w:rsidP="002F4B81">
      <w:pPr>
        <w:spacing w:after="0" w:line="240" w:lineRule="auto"/>
        <w:jc w:val="both"/>
        <w:rPr>
          <w:rFonts w:ascii="Calibri" w:eastAsia="Times New Roman" w:hAnsi="Calibri" w:cs="TimesNewRomanPSMT"/>
          <w:szCs w:val="20"/>
        </w:rPr>
      </w:pPr>
    </w:p>
    <w:p w14:paraId="22A348D8" w14:textId="77777777" w:rsidR="002F4B81" w:rsidRPr="002F4B81" w:rsidRDefault="002F4B81" w:rsidP="002F4B81">
      <w:pPr>
        <w:spacing w:after="0" w:line="240" w:lineRule="auto"/>
        <w:jc w:val="both"/>
        <w:rPr>
          <w:rFonts w:ascii="Calibri" w:eastAsia="Times New Roman" w:hAnsi="Calibri" w:cs="TimesNewRomanPSMT"/>
          <w:szCs w:val="20"/>
        </w:rPr>
      </w:pPr>
      <w:r w:rsidRPr="002F4B81">
        <w:rPr>
          <w:rFonts w:ascii="Calibri" w:eastAsia="Times New Roman" w:hAnsi="Calibri" w:cs="TimesNewRomanPSMT"/>
          <w:szCs w:val="20"/>
        </w:rPr>
        <w:t>Should primary outcome data be available for fewer than 30 participants, sensitivity analyses will explore the effects on trial conclusions of assuming that the remaining participants suffered a primary outcome event.</w:t>
      </w:r>
    </w:p>
    <w:p w14:paraId="6D2E5810" w14:textId="77777777" w:rsidR="002F4B81" w:rsidRPr="002F4B81" w:rsidRDefault="002F4B81" w:rsidP="002F4B81">
      <w:pPr>
        <w:spacing w:after="0" w:line="240" w:lineRule="auto"/>
        <w:jc w:val="both"/>
        <w:rPr>
          <w:rFonts w:ascii="Calibri" w:eastAsia="Times New Roman" w:hAnsi="Calibri" w:cs="TimesNewRomanPSMT"/>
          <w:szCs w:val="20"/>
        </w:rPr>
      </w:pPr>
    </w:p>
    <w:p w14:paraId="25F55699" w14:textId="77777777" w:rsidR="002F4B81" w:rsidRPr="002F4B81" w:rsidRDefault="002F4B81" w:rsidP="002F4B81">
      <w:pPr>
        <w:spacing w:after="0" w:line="240" w:lineRule="auto"/>
        <w:jc w:val="both"/>
        <w:rPr>
          <w:rFonts w:ascii="Calibri" w:eastAsia="Times New Roman" w:hAnsi="Calibri" w:cs="Times New Roman"/>
          <w:szCs w:val="20"/>
        </w:rPr>
      </w:pPr>
      <w:bookmarkStart w:id="112" w:name="_Toc451345303"/>
      <w:r w:rsidRPr="002F4B81">
        <w:rPr>
          <w:rFonts w:ascii="Calibri" w:eastAsia="Times New Roman" w:hAnsi="Calibri" w:cs="Times New Roman"/>
        </w:rPr>
        <w:t>T</w:t>
      </w:r>
      <w:r w:rsidRPr="002F4B81">
        <w:rPr>
          <w:rFonts w:ascii="Calibri" w:eastAsia="Times New Roman" w:hAnsi="Calibri" w:cs="Times New Roman"/>
          <w:szCs w:val="20"/>
        </w:rPr>
        <w:t>ables</w:t>
      </w:r>
      <w:r w:rsidRPr="002F4B81">
        <w:rPr>
          <w:rFonts w:ascii="Calibri" w:eastAsia="Times New Roman" w:hAnsi="Calibri" w:cs="Times New Roman"/>
          <w:color w:val="FF0000"/>
          <w:szCs w:val="20"/>
        </w:rPr>
        <w:t xml:space="preserve"> </w:t>
      </w:r>
      <w:r w:rsidRPr="002F4B81">
        <w:rPr>
          <w:rFonts w:ascii="Calibri" w:eastAsia="Times New Roman" w:hAnsi="Calibri" w:cs="Times New Roman"/>
          <w:szCs w:val="20"/>
        </w:rPr>
        <w:t xml:space="preserve">summarising withdrawals from the trial will be provided. This is the number of participants suffering </w:t>
      </w:r>
      <w:bookmarkEnd w:id="112"/>
      <w:r w:rsidRPr="002F4B81">
        <w:rPr>
          <w:rFonts w:ascii="Calibri" w:eastAsia="Times New Roman" w:hAnsi="Calibri" w:cs="Times New Roman"/>
          <w:szCs w:val="20"/>
        </w:rPr>
        <w:t>a TMA related SAE.</w:t>
      </w:r>
    </w:p>
    <w:p w14:paraId="5007FDED" w14:textId="77777777" w:rsidR="002F4B81" w:rsidRPr="002F4B81" w:rsidRDefault="002F4B81" w:rsidP="002F4B81">
      <w:pPr>
        <w:spacing w:after="0" w:line="240" w:lineRule="auto"/>
        <w:jc w:val="both"/>
        <w:rPr>
          <w:rFonts w:ascii="Calibri" w:eastAsia="Times New Roman" w:hAnsi="Calibri" w:cs="Times New Roman"/>
          <w:szCs w:val="20"/>
        </w:rPr>
      </w:pPr>
    </w:p>
    <w:p w14:paraId="5DA55ED6" w14:textId="77777777" w:rsidR="002F4B81" w:rsidRPr="002F4B81" w:rsidRDefault="002F4B81" w:rsidP="002F4B81">
      <w:pPr>
        <w:numPr>
          <w:ilvl w:val="0"/>
          <w:numId w:val="43"/>
        </w:numPr>
        <w:spacing w:after="0" w:line="240" w:lineRule="auto"/>
        <w:jc w:val="both"/>
        <w:rPr>
          <w:rFonts w:ascii="Calibri" w:eastAsia="Times New Roman" w:hAnsi="Calibri" w:cs="TimesNewRomanPSMT"/>
          <w:szCs w:val="20"/>
        </w:rPr>
      </w:pPr>
      <w:r w:rsidRPr="002F4B81">
        <w:rPr>
          <w:rFonts w:ascii="Calibri" w:eastAsia="Times New Roman" w:hAnsi="Calibri" w:cs="Times New Roman"/>
          <w:szCs w:val="20"/>
        </w:rPr>
        <w:t xml:space="preserve">In practical terms, a sequential ID will be assigned for each participant in the withdrawal trial as this is crucial to the implementation of the primary outcome stopping rule. A separate number sequence will be used for the Health Economics </w:t>
      </w:r>
      <w:proofErr w:type="gramStart"/>
      <w:r w:rsidRPr="002F4B81">
        <w:rPr>
          <w:rFonts w:ascii="Calibri" w:eastAsia="Times New Roman" w:hAnsi="Calibri" w:cs="Times New Roman"/>
          <w:szCs w:val="20"/>
        </w:rPr>
        <w:t>patients</w:t>
      </w:r>
      <w:proofErr w:type="gramEnd"/>
      <w:r w:rsidRPr="002F4B81">
        <w:rPr>
          <w:rFonts w:ascii="Calibri" w:eastAsia="Times New Roman" w:hAnsi="Calibri" w:cs="Times New Roman"/>
          <w:szCs w:val="20"/>
        </w:rPr>
        <w:t xml:space="preserve"> and this will be documented in the Health Economics Analysis Plan (HEAP).  In summary we will assess the number of proportion of participants who successfully discontinue treatment of Eculizumab until completion of the trial after 24 months of follow-up. The stopping boundaries tabulated above mean in practical terms that if two of the first five participants in the trial suffer a </w:t>
      </w:r>
      <w:r w:rsidRPr="002F4B81">
        <w:rPr>
          <w:rFonts w:ascii="Calibri" w:eastAsia="Times New Roman" w:hAnsi="Calibri" w:cs="TimesNewRomanPSMT"/>
          <w:szCs w:val="20"/>
        </w:rPr>
        <w:t xml:space="preserve">Thrombotic Microangiopathy (TMA) SAE then the trial would stop prematurely. </w:t>
      </w:r>
      <w:proofErr w:type="gramStart"/>
      <w:r w:rsidRPr="002F4B81">
        <w:rPr>
          <w:rFonts w:ascii="Calibri" w:eastAsia="Times New Roman" w:hAnsi="Calibri" w:cs="TimesNewRomanPSMT"/>
          <w:szCs w:val="20"/>
        </w:rPr>
        <w:t>Similarly</w:t>
      </w:r>
      <w:proofErr w:type="gramEnd"/>
      <w:r w:rsidRPr="002F4B81">
        <w:rPr>
          <w:rFonts w:ascii="Calibri" w:eastAsia="Times New Roman" w:hAnsi="Calibri" w:cs="TimesNewRomanPSMT"/>
          <w:szCs w:val="20"/>
        </w:rPr>
        <w:t xml:space="preserve"> if there are three events in first 15 participants, four in first 20 or five at any time then the trial would be stopped. If these conditions are not met, the trial will continue until last patient last follow up which will be the thirtieth participant at their </w:t>
      </w:r>
      <w:proofErr w:type="gramStart"/>
      <w:r w:rsidRPr="002F4B81">
        <w:rPr>
          <w:rFonts w:ascii="Calibri" w:eastAsia="Times New Roman" w:hAnsi="Calibri" w:cs="TimesNewRomanPSMT"/>
          <w:szCs w:val="20"/>
        </w:rPr>
        <w:t>24 month</w:t>
      </w:r>
      <w:proofErr w:type="gramEnd"/>
      <w:r w:rsidRPr="002F4B81">
        <w:rPr>
          <w:rFonts w:ascii="Calibri" w:eastAsia="Times New Roman" w:hAnsi="Calibri" w:cs="TimesNewRomanPSMT"/>
          <w:szCs w:val="20"/>
        </w:rPr>
        <w:t xml:space="preserve"> visit. </w:t>
      </w:r>
    </w:p>
    <w:p w14:paraId="2C342D9B" w14:textId="77777777" w:rsidR="002F4B81" w:rsidRPr="002F4B81" w:rsidRDefault="002F4B81" w:rsidP="002F4B81">
      <w:pPr>
        <w:spacing w:after="0" w:line="240" w:lineRule="auto"/>
        <w:jc w:val="both"/>
        <w:rPr>
          <w:rFonts w:ascii="Calibri" w:eastAsia="Times New Roman" w:hAnsi="Calibri" w:cs="TimesNewRomanPSMT"/>
          <w:b/>
          <w:szCs w:val="20"/>
        </w:rPr>
      </w:pPr>
    </w:p>
    <w:p w14:paraId="68C6626E" w14:textId="77777777" w:rsidR="002F4B81" w:rsidRPr="002F4B81" w:rsidRDefault="002F4B81" w:rsidP="002F4B81">
      <w:pPr>
        <w:spacing w:after="0" w:line="240" w:lineRule="auto"/>
        <w:jc w:val="both"/>
        <w:rPr>
          <w:rFonts w:ascii="Calibri" w:eastAsia="Times New Roman" w:hAnsi="Calibri" w:cs="TimesNewRomanPSMT"/>
          <w:szCs w:val="20"/>
        </w:rPr>
      </w:pPr>
      <w:r w:rsidRPr="002F4B81">
        <w:rPr>
          <w:rFonts w:ascii="Calibri" w:eastAsia="Times New Roman" w:hAnsi="Calibri" w:cs="TimesNewRomanPSMT"/>
          <w:b/>
          <w:szCs w:val="20"/>
        </w:rPr>
        <w:t xml:space="preserve">Table 2: </w:t>
      </w:r>
      <w:r w:rsidRPr="002F4B81">
        <w:rPr>
          <w:rFonts w:ascii="Calibri" w:eastAsia="Times New Roman" w:hAnsi="Calibri" w:cs="Times New Roman"/>
          <w:b/>
          <w:szCs w:val="20"/>
        </w:rPr>
        <w:t xml:space="preserve">Number of patients with a </w:t>
      </w:r>
      <w:r w:rsidRPr="002F4B81">
        <w:rPr>
          <w:rFonts w:ascii="Calibri" w:eastAsia="Times New Roman" w:hAnsi="Calibri" w:cs="TimesNewRomanPSMT"/>
          <w:b/>
          <w:szCs w:val="20"/>
        </w:rPr>
        <w:t>Thrombotic Microangiopathy</w:t>
      </w:r>
      <w:r w:rsidRPr="002F4B81">
        <w:rPr>
          <w:rFonts w:ascii="Calibri" w:eastAsia="Times New Roman" w:hAnsi="Calibri" w:cs="Times New Roman"/>
          <w:b/>
          <w:szCs w:val="20"/>
        </w:rPr>
        <w:t xml:space="preserve"> (TMA) related Serious Adverse Event (SAE)</w:t>
      </w: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992"/>
        <w:gridCol w:w="4394"/>
      </w:tblGrid>
      <w:tr w:rsidR="002F4B81" w:rsidRPr="002F4B81" w14:paraId="142566F5" w14:textId="77777777" w:rsidTr="00C667E5">
        <w:tc>
          <w:tcPr>
            <w:tcW w:w="2802" w:type="dxa"/>
            <w:shd w:val="clear" w:color="auto" w:fill="auto"/>
          </w:tcPr>
          <w:p w14:paraId="1DBB0EF9" w14:textId="77777777" w:rsidR="002F4B81" w:rsidRPr="002F4B81" w:rsidRDefault="002F4B81" w:rsidP="002F4B81">
            <w:pPr>
              <w:spacing w:after="0" w:line="240" w:lineRule="auto"/>
              <w:ind w:right="-153"/>
              <w:rPr>
                <w:rFonts w:ascii="Calibri" w:eastAsia="Times New Roman" w:hAnsi="Calibri" w:cs="Times New Roman"/>
                <w:b/>
                <w:szCs w:val="20"/>
              </w:rPr>
            </w:pPr>
          </w:p>
        </w:tc>
        <w:tc>
          <w:tcPr>
            <w:tcW w:w="992" w:type="dxa"/>
            <w:shd w:val="clear" w:color="auto" w:fill="auto"/>
          </w:tcPr>
          <w:p w14:paraId="2C3A2759"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n (%)</w:t>
            </w:r>
          </w:p>
        </w:tc>
        <w:tc>
          <w:tcPr>
            <w:tcW w:w="4394" w:type="dxa"/>
            <w:shd w:val="clear" w:color="auto" w:fill="auto"/>
          </w:tcPr>
          <w:p w14:paraId="4E044059"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Additional details</w:t>
            </w:r>
          </w:p>
        </w:tc>
      </w:tr>
      <w:tr w:rsidR="002F4B81" w:rsidRPr="002F4B81" w14:paraId="2F44DBFA" w14:textId="77777777" w:rsidTr="00C667E5">
        <w:tc>
          <w:tcPr>
            <w:tcW w:w="2802" w:type="dxa"/>
            <w:shd w:val="clear" w:color="auto" w:fill="auto"/>
          </w:tcPr>
          <w:p w14:paraId="79EB898F" w14:textId="77777777" w:rsidR="002F4B81" w:rsidRPr="002F4B81" w:rsidRDefault="002F4B81" w:rsidP="002F4B81">
            <w:pPr>
              <w:spacing w:after="0" w:line="240" w:lineRule="auto"/>
              <w:ind w:right="-153"/>
              <w:rPr>
                <w:rFonts w:ascii="Calibri" w:eastAsia="Times New Roman" w:hAnsi="Calibri" w:cs="Times New Roman"/>
                <w:szCs w:val="20"/>
              </w:rPr>
            </w:pPr>
            <w:r w:rsidRPr="002F4B81">
              <w:rPr>
                <w:rFonts w:ascii="Calibri" w:eastAsia="Times New Roman" w:hAnsi="Calibri" w:cs="Times New Roman"/>
                <w:szCs w:val="20"/>
              </w:rPr>
              <w:t xml:space="preserve">Number of patients with  </w:t>
            </w:r>
            <w:proofErr w:type="spellStart"/>
            <w:r w:rsidRPr="002F4B81">
              <w:rPr>
                <w:rFonts w:ascii="Calibri" w:eastAsia="Times New Roman" w:hAnsi="Calibri" w:cs="Times New Roman"/>
                <w:szCs w:val="20"/>
              </w:rPr>
              <w:t>TMA</w:t>
            </w:r>
            <w:r w:rsidRPr="002F4B81">
              <w:rPr>
                <w:rFonts w:ascii="Calibri" w:eastAsia="Times New Roman" w:hAnsi="Calibri" w:cs="Times New Roman"/>
                <w:szCs w:val="20"/>
                <w:vertAlign w:val="superscript"/>
              </w:rPr>
              <w:t>a</w:t>
            </w:r>
            <w:proofErr w:type="spellEnd"/>
            <w:r w:rsidRPr="002F4B81">
              <w:rPr>
                <w:rFonts w:ascii="Calibri" w:eastAsia="Times New Roman" w:hAnsi="Calibri" w:cs="Times New Roman"/>
                <w:szCs w:val="20"/>
              </w:rPr>
              <w:t xml:space="preserve"> related SAE</w:t>
            </w:r>
          </w:p>
        </w:tc>
        <w:tc>
          <w:tcPr>
            <w:tcW w:w="992" w:type="dxa"/>
            <w:shd w:val="clear" w:color="auto" w:fill="auto"/>
          </w:tcPr>
          <w:p w14:paraId="5C093ADE"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4394" w:type="dxa"/>
            <w:shd w:val="clear" w:color="auto" w:fill="auto"/>
          </w:tcPr>
          <w:p w14:paraId="692443AB" w14:textId="77777777" w:rsidR="002F4B81" w:rsidRPr="002F4B81" w:rsidRDefault="002F4B81" w:rsidP="002F4B81">
            <w:pPr>
              <w:spacing w:after="0" w:line="240" w:lineRule="auto"/>
              <w:ind w:right="-153"/>
              <w:rPr>
                <w:rFonts w:ascii="Calibri" w:eastAsia="Times New Roman" w:hAnsi="Calibri" w:cs="Times New Roman"/>
                <w:szCs w:val="20"/>
              </w:rPr>
            </w:pPr>
          </w:p>
        </w:tc>
      </w:tr>
    </w:tbl>
    <w:p w14:paraId="7FB7CC06" w14:textId="77777777" w:rsidR="002F4B81" w:rsidRPr="002F4B81" w:rsidRDefault="002F4B81" w:rsidP="002F4B81">
      <w:pPr>
        <w:autoSpaceDE w:val="0"/>
        <w:autoSpaceDN w:val="0"/>
        <w:adjustRightInd w:val="0"/>
        <w:spacing w:after="0" w:line="240" w:lineRule="auto"/>
        <w:contextualSpacing/>
        <w:rPr>
          <w:rFonts w:ascii="Calibri" w:eastAsia="Calibri" w:hAnsi="Calibri" w:cs="TimesNewRomanPSMT"/>
          <w:sz w:val="18"/>
          <w:szCs w:val="18"/>
        </w:rPr>
      </w:pPr>
      <w:proofErr w:type="spellStart"/>
      <w:r w:rsidRPr="002F4B81">
        <w:rPr>
          <w:rFonts w:ascii="Calibri" w:eastAsia="Calibri" w:hAnsi="Calibri" w:cs="TimesNewRomanPSMT"/>
          <w:vertAlign w:val="superscript"/>
        </w:rPr>
        <w:t>a</w:t>
      </w:r>
      <w:proofErr w:type="spellEnd"/>
      <w:r w:rsidRPr="002F4B81">
        <w:rPr>
          <w:rFonts w:ascii="Calibri" w:eastAsia="Calibri" w:hAnsi="Calibri" w:cs="TimesNewRomanPSMT"/>
        </w:rPr>
        <w:t xml:space="preserve"> </w:t>
      </w:r>
      <w:r w:rsidRPr="002F4B81">
        <w:rPr>
          <w:rFonts w:ascii="Calibri" w:eastAsia="Calibri" w:hAnsi="Calibri" w:cs="TimesNewRomanPSMT"/>
          <w:sz w:val="18"/>
          <w:szCs w:val="18"/>
        </w:rPr>
        <w:t xml:space="preserve">Irreversible (&gt;3 months) reduction in estimated glomerular filtration rate (eGFR) as defined in section 8.1, not attributable to another </w:t>
      </w:r>
      <w:proofErr w:type="gramStart"/>
      <w:r w:rsidRPr="002F4B81">
        <w:rPr>
          <w:rFonts w:ascii="Calibri" w:eastAsia="Calibri" w:hAnsi="Calibri" w:cs="TimesNewRomanPSMT"/>
          <w:sz w:val="18"/>
          <w:szCs w:val="18"/>
        </w:rPr>
        <w:t>cause</w:t>
      </w:r>
      <w:proofErr w:type="gramEnd"/>
    </w:p>
    <w:p w14:paraId="491B09F3" w14:textId="77777777" w:rsidR="002F4B81" w:rsidRPr="002F4B81" w:rsidRDefault="002F4B81" w:rsidP="002F4B81">
      <w:pPr>
        <w:autoSpaceDE w:val="0"/>
        <w:autoSpaceDN w:val="0"/>
        <w:adjustRightInd w:val="0"/>
        <w:spacing w:after="0" w:line="240" w:lineRule="auto"/>
        <w:contextualSpacing/>
        <w:rPr>
          <w:rFonts w:ascii="Calibri" w:eastAsia="Calibri" w:hAnsi="Calibri" w:cs="TimesNewRomanPSMT"/>
          <w:sz w:val="18"/>
          <w:szCs w:val="18"/>
        </w:rPr>
      </w:pPr>
      <w:r w:rsidRPr="002F4B81">
        <w:rPr>
          <w:rFonts w:ascii="Calibri" w:eastAsia="Calibri" w:hAnsi="Calibri" w:cs="TimesNewRomanPSMT"/>
          <w:sz w:val="18"/>
          <w:szCs w:val="18"/>
        </w:rPr>
        <w:t xml:space="preserve">An episode of AKI attributed to a TMA that requires renal replacement </w:t>
      </w:r>
      <w:proofErr w:type="gramStart"/>
      <w:r w:rsidRPr="002F4B81">
        <w:rPr>
          <w:rFonts w:ascii="Calibri" w:eastAsia="Calibri" w:hAnsi="Calibri" w:cs="TimesNewRomanPSMT"/>
          <w:sz w:val="18"/>
          <w:szCs w:val="18"/>
        </w:rPr>
        <w:t>therapy</w:t>
      </w:r>
      <w:proofErr w:type="gramEnd"/>
    </w:p>
    <w:p w14:paraId="2D598E37" w14:textId="77777777" w:rsidR="002F4B81" w:rsidRPr="002F4B81" w:rsidRDefault="002F4B81" w:rsidP="002F4B81">
      <w:pPr>
        <w:spacing w:after="0" w:line="240" w:lineRule="auto"/>
        <w:jc w:val="both"/>
        <w:rPr>
          <w:rFonts w:ascii="Calibri" w:eastAsia="Times New Roman" w:hAnsi="Calibri" w:cs="TimesNewRomanPSMT"/>
          <w:sz w:val="18"/>
          <w:szCs w:val="18"/>
        </w:rPr>
      </w:pPr>
      <w:r w:rsidRPr="002F4B81">
        <w:rPr>
          <w:rFonts w:ascii="Calibri" w:eastAsia="Times New Roman" w:hAnsi="Calibri" w:cs="TimesNewRomanPSMT"/>
          <w:sz w:val="18"/>
          <w:szCs w:val="18"/>
        </w:rPr>
        <w:t>A non-renal manifestation of a TMA that require hospitalisation, cause irreversible organ damage or death.</w:t>
      </w:r>
    </w:p>
    <w:p w14:paraId="5FB18CC6" w14:textId="77777777" w:rsidR="002F4B81" w:rsidRPr="002F4B81" w:rsidRDefault="002F4B81" w:rsidP="002F4B81">
      <w:pPr>
        <w:spacing w:after="0" w:line="240" w:lineRule="auto"/>
        <w:jc w:val="both"/>
        <w:rPr>
          <w:rFonts w:ascii="Calibri" w:eastAsia="Times New Roman" w:hAnsi="Calibri" w:cs="Times New Roman"/>
          <w:b/>
          <w:szCs w:val="20"/>
        </w:rPr>
      </w:pPr>
    </w:p>
    <w:p w14:paraId="39727BFF" w14:textId="77777777" w:rsidR="002F4B81" w:rsidRPr="002F4B81" w:rsidRDefault="002F4B81" w:rsidP="002F4B81">
      <w:pPr>
        <w:spacing w:after="0" w:line="240" w:lineRule="auto"/>
        <w:jc w:val="both"/>
        <w:rPr>
          <w:rFonts w:ascii="Calibri" w:eastAsia="Times New Roman" w:hAnsi="Calibri" w:cs="TimesNewRomanPSMT"/>
          <w:b/>
          <w:szCs w:val="20"/>
        </w:rPr>
      </w:pPr>
      <w:r w:rsidRPr="002F4B81">
        <w:rPr>
          <w:rFonts w:ascii="Calibri" w:eastAsia="Times New Roman" w:hAnsi="Calibri" w:cs="Times New Roman"/>
          <w:b/>
          <w:szCs w:val="20"/>
        </w:rPr>
        <w:t xml:space="preserve">Table 3: Days from withdrawal of </w:t>
      </w:r>
      <w:r w:rsidRPr="002F4B81">
        <w:rPr>
          <w:rFonts w:ascii="Calibri" w:eastAsia="Times New Roman" w:hAnsi="Calibri" w:cs="TimesNewRomanPSMT"/>
          <w:b/>
          <w:szCs w:val="20"/>
        </w:rPr>
        <w:t>Eculizumab</w:t>
      </w:r>
      <w:r w:rsidRPr="002F4B81">
        <w:rPr>
          <w:rFonts w:ascii="Calibri" w:eastAsia="Times New Roman" w:hAnsi="Calibri" w:cs="Times New Roman"/>
          <w:b/>
          <w:szCs w:val="20"/>
        </w:rPr>
        <w:t xml:space="preserve"> to withdrawal from trial due to </w:t>
      </w:r>
      <w:r w:rsidRPr="002F4B81">
        <w:rPr>
          <w:rFonts w:ascii="Calibri" w:eastAsia="Times New Roman" w:hAnsi="Calibri" w:cs="TimesNewRomanPSMT"/>
          <w:b/>
          <w:szCs w:val="20"/>
        </w:rPr>
        <w:t>Thrombotic Microangiopathy</w:t>
      </w:r>
      <w:r w:rsidRPr="002F4B81">
        <w:rPr>
          <w:rFonts w:ascii="Calibri" w:eastAsia="Times New Roman" w:hAnsi="Calibri" w:cs="Times New Roman"/>
          <w:b/>
          <w:szCs w:val="20"/>
        </w:rPr>
        <w:t xml:space="preserve"> (TMA) related Serious Adverse Event (SAE) for those with this </w:t>
      </w:r>
      <w:proofErr w:type="gramStart"/>
      <w:r w:rsidRPr="002F4B81">
        <w:rPr>
          <w:rFonts w:ascii="Calibri" w:eastAsia="Times New Roman" w:hAnsi="Calibri" w:cs="Times New Roman"/>
          <w:b/>
          <w:szCs w:val="20"/>
        </w:rPr>
        <w:t>event</w:t>
      </w:r>
      <w:proofErr w:type="gramEnd"/>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956"/>
        <w:gridCol w:w="1524"/>
        <w:gridCol w:w="1524"/>
        <w:gridCol w:w="1524"/>
      </w:tblGrid>
      <w:tr w:rsidR="002F4B81" w:rsidRPr="002F4B81" w14:paraId="36B914A3" w14:textId="77777777" w:rsidTr="00C667E5">
        <w:tc>
          <w:tcPr>
            <w:tcW w:w="1951" w:type="dxa"/>
            <w:shd w:val="clear" w:color="auto" w:fill="auto"/>
          </w:tcPr>
          <w:p w14:paraId="780BA6F9"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szCs w:val="28"/>
                <w:highlight w:val="yellow"/>
                <w:lang w:eastAsia="en-GB"/>
              </w:rPr>
            </w:pPr>
          </w:p>
        </w:tc>
        <w:tc>
          <w:tcPr>
            <w:tcW w:w="956" w:type="dxa"/>
            <w:vAlign w:val="bottom"/>
          </w:tcPr>
          <w:p w14:paraId="72118747"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n</w:t>
            </w:r>
          </w:p>
        </w:tc>
        <w:tc>
          <w:tcPr>
            <w:tcW w:w="1524" w:type="dxa"/>
            <w:shd w:val="clear" w:color="auto" w:fill="auto"/>
            <w:vAlign w:val="bottom"/>
          </w:tcPr>
          <w:p w14:paraId="257FB37E"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Mean (SD)</w:t>
            </w:r>
          </w:p>
        </w:tc>
        <w:tc>
          <w:tcPr>
            <w:tcW w:w="1524" w:type="dxa"/>
            <w:shd w:val="clear" w:color="auto" w:fill="auto"/>
          </w:tcPr>
          <w:p w14:paraId="2F15B6A0"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Median (IQR)</w:t>
            </w:r>
          </w:p>
        </w:tc>
        <w:tc>
          <w:tcPr>
            <w:tcW w:w="1524" w:type="dxa"/>
          </w:tcPr>
          <w:p w14:paraId="6F0BE766"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Range</w:t>
            </w:r>
          </w:p>
        </w:tc>
      </w:tr>
      <w:tr w:rsidR="002F4B81" w:rsidRPr="002F4B81" w14:paraId="20DA446B" w14:textId="77777777" w:rsidTr="00C667E5">
        <w:tc>
          <w:tcPr>
            <w:tcW w:w="1951" w:type="dxa"/>
            <w:shd w:val="clear" w:color="auto" w:fill="auto"/>
          </w:tcPr>
          <w:p w14:paraId="7559904C"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szCs w:val="28"/>
                <w:lang w:eastAsia="en-GB"/>
              </w:rPr>
            </w:pPr>
            <w:r w:rsidRPr="002F4B81">
              <w:rPr>
                <w:rFonts w:ascii="Calibri" w:eastAsia="Times New Roman" w:hAnsi="Calibri" w:cs="Times New Roman"/>
                <w:bCs/>
                <w:szCs w:val="28"/>
                <w:lang w:eastAsia="en-GB"/>
              </w:rPr>
              <w:t xml:space="preserve">Days to </w:t>
            </w:r>
            <w:proofErr w:type="spellStart"/>
            <w:r w:rsidRPr="002F4B81">
              <w:rPr>
                <w:rFonts w:ascii="Calibri" w:eastAsia="Times New Roman" w:hAnsi="Calibri" w:cs="Times New Roman"/>
                <w:bCs/>
                <w:szCs w:val="28"/>
                <w:lang w:eastAsia="en-GB"/>
              </w:rPr>
              <w:t>TMA</w:t>
            </w:r>
            <w:r w:rsidRPr="002F4B81">
              <w:rPr>
                <w:rFonts w:ascii="Calibri" w:eastAsia="Times New Roman" w:hAnsi="Calibri" w:cs="Times New Roman"/>
                <w:bCs/>
                <w:szCs w:val="28"/>
                <w:vertAlign w:val="superscript"/>
                <w:lang w:eastAsia="en-GB"/>
              </w:rPr>
              <w:t>a</w:t>
            </w:r>
            <w:proofErr w:type="spellEnd"/>
            <w:r w:rsidRPr="002F4B81">
              <w:rPr>
                <w:rFonts w:ascii="Calibri" w:eastAsia="Times New Roman" w:hAnsi="Calibri" w:cs="Times New Roman"/>
                <w:bCs/>
                <w:szCs w:val="28"/>
                <w:lang w:eastAsia="en-GB"/>
              </w:rPr>
              <w:t xml:space="preserve"> SAE</w:t>
            </w:r>
          </w:p>
        </w:tc>
        <w:tc>
          <w:tcPr>
            <w:tcW w:w="956" w:type="dxa"/>
          </w:tcPr>
          <w:p w14:paraId="0801A0B5"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417F0536"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40F7D111"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7E1C5AF4"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bl>
    <w:p w14:paraId="707F876C" w14:textId="77777777" w:rsidR="002F4B81" w:rsidRPr="002F4B81" w:rsidRDefault="002F4B81" w:rsidP="002F4B81">
      <w:pPr>
        <w:autoSpaceDE w:val="0"/>
        <w:autoSpaceDN w:val="0"/>
        <w:adjustRightInd w:val="0"/>
        <w:spacing w:after="0" w:line="240" w:lineRule="auto"/>
        <w:contextualSpacing/>
        <w:rPr>
          <w:rFonts w:ascii="Calibri" w:eastAsia="Calibri" w:hAnsi="Calibri" w:cs="TimesNewRomanPSMT"/>
          <w:sz w:val="18"/>
          <w:szCs w:val="18"/>
        </w:rPr>
      </w:pPr>
      <w:proofErr w:type="spellStart"/>
      <w:r w:rsidRPr="002F4B81">
        <w:rPr>
          <w:rFonts w:ascii="Calibri" w:eastAsia="Calibri" w:hAnsi="Calibri" w:cs="TimesNewRomanPSMT"/>
          <w:vertAlign w:val="superscript"/>
        </w:rPr>
        <w:t>a</w:t>
      </w:r>
      <w:proofErr w:type="spellEnd"/>
      <w:r w:rsidRPr="002F4B81">
        <w:rPr>
          <w:rFonts w:ascii="Calibri" w:eastAsia="Calibri" w:hAnsi="Calibri" w:cs="TimesNewRomanPSMT"/>
        </w:rPr>
        <w:t xml:space="preserve"> </w:t>
      </w:r>
      <w:r w:rsidRPr="002F4B81">
        <w:rPr>
          <w:rFonts w:ascii="Calibri" w:eastAsia="Calibri" w:hAnsi="Calibri" w:cs="TimesNewRomanPSMT"/>
          <w:sz w:val="18"/>
          <w:szCs w:val="18"/>
        </w:rPr>
        <w:t xml:space="preserve">Irreversible (&gt;3 months) reduction in estimated glomerular filtration rate (eGFR) as defined in section 8.1, not attributable to another </w:t>
      </w:r>
      <w:proofErr w:type="gramStart"/>
      <w:r w:rsidRPr="002F4B81">
        <w:rPr>
          <w:rFonts w:ascii="Calibri" w:eastAsia="Calibri" w:hAnsi="Calibri" w:cs="TimesNewRomanPSMT"/>
          <w:sz w:val="18"/>
          <w:szCs w:val="18"/>
        </w:rPr>
        <w:t>cause</w:t>
      </w:r>
      <w:proofErr w:type="gramEnd"/>
    </w:p>
    <w:p w14:paraId="677B302B" w14:textId="77777777" w:rsidR="002F4B81" w:rsidRPr="002F4B81" w:rsidRDefault="002F4B81" w:rsidP="002F4B81">
      <w:pPr>
        <w:autoSpaceDE w:val="0"/>
        <w:autoSpaceDN w:val="0"/>
        <w:adjustRightInd w:val="0"/>
        <w:spacing w:after="0" w:line="240" w:lineRule="auto"/>
        <w:contextualSpacing/>
        <w:rPr>
          <w:rFonts w:ascii="Calibri" w:eastAsia="Calibri" w:hAnsi="Calibri" w:cs="TimesNewRomanPSMT"/>
          <w:sz w:val="18"/>
          <w:szCs w:val="18"/>
        </w:rPr>
      </w:pPr>
      <w:r w:rsidRPr="002F4B81">
        <w:rPr>
          <w:rFonts w:ascii="Calibri" w:eastAsia="Calibri" w:hAnsi="Calibri" w:cs="TimesNewRomanPSMT"/>
          <w:sz w:val="18"/>
          <w:szCs w:val="18"/>
        </w:rPr>
        <w:t xml:space="preserve">An episode of AKI attributed to a TMA that requires renal replacement </w:t>
      </w:r>
      <w:proofErr w:type="gramStart"/>
      <w:r w:rsidRPr="002F4B81">
        <w:rPr>
          <w:rFonts w:ascii="Calibri" w:eastAsia="Calibri" w:hAnsi="Calibri" w:cs="TimesNewRomanPSMT"/>
          <w:sz w:val="18"/>
          <w:szCs w:val="18"/>
        </w:rPr>
        <w:t>therapy</w:t>
      </w:r>
      <w:proofErr w:type="gramEnd"/>
    </w:p>
    <w:p w14:paraId="7BF3DE39" w14:textId="77777777" w:rsidR="002F4B81" w:rsidRPr="002F4B81" w:rsidRDefault="002F4B81" w:rsidP="002F4B81">
      <w:pPr>
        <w:spacing w:after="0" w:line="240" w:lineRule="auto"/>
        <w:jc w:val="both"/>
        <w:rPr>
          <w:rFonts w:ascii="Calibri" w:eastAsia="Times New Roman" w:hAnsi="Calibri" w:cs="TimesNewRomanPSMT"/>
          <w:sz w:val="18"/>
          <w:szCs w:val="18"/>
        </w:rPr>
      </w:pPr>
      <w:r w:rsidRPr="002F4B81">
        <w:rPr>
          <w:rFonts w:ascii="Calibri" w:eastAsia="Times New Roman" w:hAnsi="Calibri" w:cs="TimesNewRomanPSMT"/>
          <w:sz w:val="18"/>
          <w:szCs w:val="18"/>
        </w:rPr>
        <w:t>A non-renal manifestation of a TMA that require hospitalisation, cause irreversible organ damage or death.</w:t>
      </w:r>
    </w:p>
    <w:p w14:paraId="55A13388" w14:textId="77777777" w:rsidR="002F4B81" w:rsidRPr="002F4B81" w:rsidRDefault="002F4B81" w:rsidP="002F4B81">
      <w:pPr>
        <w:spacing w:after="0" w:line="240" w:lineRule="auto"/>
        <w:jc w:val="both"/>
        <w:rPr>
          <w:rFonts w:ascii="Calibri" w:eastAsia="Times New Roman" w:hAnsi="Calibri" w:cs="TimesNewRomanPSMT"/>
          <w:sz w:val="18"/>
          <w:szCs w:val="18"/>
        </w:rPr>
      </w:pPr>
    </w:p>
    <w:p w14:paraId="2442C7F1" w14:textId="77777777" w:rsidR="002F4B81" w:rsidRPr="002F4B81" w:rsidRDefault="002F4B81" w:rsidP="002F4B81">
      <w:pPr>
        <w:spacing w:after="0" w:line="240" w:lineRule="auto"/>
        <w:jc w:val="both"/>
        <w:rPr>
          <w:rFonts w:ascii="Calibri" w:eastAsia="Times New Roman" w:hAnsi="Calibri" w:cs="TimesNewRomanPSMT"/>
          <w:sz w:val="18"/>
          <w:szCs w:val="18"/>
        </w:rPr>
      </w:pPr>
      <w:r w:rsidRPr="002F4B81">
        <w:rPr>
          <w:rFonts w:ascii="Calibri" w:eastAsia="Times New Roman" w:hAnsi="Calibri" w:cs="Times New Roman"/>
          <w:szCs w:val="20"/>
        </w:rPr>
        <w:t xml:space="preserve">The table shows the participant ID, the date of withdrawal from trial due to TMA SAE, time in weeks from withdrawal of </w:t>
      </w:r>
      <w:proofErr w:type="gramStart"/>
      <w:r w:rsidRPr="002F4B81">
        <w:rPr>
          <w:rFonts w:ascii="Calibri" w:eastAsia="Times New Roman" w:hAnsi="Calibri" w:cs="TimesNewRomanPSMT"/>
          <w:szCs w:val="20"/>
        </w:rPr>
        <w:t>Eculizumab</w:t>
      </w:r>
      <w:proofErr w:type="gramEnd"/>
      <w:r w:rsidRPr="002F4B81">
        <w:rPr>
          <w:rFonts w:ascii="Calibri" w:eastAsia="Times New Roman" w:hAnsi="Calibri" w:cs="Times New Roman"/>
          <w:szCs w:val="20"/>
        </w:rPr>
        <w:t xml:space="preserve"> </w:t>
      </w:r>
    </w:p>
    <w:p w14:paraId="30FD32BB" w14:textId="77777777" w:rsidR="002F4B81" w:rsidRPr="002F4B81" w:rsidRDefault="002F4B81" w:rsidP="002F4B81">
      <w:pPr>
        <w:spacing w:before="120" w:after="0" w:line="240" w:lineRule="auto"/>
        <w:ind w:right="-154"/>
        <w:jc w:val="both"/>
        <w:rPr>
          <w:rFonts w:ascii="Calibri" w:eastAsia="Times New Roman" w:hAnsi="Calibri" w:cs="Times New Roman"/>
          <w:b/>
          <w:szCs w:val="20"/>
        </w:rPr>
      </w:pPr>
      <w:r w:rsidRPr="002F4B81">
        <w:rPr>
          <w:rFonts w:ascii="Calibri" w:eastAsia="Times New Roman" w:hAnsi="Calibri" w:cs="Times New Roman"/>
          <w:b/>
          <w:szCs w:val="20"/>
        </w:rPr>
        <w:t xml:space="preserve">Table 4: listing of TMA related SAE </w:t>
      </w:r>
      <w:proofErr w:type="gramStart"/>
      <w:r w:rsidRPr="002F4B81">
        <w:rPr>
          <w:rFonts w:ascii="Calibri" w:eastAsia="Times New Roman" w:hAnsi="Calibri" w:cs="Times New Roman"/>
          <w:b/>
          <w:szCs w:val="20"/>
        </w:rPr>
        <w:t>details</w:t>
      </w:r>
      <w:proofErr w:type="gramEnd"/>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
        <w:gridCol w:w="1743"/>
        <w:gridCol w:w="3260"/>
        <w:gridCol w:w="2552"/>
      </w:tblGrid>
      <w:tr w:rsidR="002F4B81" w:rsidRPr="002F4B81" w14:paraId="1D0F3C24" w14:textId="77777777" w:rsidTr="00C667E5">
        <w:tc>
          <w:tcPr>
            <w:tcW w:w="917" w:type="dxa"/>
            <w:shd w:val="clear" w:color="auto" w:fill="auto"/>
          </w:tcPr>
          <w:p w14:paraId="7C900307"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ID</w:t>
            </w:r>
          </w:p>
        </w:tc>
        <w:tc>
          <w:tcPr>
            <w:tcW w:w="1743" w:type="dxa"/>
            <w:shd w:val="clear" w:color="auto" w:fill="auto"/>
          </w:tcPr>
          <w:p w14:paraId="3BD10E3E"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Date of TMA SAE</w:t>
            </w:r>
          </w:p>
        </w:tc>
        <w:tc>
          <w:tcPr>
            <w:tcW w:w="3260" w:type="dxa"/>
            <w:shd w:val="clear" w:color="auto" w:fill="auto"/>
          </w:tcPr>
          <w:p w14:paraId="5E1C2D2C"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 xml:space="preserve">Description of </w:t>
            </w:r>
            <w:proofErr w:type="spellStart"/>
            <w:r w:rsidRPr="002F4B81">
              <w:rPr>
                <w:rFonts w:ascii="Calibri" w:eastAsia="Times New Roman" w:hAnsi="Calibri" w:cs="Times New Roman"/>
                <w:b/>
                <w:szCs w:val="20"/>
              </w:rPr>
              <w:t>TMA</w:t>
            </w:r>
            <w:r w:rsidRPr="002F4B81">
              <w:rPr>
                <w:rFonts w:ascii="Calibri" w:eastAsia="Times New Roman" w:hAnsi="Calibri" w:cs="Times New Roman"/>
                <w:b/>
                <w:szCs w:val="20"/>
                <w:vertAlign w:val="superscript"/>
              </w:rPr>
              <w:t>a</w:t>
            </w:r>
            <w:proofErr w:type="spellEnd"/>
            <w:r w:rsidRPr="002F4B81">
              <w:rPr>
                <w:rFonts w:ascii="Calibri" w:eastAsia="Times New Roman" w:hAnsi="Calibri" w:cs="Times New Roman"/>
                <w:b/>
                <w:szCs w:val="20"/>
              </w:rPr>
              <w:t xml:space="preserve"> related SAE</w:t>
            </w:r>
          </w:p>
        </w:tc>
        <w:tc>
          <w:tcPr>
            <w:tcW w:w="2552" w:type="dxa"/>
            <w:shd w:val="clear" w:color="auto" w:fill="auto"/>
          </w:tcPr>
          <w:p w14:paraId="79FDEA37"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 xml:space="preserve">Time in weeks from withdrawal of </w:t>
            </w:r>
            <w:r w:rsidRPr="002F4B81">
              <w:rPr>
                <w:rFonts w:ascii="Calibri" w:eastAsia="Times New Roman" w:hAnsi="Calibri" w:cs="TimesNewRomanPSMT"/>
                <w:b/>
                <w:szCs w:val="20"/>
              </w:rPr>
              <w:t>Eculizumab</w:t>
            </w:r>
          </w:p>
        </w:tc>
      </w:tr>
      <w:tr w:rsidR="002F4B81" w:rsidRPr="002F4B81" w14:paraId="47A07ECF" w14:textId="77777777" w:rsidTr="00C667E5">
        <w:tc>
          <w:tcPr>
            <w:tcW w:w="917" w:type="dxa"/>
            <w:shd w:val="clear" w:color="auto" w:fill="auto"/>
          </w:tcPr>
          <w:p w14:paraId="6C82E3CD"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1743" w:type="dxa"/>
            <w:shd w:val="clear" w:color="auto" w:fill="auto"/>
          </w:tcPr>
          <w:p w14:paraId="746A2E8C"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3260" w:type="dxa"/>
            <w:shd w:val="clear" w:color="auto" w:fill="auto"/>
          </w:tcPr>
          <w:p w14:paraId="2888B376"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2552" w:type="dxa"/>
            <w:shd w:val="clear" w:color="auto" w:fill="auto"/>
          </w:tcPr>
          <w:p w14:paraId="1F59806C" w14:textId="77777777" w:rsidR="002F4B81" w:rsidRPr="002F4B81" w:rsidRDefault="002F4B81" w:rsidP="002F4B81">
            <w:pPr>
              <w:spacing w:after="0" w:line="240" w:lineRule="auto"/>
              <w:ind w:right="-153"/>
              <w:rPr>
                <w:rFonts w:ascii="Calibri" w:eastAsia="Times New Roman" w:hAnsi="Calibri" w:cs="Times New Roman"/>
                <w:szCs w:val="20"/>
              </w:rPr>
            </w:pPr>
          </w:p>
        </w:tc>
      </w:tr>
      <w:tr w:rsidR="002F4B81" w:rsidRPr="002F4B81" w14:paraId="50D50169" w14:textId="77777777" w:rsidTr="00C667E5">
        <w:tc>
          <w:tcPr>
            <w:tcW w:w="917" w:type="dxa"/>
            <w:shd w:val="clear" w:color="auto" w:fill="auto"/>
          </w:tcPr>
          <w:p w14:paraId="732DA14A"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1743" w:type="dxa"/>
            <w:shd w:val="clear" w:color="auto" w:fill="auto"/>
          </w:tcPr>
          <w:p w14:paraId="389188C6"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3260" w:type="dxa"/>
            <w:shd w:val="clear" w:color="auto" w:fill="auto"/>
          </w:tcPr>
          <w:p w14:paraId="4238D531"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2552" w:type="dxa"/>
            <w:shd w:val="clear" w:color="auto" w:fill="auto"/>
          </w:tcPr>
          <w:p w14:paraId="19579AA9" w14:textId="77777777" w:rsidR="002F4B81" w:rsidRPr="002F4B81" w:rsidRDefault="002F4B81" w:rsidP="002F4B81">
            <w:pPr>
              <w:spacing w:after="0" w:line="240" w:lineRule="auto"/>
              <w:ind w:right="-153"/>
              <w:rPr>
                <w:rFonts w:ascii="Calibri" w:eastAsia="Times New Roman" w:hAnsi="Calibri" w:cs="Times New Roman"/>
                <w:szCs w:val="20"/>
              </w:rPr>
            </w:pPr>
          </w:p>
        </w:tc>
      </w:tr>
    </w:tbl>
    <w:p w14:paraId="16A405F1" w14:textId="77777777" w:rsidR="002F4B81" w:rsidRPr="002F4B81" w:rsidRDefault="002F4B81" w:rsidP="002F4B81">
      <w:pPr>
        <w:autoSpaceDE w:val="0"/>
        <w:autoSpaceDN w:val="0"/>
        <w:adjustRightInd w:val="0"/>
        <w:spacing w:after="0" w:line="240" w:lineRule="auto"/>
        <w:contextualSpacing/>
        <w:rPr>
          <w:rFonts w:ascii="Calibri" w:eastAsia="Calibri" w:hAnsi="Calibri" w:cs="TimesNewRomanPSMT"/>
          <w:sz w:val="18"/>
          <w:szCs w:val="18"/>
        </w:rPr>
      </w:pPr>
      <w:proofErr w:type="spellStart"/>
      <w:r w:rsidRPr="002F4B81">
        <w:rPr>
          <w:rFonts w:ascii="Calibri" w:eastAsia="Calibri" w:hAnsi="Calibri" w:cs="TimesNewRomanPSMT"/>
          <w:vertAlign w:val="superscript"/>
        </w:rPr>
        <w:t>a</w:t>
      </w:r>
      <w:proofErr w:type="spellEnd"/>
      <w:r w:rsidRPr="002F4B81">
        <w:rPr>
          <w:rFonts w:ascii="Calibri" w:eastAsia="Calibri" w:hAnsi="Calibri" w:cs="TimesNewRomanPSMT"/>
        </w:rPr>
        <w:t xml:space="preserve"> </w:t>
      </w:r>
      <w:r w:rsidRPr="002F4B81">
        <w:rPr>
          <w:rFonts w:ascii="Calibri" w:eastAsia="Calibri" w:hAnsi="Calibri" w:cs="TimesNewRomanPSMT"/>
          <w:sz w:val="18"/>
          <w:szCs w:val="18"/>
        </w:rPr>
        <w:t xml:space="preserve">Irreversible (&gt;3 months) reduction in estimated glomerular filtration rate (eGFR) as defined in section 8.1, not attributable to another </w:t>
      </w:r>
      <w:proofErr w:type="gramStart"/>
      <w:r w:rsidRPr="002F4B81">
        <w:rPr>
          <w:rFonts w:ascii="Calibri" w:eastAsia="Calibri" w:hAnsi="Calibri" w:cs="TimesNewRomanPSMT"/>
          <w:sz w:val="18"/>
          <w:szCs w:val="18"/>
        </w:rPr>
        <w:t>cause</w:t>
      </w:r>
      <w:proofErr w:type="gramEnd"/>
    </w:p>
    <w:p w14:paraId="2D84BE80" w14:textId="77777777" w:rsidR="002F4B81" w:rsidRPr="002F4B81" w:rsidRDefault="002F4B81" w:rsidP="002F4B81">
      <w:pPr>
        <w:autoSpaceDE w:val="0"/>
        <w:autoSpaceDN w:val="0"/>
        <w:adjustRightInd w:val="0"/>
        <w:spacing w:after="0" w:line="240" w:lineRule="auto"/>
        <w:contextualSpacing/>
        <w:rPr>
          <w:rFonts w:ascii="Calibri" w:eastAsia="Calibri" w:hAnsi="Calibri" w:cs="TimesNewRomanPSMT"/>
          <w:sz w:val="18"/>
          <w:szCs w:val="18"/>
        </w:rPr>
      </w:pPr>
      <w:r w:rsidRPr="002F4B81">
        <w:rPr>
          <w:rFonts w:ascii="Calibri" w:eastAsia="Calibri" w:hAnsi="Calibri" w:cs="TimesNewRomanPSMT"/>
          <w:sz w:val="18"/>
          <w:szCs w:val="18"/>
        </w:rPr>
        <w:t xml:space="preserve">An episode of AKI attributed to a TMA that requires renal replacement </w:t>
      </w:r>
      <w:proofErr w:type="gramStart"/>
      <w:r w:rsidRPr="002F4B81">
        <w:rPr>
          <w:rFonts w:ascii="Calibri" w:eastAsia="Calibri" w:hAnsi="Calibri" w:cs="TimesNewRomanPSMT"/>
          <w:sz w:val="18"/>
          <w:szCs w:val="18"/>
        </w:rPr>
        <w:t>therapy</w:t>
      </w:r>
      <w:proofErr w:type="gramEnd"/>
    </w:p>
    <w:p w14:paraId="588D0712" w14:textId="77777777" w:rsidR="002F4B81" w:rsidRPr="002F4B81" w:rsidRDefault="002F4B81" w:rsidP="002F4B81">
      <w:pPr>
        <w:spacing w:after="0" w:line="240" w:lineRule="auto"/>
        <w:jc w:val="both"/>
        <w:rPr>
          <w:rFonts w:ascii="Calibri" w:eastAsia="Times New Roman" w:hAnsi="Calibri" w:cs="TimesNewRomanPSMT"/>
          <w:sz w:val="18"/>
          <w:szCs w:val="18"/>
        </w:rPr>
      </w:pPr>
      <w:r w:rsidRPr="002F4B81">
        <w:rPr>
          <w:rFonts w:ascii="Calibri" w:eastAsia="Times New Roman" w:hAnsi="Calibri" w:cs="TimesNewRomanPSMT"/>
          <w:sz w:val="18"/>
          <w:szCs w:val="18"/>
        </w:rPr>
        <w:t>A non-renal manifestation of a TMA that require hospitalisation, cause irreversible organ damage or death.</w:t>
      </w:r>
    </w:p>
    <w:p w14:paraId="35551DD3" w14:textId="77777777" w:rsidR="002F4B81" w:rsidRPr="002F4B81" w:rsidRDefault="002F4B81" w:rsidP="002F4B81">
      <w:pPr>
        <w:spacing w:after="0" w:line="240" w:lineRule="auto"/>
        <w:jc w:val="both"/>
        <w:rPr>
          <w:rFonts w:ascii="Calibri" w:eastAsia="Times New Roman" w:hAnsi="Calibri" w:cs="TimesNewRomanPSMT"/>
          <w:sz w:val="18"/>
          <w:szCs w:val="18"/>
        </w:rPr>
      </w:pPr>
    </w:p>
    <w:p w14:paraId="1D65EACA" w14:textId="77777777" w:rsidR="002F4B81" w:rsidRPr="002F4B81" w:rsidRDefault="002F4B81" w:rsidP="002F4B81">
      <w:pPr>
        <w:keepNext/>
        <w:numPr>
          <w:ilvl w:val="1"/>
          <w:numId w:val="0"/>
        </w:numPr>
        <w:tabs>
          <w:tab w:val="num" w:pos="567"/>
        </w:tabs>
        <w:spacing w:after="0" w:line="240" w:lineRule="auto"/>
        <w:ind w:left="567" w:hanging="567"/>
        <w:outlineLvl w:val="1"/>
        <w:rPr>
          <w:rFonts w:ascii="Tahoma" w:eastAsia="Times New Roman" w:hAnsi="Tahoma" w:cs="Times New Roman"/>
          <w:b/>
          <w:sz w:val="26"/>
          <w:szCs w:val="20"/>
        </w:rPr>
      </w:pPr>
      <w:bookmarkStart w:id="113" w:name="_Toc499302711"/>
      <w:bookmarkStart w:id="114" w:name="_Toc7082747"/>
      <w:bookmarkStart w:id="115" w:name="_Toc83029370"/>
      <w:r w:rsidRPr="002F4B81">
        <w:rPr>
          <w:rFonts w:ascii="Calibri" w:eastAsia="Times New Roman" w:hAnsi="Calibri" w:cs="Times New Roman"/>
          <w:b/>
          <w:sz w:val="26"/>
          <w:szCs w:val="20"/>
        </w:rPr>
        <w:t>Analysis of Secondary Outcome Measures</w:t>
      </w:r>
      <w:bookmarkEnd w:id="113"/>
      <w:bookmarkEnd w:id="114"/>
      <w:bookmarkEnd w:id="115"/>
    </w:p>
    <w:p w14:paraId="69ED17A1"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In line with the primary outcome data, at the end of the study, the secondary outcome data will also be reported descriptively, together with the number of patients recruited. The same descriptive statistics and restrictions to the analysis will be considered as for the primary outcome.</w:t>
      </w:r>
    </w:p>
    <w:p w14:paraId="47B069EF" w14:textId="77777777" w:rsidR="002F4B81" w:rsidRPr="002F4B81" w:rsidRDefault="002F4B81" w:rsidP="002F4B81">
      <w:pPr>
        <w:spacing w:after="0" w:line="240" w:lineRule="auto"/>
        <w:jc w:val="both"/>
        <w:rPr>
          <w:rFonts w:ascii="Calibri" w:eastAsia="Times New Roman" w:hAnsi="Calibri" w:cs="Times New Roman"/>
          <w:szCs w:val="20"/>
        </w:rPr>
      </w:pPr>
    </w:p>
    <w:p w14:paraId="55DCC59F"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Should clinical quantities be entered in the database as an upper, or lower, bound rather than a specific numeric value (e.g., ‘&lt;n’), this will be treated as the numeric value of the boundary (e.g., ‘n’) when initially tabulating summary statistics but a sensitivity analysis will also be performed treating it as missing.</w:t>
      </w:r>
    </w:p>
    <w:p w14:paraId="11964FC3" w14:textId="77777777" w:rsidR="002F4B81" w:rsidRPr="002F4B81" w:rsidRDefault="002F4B81" w:rsidP="002F4B81">
      <w:pPr>
        <w:spacing w:before="120" w:after="0" w:line="240" w:lineRule="auto"/>
        <w:ind w:right="-154"/>
        <w:jc w:val="both"/>
        <w:rPr>
          <w:rFonts w:ascii="Calibri" w:eastAsia="Times New Roman" w:hAnsi="Calibri" w:cs="Times New Roman"/>
          <w:b/>
          <w:szCs w:val="20"/>
        </w:rPr>
      </w:pPr>
      <w:r w:rsidRPr="002F4B81">
        <w:rPr>
          <w:rFonts w:ascii="Calibri" w:eastAsia="Times New Roman" w:hAnsi="Calibri" w:cs="Times New Roman"/>
          <w:b/>
          <w:szCs w:val="20"/>
        </w:rPr>
        <w:t>Table 5: Secondary outcome measures</w:t>
      </w: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992"/>
        <w:gridCol w:w="4394"/>
      </w:tblGrid>
      <w:tr w:rsidR="002F4B81" w:rsidRPr="002F4B81" w14:paraId="6D4E07FF" w14:textId="77777777" w:rsidTr="00C667E5">
        <w:tc>
          <w:tcPr>
            <w:tcW w:w="2802" w:type="dxa"/>
            <w:shd w:val="clear" w:color="auto" w:fill="auto"/>
          </w:tcPr>
          <w:p w14:paraId="4E7EAE00" w14:textId="77777777" w:rsidR="002F4B81" w:rsidRPr="002F4B81" w:rsidRDefault="002F4B81" w:rsidP="002F4B81">
            <w:pPr>
              <w:spacing w:after="0" w:line="240" w:lineRule="auto"/>
              <w:ind w:right="-153"/>
              <w:rPr>
                <w:rFonts w:ascii="Calibri" w:eastAsia="Times New Roman" w:hAnsi="Calibri" w:cs="Times New Roman"/>
                <w:b/>
                <w:szCs w:val="20"/>
              </w:rPr>
            </w:pPr>
          </w:p>
        </w:tc>
        <w:tc>
          <w:tcPr>
            <w:tcW w:w="992" w:type="dxa"/>
            <w:shd w:val="clear" w:color="auto" w:fill="auto"/>
          </w:tcPr>
          <w:p w14:paraId="6CE61EBF"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n (%)</w:t>
            </w:r>
          </w:p>
        </w:tc>
        <w:tc>
          <w:tcPr>
            <w:tcW w:w="4394" w:type="dxa"/>
            <w:shd w:val="clear" w:color="auto" w:fill="auto"/>
          </w:tcPr>
          <w:p w14:paraId="5336830A"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Additional details</w:t>
            </w:r>
          </w:p>
        </w:tc>
      </w:tr>
      <w:tr w:rsidR="002F4B81" w:rsidRPr="002F4B81" w14:paraId="7D9E7A58" w14:textId="77777777" w:rsidTr="00C667E5">
        <w:tc>
          <w:tcPr>
            <w:tcW w:w="2802" w:type="dxa"/>
            <w:shd w:val="clear" w:color="auto" w:fill="auto"/>
          </w:tcPr>
          <w:p w14:paraId="6595BB05" w14:textId="77777777" w:rsidR="002F4B81" w:rsidRPr="002F4B81" w:rsidRDefault="002F4B81" w:rsidP="002F4B81">
            <w:pPr>
              <w:spacing w:after="0" w:line="240" w:lineRule="auto"/>
              <w:ind w:right="-153"/>
              <w:rPr>
                <w:rFonts w:ascii="Calibri" w:eastAsia="Times New Roman" w:hAnsi="Calibri" w:cs="Times New Roman"/>
                <w:szCs w:val="20"/>
              </w:rPr>
            </w:pPr>
            <w:r w:rsidRPr="002F4B81">
              <w:rPr>
                <w:rFonts w:ascii="Calibri" w:eastAsia="Times New Roman" w:hAnsi="Calibri" w:cs="Times New Roman"/>
                <w:szCs w:val="20"/>
              </w:rPr>
              <w:t>Relapse and restart Eculizumab without the development of a TMA-related SAE</w:t>
            </w:r>
          </w:p>
        </w:tc>
        <w:tc>
          <w:tcPr>
            <w:tcW w:w="992" w:type="dxa"/>
            <w:shd w:val="clear" w:color="auto" w:fill="auto"/>
          </w:tcPr>
          <w:p w14:paraId="3C34928C"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4394" w:type="dxa"/>
            <w:shd w:val="clear" w:color="auto" w:fill="auto"/>
          </w:tcPr>
          <w:p w14:paraId="47E6D5A2" w14:textId="77777777" w:rsidR="002F4B81" w:rsidRPr="002F4B81" w:rsidRDefault="002F4B81" w:rsidP="002F4B81">
            <w:pPr>
              <w:spacing w:after="0" w:line="240" w:lineRule="auto"/>
              <w:ind w:right="-153"/>
              <w:rPr>
                <w:rFonts w:ascii="Calibri" w:eastAsia="Times New Roman" w:hAnsi="Calibri" w:cs="Times New Roman"/>
                <w:szCs w:val="20"/>
              </w:rPr>
            </w:pPr>
            <w:r w:rsidRPr="002F4B81">
              <w:rPr>
                <w:rFonts w:ascii="Calibri" w:eastAsia="Times New Roman" w:hAnsi="Calibri" w:cs="Times New Roman"/>
                <w:b/>
                <w:szCs w:val="20"/>
              </w:rPr>
              <w:t xml:space="preserve">Time in weeks from withdrawal of </w:t>
            </w:r>
            <w:r w:rsidRPr="002F4B81">
              <w:rPr>
                <w:rFonts w:ascii="Calibri" w:eastAsia="Times New Roman" w:hAnsi="Calibri" w:cs="TimesNewRomanPSMT"/>
                <w:b/>
                <w:szCs w:val="20"/>
              </w:rPr>
              <w:t>Eculizumab to relapse</w:t>
            </w:r>
          </w:p>
        </w:tc>
      </w:tr>
      <w:tr w:rsidR="002F4B81" w:rsidRPr="002F4B81" w14:paraId="11F7F531" w14:textId="77777777" w:rsidTr="00C667E5">
        <w:tc>
          <w:tcPr>
            <w:tcW w:w="2802" w:type="dxa"/>
            <w:shd w:val="clear" w:color="auto" w:fill="auto"/>
          </w:tcPr>
          <w:p w14:paraId="43C881A6" w14:textId="77777777" w:rsidR="002F4B81" w:rsidRPr="002F4B81" w:rsidRDefault="002F4B81" w:rsidP="002F4B81">
            <w:pPr>
              <w:spacing w:after="0" w:line="240" w:lineRule="auto"/>
              <w:ind w:right="-153"/>
              <w:rPr>
                <w:rFonts w:ascii="Calibri" w:eastAsia="Times New Roman" w:hAnsi="Calibri" w:cs="Times New Roman"/>
                <w:szCs w:val="20"/>
              </w:rPr>
            </w:pPr>
            <w:r w:rsidRPr="002F4B81">
              <w:rPr>
                <w:rFonts w:ascii="Calibri" w:eastAsia="Times New Roman" w:hAnsi="Calibri" w:cs="Times New Roman"/>
                <w:szCs w:val="20"/>
              </w:rPr>
              <w:t>Relapse after Eculizumab is withdrawn</w:t>
            </w:r>
          </w:p>
        </w:tc>
        <w:tc>
          <w:tcPr>
            <w:tcW w:w="992" w:type="dxa"/>
            <w:shd w:val="clear" w:color="auto" w:fill="auto"/>
          </w:tcPr>
          <w:p w14:paraId="7E22848F"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4394" w:type="dxa"/>
            <w:shd w:val="clear" w:color="auto" w:fill="auto"/>
          </w:tcPr>
          <w:p w14:paraId="0D445831" w14:textId="77777777" w:rsidR="002F4B81" w:rsidRPr="002F4B81" w:rsidRDefault="002F4B81" w:rsidP="002F4B81">
            <w:pPr>
              <w:spacing w:after="0" w:line="240" w:lineRule="auto"/>
              <w:ind w:right="-153"/>
              <w:rPr>
                <w:rFonts w:ascii="Calibri" w:eastAsia="Times New Roman" w:hAnsi="Calibri" w:cs="Times New Roman"/>
                <w:szCs w:val="20"/>
              </w:rPr>
            </w:pPr>
            <w:r w:rsidRPr="002F4B81">
              <w:rPr>
                <w:rFonts w:ascii="Calibri" w:eastAsia="Times New Roman" w:hAnsi="Calibri" w:cs="Times New Roman"/>
                <w:b/>
                <w:szCs w:val="20"/>
              </w:rPr>
              <w:t xml:space="preserve">Time in weeks from withdrawal of </w:t>
            </w:r>
            <w:r w:rsidRPr="002F4B81">
              <w:rPr>
                <w:rFonts w:ascii="Calibri" w:eastAsia="Times New Roman" w:hAnsi="Calibri" w:cs="TimesNewRomanPSMT"/>
                <w:b/>
                <w:szCs w:val="20"/>
              </w:rPr>
              <w:t>Eculizumab to relapse</w:t>
            </w:r>
          </w:p>
        </w:tc>
      </w:tr>
      <w:tr w:rsidR="002F4B81" w:rsidRPr="002F4B81" w14:paraId="6B654329" w14:textId="77777777" w:rsidTr="00C667E5">
        <w:tc>
          <w:tcPr>
            <w:tcW w:w="2802" w:type="dxa"/>
            <w:shd w:val="clear" w:color="auto" w:fill="auto"/>
          </w:tcPr>
          <w:p w14:paraId="708624C7" w14:textId="77777777" w:rsidR="002F4B81" w:rsidRPr="002F4B81" w:rsidRDefault="002F4B81" w:rsidP="002F4B81">
            <w:pPr>
              <w:spacing w:after="0" w:line="240" w:lineRule="auto"/>
              <w:ind w:right="-153"/>
              <w:rPr>
                <w:rFonts w:ascii="Calibri" w:eastAsia="Times New Roman" w:hAnsi="Calibri" w:cs="Times New Roman"/>
                <w:szCs w:val="20"/>
              </w:rPr>
            </w:pPr>
            <w:r w:rsidRPr="002F4B81">
              <w:rPr>
                <w:rFonts w:ascii="Calibri" w:eastAsia="Times New Roman" w:hAnsi="Calibri" w:cs="TimesNewRomanPSMT"/>
                <w:szCs w:val="20"/>
              </w:rPr>
              <w:t>Patients on long-term treatment with Eculizumab, who can be maintained off treatment</w:t>
            </w:r>
          </w:p>
        </w:tc>
        <w:tc>
          <w:tcPr>
            <w:tcW w:w="992" w:type="dxa"/>
            <w:shd w:val="clear" w:color="auto" w:fill="auto"/>
          </w:tcPr>
          <w:p w14:paraId="653DC72C"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4394" w:type="dxa"/>
            <w:shd w:val="clear" w:color="auto" w:fill="auto"/>
          </w:tcPr>
          <w:p w14:paraId="0E0EDDF2" w14:textId="77777777" w:rsidR="002F4B81" w:rsidRPr="002F4B81" w:rsidRDefault="002F4B81" w:rsidP="002F4B81">
            <w:pPr>
              <w:spacing w:after="0" w:line="240" w:lineRule="auto"/>
              <w:ind w:right="-153"/>
              <w:rPr>
                <w:rFonts w:ascii="Calibri" w:eastAsia="Times New Roman" w:hAnsi="Calibri" w:cs="Times New Roman"/>
                <w:szCs w:val="20"/>
              </w:rPr>
            </w:pPr>
          </w:p>
        </w:tc>
      </w:tr>
    </w:tbl>
    <w:p w14:paraId="26CE6937" w14:textId="77777777" w:rsidR="002F4B81" w:rsidRPr="002F4B81" w:rsidRDefault="002F4B81" w:rsidP="002F4B81">
      <w:pPr>
        <w:autoSpaceDE w:val="0"/>
        <w:autoSpaceDN w:val="0"/>
        <w:adjustRightInd w:val="0"/>
        <w:spacing w:after="0" w:line="240" w:lineRule="auto"/>
        <w:contextualSpacing/>
        <w:rPr>
          <w:rFonts w:ascii="Calibri" w:eastAsia="Calibri" w:hAnsi="Calibri" w:cs="TimesNewRomanPSMT"/>
          <w:sz w:val="18"/>
          <w:szCs w:val="18"/>
        </w:rPr>
      </w:pPr>
      <w:proofErr w:type="spellStart"/>
      <w:r w:rsidRPr="002F4B81">
        <w:rPr>
          <w:rFonts w:ascii="Calibri" w:eastAsia="Calibri" w:hAnsi="Calibri" w:cs="TimesNewRomanPSMT"/>
          <w:vertAlign w:val="superscript"/>
        </w:rPr>
        <w:t>a</w:t>
      </w:r>
      <w:proofErr w:type="spellEnd"/>
      <w:r w:rsidRPr="002F4B81">
        <w:rPr>
          <w:rFonts w:ascii="Calibri" w:eastAsia="Calibri" w:hAnsi="Calibri" w:cs="TimesNewRomanPSMT"/>
        </w:rPr>
        <w:t xml:space="preserve"> </w:t>
      </w:r>
      <w:r w:rsidRPr="002F4B81">
        <w:rPr>
          <w:rFonts w:ascii="Calibri" w:eastAsia="Calibri" w:hAnsi="Calibri" w:cs="TimesNewRomanPSMT"/>
          <w:sz w:val="18"/>
          <w:szCs w:val="18"/>
        </w:rPr>
        <w:t xml:space="preserve">Irreversible (&gt;3 months) reduction in estimated glomerular filtration rate (eGFR) as defined in section 8.1, not attributable to another </w:t>
      </w:r>
      <w:proofErr w:type="gramStart"/>
      <w:r w:rsidRPr="002F4B81">
        <w:rPr>
          <w:rFonts w:ascii="Calibri" w:eastAsia="Calibri" w:hAnsi="Calibri" w:cs="TimesNewRomanPSMT"/>
          <w:sz w:val="18"/>
          <w:szCs w:val="18"/>
        </w:rPr>
        <w:t>cause</w:t>
      </w:r>
      <w:proofErr w:type="gramEnd"/>
    </w:p>
    <w:p w14:paraId="57A73D6B" w14:textId="77777777" w:rsidR="002F4B81" w:rsidRPr="002F4B81" w:rsidRDefault="002F4B81" w:rsidP="002F4B81">
      <w:pPr>
        <w:autoSpaceDE w:val="0"/>
        <w:autoSpaceDN w:val="0"/>
        <w:adjustRightInd w:val="0"/>
        <w:spacing w:after="0" w:line="240" w:lineRule="auto"/>
        <w:contextualSpacing/>
        <w:rPr>
          <w:rFonts w:ascii="Calibri" w:eastAsia="Calibri" w:hAnsi="Calibri" w:cs="TimesNewRomanPSMT"/>
          <w:sz w:val="18"/>
          <w:szCs w:val="18"/>
        </w:rPr>
      </w:pPr>
      <w:r w:rsidRPr="002F4B81">
        <w:rPr>
          <w:rFonts w:ascii="Calibri" w:eastAsia="Calibri" w:hAnsi="Calibri" w:cs="TimesNewRomanPSMT"/>
          <w:sz w:val="18"/>
          <w:szCs w:val="18"/>
        </w:rPr>
        <w:lastRenderedPageBreak/>
        <w:t xml:space="preserve">An episode of AKI attributed to a TMA that requires renal replacement </w:t>
      </w:r>
      <w:proofErr w:type="gramStart"/>
      <w:r w:rsidRPr="002F4B81">
        <w:rPr>
          <w:rFonts w:ascii="Calibri" w:eastAsia="Calibri" w:hAnsi="Calibri" w:cs="TimesNewRomanPSMT"/>
          <w:sz w:val="18"/>
          <w:szCs w:val="18"/>
        </w:rPr>
        <w:t>therapy</w:t>
      </w:r>
      <w:proofErr w:type="gramEnd"/>
    </w:p>
    <w:p w14:paraId="45EC14ED" w14:textId="77777777" w:rsidR="002F4B81" w:rsidRPr="002F4B81" w:rsidRDefault="002F4B81" w:rsidP="002F4B81">
      <w:pPr>
        <w:spacing w:after="0" w:line="240" w:lineRule="auto"/>
        <w:jc w:val="both"/>
        <w:rPr>
          <w:rFonts w:ascii="Calibri" w:eastAsia="Times New Roman" w:hAnsi="Calibri" w:cs="TimesNewRomanPSMT"/>
          <w:sz w:val="18"/>
          <w:szCs w:val="18"/>
        </w:rPr>
      </w:pPr>
      <w:r w:rsidRPr="002F4B81">
        <w:rPr>
          <w:rFonts w:ascii="Calibri" w:eastAsia="Times New Roman" w:hAnsi="Calibri" w:cs="TimesNewRomanPSMT"/>
          <w:sz w:val="18"/>
          <w:szCs w:val="18"/>
        </w:rPr>
        <w:t>A non-renal manifestation of a TMA that require hospitalisation, cause irreversible organ damage or death.</w:t>
      </w:r>
    </w:p>
    <w:p w14:paraId="0CEBA6E3" w14:textId="77777777" w:rsidR="002F4B81" w:rsidRPr="002F4B81" w:rsidRDefault="002F4B81" w:rsidP="002F4B81">
      <w:pPr>
        <w:spacing w:after="0" w:line="240" w:lineRule="auto"/>
        <w:jc w:val="both"/>
        <w:rPr>
          <w:rFonts w:ascii="Calibri" w:eastAsia="Times New Roman" w:hAnsi="Calibri" w:cs="TimesNewRomanPSMT"/>
          <w:sz w:val="18"/>
          <w:szCs w:val="18"/>
        </w:rPr>
      </w:pPr>
    </w:p>
    <w:p w14:paraId="476DFD53" w14:textId="77777777" w:rsidR="002F4B81" w:rsidRPr="002F4B81" w:rsidRDefault="002F4B81" w:rsidP="002F4B81">
      <w:pPr>
        <w:spacing w:after="0" w:line="240" w:lineRule="auto"/>
        <w:jc w:val="both"/>
        <w:rPr>
          <w:rFonts w:ascii="Calibri" w:eastAsia="Times New Roman" w:hAnsi="Calibri" w:cs="Times New Roman"/>
          <w:b/>
        </w:rPr>
      </w:pPr>
      <w:r w:rsidRPr="002F4B81">
        <w:rPr>
          <w:rFonts w:ascii="Calibri" w:eastAsia="Times New Roman" w:hAnsi="Calibri" w:cs="Times New Roman"/>
          <w:b/>
        </w:rPr>
        <w:t xml:space="preserve">Table 6: The time from the first clinical </w:t>
      </w:r>
      <w:proofErr w:type="spellStart"/>
      <w:r w:rsidRPr="002F4B81">
        <w:rPr>
          <w:rFonts w:ascii="Calibri" w:eastAsia="Times New Roman" w:hAnsi="Calibri" w:cs="Times New Roman"/>
          <w:b/>
        </w:rPr>
        <w:t>feature</w:t>
      </w:r>
      <w:r w:rsidRPr="002F4B81">
        <w:rPr>
          <w:rFonts w:ascii="Calibri" w:eastAsia="Times New Roman" w:hAnsi="Calibri" w:cs="Times New Roman"/>
          <w:b/>
          <w:vertAlign w:val="superscript"/>
        </w:rPr>
        <w:t>a</w:t>
      </w:r>
      <w:proofErr w:type="spellEnd"/>
      <w:r w:rsidRPr="002F4B81">
        <w:rPr>
          <w:rFonts w:ascii="Calibri" w:eastAsia="Times New Roman" w:hAnsi="Calibri" w:cs="Times New Roman"/>
          <w:b/>
        </w:rPr>
        <w:t xml:space="preserve"> of a relapse of TMA and the re-introduction of Eculizumab treatment</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559"/>
        <w:gridCol w:w="3119"/>
        <w:gridCol w:w="3118"/>
      </w:tblGrid>
      <w:tr w:rsidR="002F4B81" w:rsidRPr="002F4B81" w14:paraId="7F7262E0" w14:textId="77777777" w:rsidTr="00C667E5">
        <w:tc>
          <w:tcPr>
            <w:tcW w:w="959" w:type="dxa"/>
            <w:shd w:val="clear" w:color="auto" w:fill="auto"/>
          </w:tcPr>
          <w:p w14:paraId="619C2F18"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ID</w:t>
            </w:r>
          </w:p>
        </w:tc>
        <w:tc>
          <w:tcPr>
            <w:tcW w:w="1559" w:type="dxa"/>
            <w:shd w:val="clear" w:color="auto" w:fill="auto"/>
          </w:tcPr>
          <w:p w14:paraId="3FC792AC"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Date of clinical feature</w:t>
            </w:r>
          </w:p>
        </w:tc>
        <w:tc>
          <w:tcPr>
            <w:tcW w:w="3119" w:type="dxa"/>
            <w:shd w:val="clear" w:color="auto" w:fill="auto"/>
          </w:tcPr>
          <w:p w14:paraId="665299FD"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 xml:space="preserve">Description of first clinical feature of a relapse of </w:t>
            </w:r>
            <w:proofErr w:type="spellStart"/>
            <w:r w:rsidRPr="002F4B81">
              <w:rPr>
                <w:rFonts w:ascii="Calibri" w:eastAsia="Times New Roman" w:hAnsi="Calibri" w:cs="Times New Roman"/>
                <w:b/>
                <w:szCs w:val="20"/>
              </w:rPr>
              <w:t>TMA</w:t>
            </w:r>
            <w:r w:rsidRPr="002F4B81">
              <w:rPr>
                <w:rFonts w:ascii="Calibri" w:eastAsia="Times New Roman" w:hAnsi="Calibri" w:cs="Times New Roman"/>
                <w:b/>
                <w:szCs w:val="20"/>
                <w:vertAlign w:val="superscript"/>
              </w:rPr>
              <w:t>b</w:t>
            </w:r>
            <w:proofErr w:type="spellEnd"/>
            <w:r w:rsidRPr="002F4B81">
              <w:rPr>
                <w:rFonts w:ascii="Calibri" w:eastAsia="Times New Roman" w:hAnsi="Calibri" w:cs="Times New Roman"/>
                <w:b/>
                <w:szCs w:val="20"/>
              </w:rPr>
              <w:t xml:space="preserve"> and reintroduction of Eculizumab</w:t>
            </w:r>
          </w:p>
        </w:tc>
        <w:tc>
          <w:tcPr>
            <w:tcW w:w="3118" w:type="dxa"/>
            <w:shd w:val="clear" w:color="auto" w:fill="auto"/>
          </w:tcPr>
          <w:p w14:paraId="09EA6005"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 xml:space="preserve">Time in weeks from first clinical feature of a relapse of </w:t>
            </w:r>
            <w:proofErr w:type="spellStart"/>
            <w:r w:rsidRPr="002F4B81">
              <w:rPr>
                <w:rFonts w:ascii="Calibri" w:eastAsia="Times New Roman" w:hAnsi="Calibri" w:cs="Times New Roman"/>
                <w:b/>
                <w:szCs w:val="20"/>
              </w:rPr>
              <w:t>TMA</w:t>
            </w:r>
            <w:r w:rsidRPr="002F4B81">
              <w:rPr>
                <w:rFonts w:ascii="Calibri" w:eastAsia="Times New Roman" w:hAnsi="Calibri" w:cs="Times New Roman"/>
                <w:b/>
                <w:szCs w:val="20"/>
                <w:vertAlign w:val="superscript"/>
              </w:rPr>
              <w:t>b</w:t>
            </w:r>
            <w:proofErr w:type="spellEnd"/>
            <w:r w:rsidRPr="002F4B81">
              <w:rPr>
                <w:rFonts w:ascii="Calibri" w:eastAsia="Times New Roman" w:hAnsi="Calibri" w:cs="Times New Roman"/>
                <w:b/>
                <w:szCs w:val="20"/>
              </w:rPr>
              <w:t xml:space="preserve"> and reintroduction of Eculizumab</w:t>
            </w:r>
          </w:p>
        </w:tc>
      </w:tr>
      <w:tr w:rsidR="002F4B81" w:rsidRPr="002F4B81" w14:paraId="51073963" w14:textId="77777777" w:rsidTr="00C667E5">
        <w:tc>
          <w:tcPr>
            <w:tcW w:w="959" w:type="dxa"/>
            <w:shd w:val="clear" w:color="auto" w:fill="auto"/>
          </w:tcPr>
          <w:p w14:paraId="62481B04"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1559" w:type="dxa"/>
            <w:shd w:val="clear" w:color="auto" w:fill="auto"/>
          </w:tcPr>
          <w:p w14:paraId="03415B2C"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3119" w:type="dxa"/>
            <w:shd w:val="clear" w:color="auto" w:fill="auto"/>
          </w:tcPr>
          <w:p w14:paraId="7D535DFA"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3118" w:type="dxa"/>
            <w:shd w:val="clear" w:color="auto" w:fill="auto"/>
          </w:tcPr>
          <w:p w14:paraId="02494C78" w14:textId="77777777" w:rsidR="002F4B81" w:rsidRPr="002F4B81" w:rsidRDefault="002F4B81" w:rsidP="002F4B81">
            <w:pPr>
              <w:spacing w:after="0" w:line="240" w:lineRule="auto"/>
              <w:ind w:right="-153"/>
              <w:rPr>
                <w:rFonts w:ascii="Calibri" w:eastAsia="Times New Roman" w:hAnsi="Calibri" w:cs="Times New Roman"/>
                <w:szCs w:val="20"/>
              </w:rPr>
            </w:pPr>
          </w:p>
        </w:tc>
      </w:tr>
      <w:tr w:rsidR="002F4B81" w:rsidRPr="002F4B81" w14:paraId="0AB82D00" w14:textId="77777777" w:rsidTr="00C667E5">
        <w:tc>
          <w:tcPr>
            <w:tcW w:w="959" w:type="dxa"/>
            <w:shd w:val="clear" w:color="auto" w:fill="auto"/>
          </w:tcPr>
          <w:p w14:paraId="1D3161BD"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1559" w:type="dxa"/>
            <w:shd w:val="clear" w:color="auto" w:fill="auto"/>
          </w:tcPr>
          <w:p w14:paraId="0A7F40D1"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3119" w:type="dxa"/>
            <w:shd w:val="clear" w:color="auto" w:fill="auto"/>
          </w:tcPr>
          <w:p w14:paraId="4EE64B65"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3118" w:type="dxa"/>
            <w:shd w:val="clear" w:color="auto" w:fill="auto"/>
          </w:tcPr>
          <w:p w14:paraId="73E747BE" w14:textId="77777777" w:rsidR="002F4B81" w:rsidRPr="002F4B81" w:rsidRDefault="002F4B81" w:rsidP="002F4B81">
            <w:pPr>
              <w:spacing w:after="0" w:line="240" w:lineRule="auto"/>
              <w:ind w:right="-153"/>
              <w:rPr>
                <w:rFonts w:ascii="Calibri" w:eastAsia="Times New Roman" w:hAnsi="Calibri" w:cs="Times New Roman"/>
                <w:szCs w:val="20"/>
              </w:rPr>
            </w:pPr>
          </w:p>
        </w:tc>
      </w:tr>
    </w:tbl>
    <w:p w14:paraId="56A31EE8" w14:textId="77777777" w:rsidR="002F4B81" w:rsidRPr="002F4B81" w:rsidRDefault="002F4B81" w:rsidP="002F4B81">
      <w:pPr>
        <w:autoSpaceDE w:val="0"/>
        <w:autoSpaceDN w:val="0"/>
        <w:adjustRightInd w:val="0"/>
        <w:spacing w:after="0" w:line="240" w:lineRule="auto"/>
        <w:contextualSpacing/>
        <w:rPr>
          <w:rFonts w:ascii="Calibri" w:eastAsia="Calibri" w:hAnsi="Calibri" w:cs="TimesNewRomanPSMT"/>
          <w:vertAlign w:val="superscript"/>
        </w:rPr>
      </w:pPr>
      <w:r w:rsidRPr="002F4B81">
        <w:rPr>
          <w:rFonts w:ascii="Calibri" w:eastAsia="Calibri" w:hAnsi="Calibri" w:cs="TimesNewRomanPSMT"/>
          <w:vertAlign w:val="superscript"/>
        </w:rPr>
        <w:t>a</w:t>
      </w:r>
      <w:r w:rsidRPr="002F4B81">
        <w:rPr>
          <w:rFonts w:ascii="Calibri" w:eastAsia="Calibri" w:hAnsi="Calibri" w:cs="Times New Roman"/>
          <w:b/>
        </w:rPr>
        <w:t xml:space="preserve"> </w:t>
      </w:r>
      <w:r w:rsidRPr="002F4B81">
        <w:rPr>
          <w:rFonts w:ascii="Calibri" w:eastAsia="Calibri" w:hAnsi="Calibri" w:cs="Times New Roman"/>
          <w:sz w:val="18"/>
          <w:szCs w:val="18"/>
        </w:rPr>
        <w:t xml:space="preserve">Symptom, positive </w:t>
      </w:r>
      <w:proofErr w:type="gramStart"/>
      <w:r w:rsidRPr="002F4B81">
        <w:rPr>
          <w:rFonts w:ascii="Calibri" w:eastAsia="Calibri" w:hAnsi="Calibri" w:cs="Times New Roman"/>
          <w:sz w:val="18"/>
          <w:szCs w:val="18"/>
        </w:rPr>
        <w:t>urinalysis</w:t>
      </w:r>
      <w:proofErr w:type="gramEnd"/>
      <w:r w:rsidRPr="002F4B81">
        <w:rPr>
          <w:rFonts w:ascii="Calibri" w:eastAsia="Calibri" w:hAnsi="Calibri" w:cs="Times New Roman"/>
          <w:sz w:val="18"/>
          <w:szCs w:val="18"/>
        </w:rPr>
        <w:t xml:space="preserve"> or laboratory result</w:t>
      </w:r>
    </w:p>
    <w:p w14:paraId="4AE5962D" w14:textId="77777777" w:rsidR="002F4B81" w:rsidRPr="002F4B81" w:rsidRDefault="002F4B81" w:rsidP="002F4B81">
      <w:pPr>
        <w:autoSpaceDE w:val="0"/>
        <w:autoSpaceDN w:val="0"/>
        <w:adjustRightInd w:val="0"/>
        <w:spacing w:after="0" w:line="240" w:lineRule="auto"/>
        <w:contextualSpacing/>
        <w:rPr>
          <w:rFonts w:ascii="Calibri" w:eastAsia="Calibri" w:hAnsi="Calibri" w:cs="TimesNewRomanPSMT"/>
          <w:sz w:val="18"/>
          <w:szCs w:val="18"/>
        </w:rPr>
      </w:pPr>
      <w:r w:rsidRPr="002F4B81">
        <w:rPr>
          <w:rFonts w:ascii="Calibri" w:eastAsia="Calibri" w:hAnsi="Calibri" w:cs="TimesNewRomanPSMT"/>
          <w:vertAlign w:val="superscript"/>
        </w:rPr>
        <w:t>b</w:t>
      </w:r>
      <w:r w:rsidRPr="002F4B81">
        <w:rPr>
          <w:rFonts w:ascii="Calibri" w:eastAsia="Calibri" w:hAnsi="Calibri" w:cs="TimesNewRomanPSMT"/>
        </w:rPr>
        <w:t xml:space="preserve"> </w:t>
      </w:r>
      <w:r w:rsidRPr="002F4B81">
        <w:rPr>
          <w:rFonts w:ascii="Calibri" w:eastAsia="Calibri" w:hAnsi="Calibri" w:cs="TimesNewRomanPSMT"/>
          <w:sz w:val="18"/>
          <w:szCs w:val="18"/>
        </w:rPr>
        <w:t>Irreversible (&gt;3 months) reduction in estimated glomerular filtration rate (eGFR) as defined in section 8.1, not attributable to another cause</w:t>
      </w:r>
    </w:p>
    <w:p w14:paraId="64BF2BC4" w14:textId="77777777" w:rsidR="002F4B81" w:rsidRPr="002F4B81" w:rsidRDefault="002F4B81" w:rsidP="002F4B81">
      <w:pPr>
        <w:autoSpaceDE w:val="0"/>
        <w:autoSpaceDN w:val="0"/>
        <w:adjustRightInd w:val="0"/>
        <w:spacing w:after="0" w:line="240" w:lineRule="auto"/>
        <w:contextualSpacing/>
        <w:rPr>
          <w:rFonts w:ascii="Calibri" w:eastAsia="Calibri" w:hAnsi="Calibri" w:cs="TimesNewRomanPSMT"/>
          <w:sz w:val="18"/>
          <w:szCs w:val="18"/>
        </w:rPr>
      </w:pPr>
      <w:r w:rsidRPr="002F4B81">
        <w:rPr>
          <w:rFonts w:ascii="Calibri" w:eastAsia="Calibri" w:hAnsi="Calibri" w:cs="TimesNewRomanPSMT"/>
          <w:sz w:val="18"/>
          <w:szCs w:val="18"/>
        </w:rPr>
        <w:t xml:space="preserve">An episode of AKI attributed to a TMA that requires renal replacement </w:t>
      </w:r>
      <w:proofErr w:type="gramStart"/>
      <w:r w:rsidRPr="002F4B81">
        <w:rPr>
          <w:rFonts w:ascii="Calibri" w:eastAsia="Calibri" w:hAnsi="Calibri" w:cs="TimesNewRomanPSMT"/>
          <w:sz w:val="18"/>
          <w:szCs w:val="18"/>
        </w:rPr>
        <w:t>therapy</w:t>
      </w:r>
      <w:proofErr w:type="gramEnd"/>
    </w:p>
    <w:p w14:paraId="14FEDBDE" w14:textId="77777777" w:rsidR="002F4B81" w:rsidRPr="002F4B81" w:rsidRDefault="002F4B81" w:rsidP="002F4B81">
      <w:pPr>
        <w:spacing w:after="0" w:line="240" w:lineRule="auto"/>
        <w:jc w:val="both"/>
        <w:rPr>
          <w:rFonts w:ascii="Calibri" w:eastAsia="Times New Roman" w:hAnsi="Calibri" w:cs="TimesNewRomanPSMT"/>
          <w:sz w:val="18"/>
          <w:szCs w:val="18"/>
        </w:rPr>
      </w:pPr>
      <w:r w:rsidRPr="002F4B81">
        <w:rPr>
          <w:rFonts w:ascii="Calibri" w:eastAsia="Times New Roman" w:hAnsi="Calibri" w:cs="TimesNewRomanPSMT"/>
          <w:sz w:val="18"/>
          <w:szCs w:val="18"/>
        </w:rPr>
        <w:t>A non-renal manifestation of a TMA that require hospitalisation, cause irreversible organ damage or death.</w:t>
      </w:r>
    </w:p>
    <w:p w14:paraId="10458913" w14:textId="77777777" w:rsidR="002F4B81" w:rsidRPr="002F4B81" w:rsidRDefault="002F4B81" w:rsidP="002F4B81">
      <w:pPr>
        <w:spacing w:after="0" w:line="240" w:lineRule="auto"/>
        <w:jc w:val="both"/>
        <w:rPr>
          <w:rFonts w:ascii="Calibri" w:eastAsia="Times New Roman" w:hAnsi="Calibri" w:cs="Times New Roman"/>
          <w:b/>
          <w:szCs w:val="20"/>
        </w:rPr>
      </w:pPr>
    </w:p>
    <w:p w14:paraId="56A864EF" w14:textId="77777777" w:rsidR="002F4B81" w:rsidRPr="002F4B81" w:rsidRDefault="002F4B81" w:rsidP="002F4B81">
      <w:pPr>
        <w:spacing w:after="0" w:line="240" w:lineRule="auto"/>
        <w:jc w:val="both"/>
        <w:rPr>
          <w:rFonts w:ascii="Calibri" w:eastAsia="Times New Roman" w:hAnsi="Calibri" w:cs="Times New Roman"/>
          <w:b/>
        </w:rPr>
      </w:pPr>
      <w:r w:rsidRPr="002F4B81">
        <w:rPr>
          <w:rFonts w:ascii="Calibri" w:eastAsia="Times New Roman" w:hAnsi="Calibri" w:cs="Times New Roman"/>
          <w:b/>
        </w:rPr>
        <w:t xml:space="preserve">Table 7: </w:t>
      </w:r>
      <w:r w:rsidRPr="002F4B81">
        <w:rPr>
          <w:rFonts w:ascii="Calibri" w:eastAsia="Times New Roman" w:hAnsi="Calibri" w:cs="Times New Roman"/>
          <w:b/>
          <w:szCs w:val="20"/>
        </w:rPr>
        <w:t xml:space="preserve">Description of the period from withdrawal to relapse in those patients who restart treatment measured from baseline (day 0) </w:t>
      </w:r>
      <w:proofErr w:type="gramStart"/>
      <w:r w:rsidRPr="002F4B81">
        <w:rPr>
          <w:rFonts w:ascii="Calibri" w:eastAsia="Times New Roman" w:hAnsi="Calibri" w:cs="Times New Roman"/>
          <w:b/>
          <w:szCs w:val="20"/>
        </w:rPr>
        <w:t>to day</w:t>
      </w:r>
      <w:proofErr w:type="gramEnd"/>
      <w:r w:rsidRPr="002F4B81">
        <w:rPr>
          <w:rFonts w:ascii="Calibri" w:eastAsia="Times New Roman" w:hAnsi="Calibri" w:cs="Times New Roman"/>
          <w:b/>
          <w:szCs w:val="20"/>
        </w:rPr>
        <w:t xml:space="preserve"> of re-introduction of treatment or end of the study</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559"/>
        <w:gridCol w:w="3260"/>
        <w:gridCol w:w="3119"/>
      </w:tblGrid>
      <w:tr w:rsidR="002F4B81" w:rsidRPr="002F4B81" w14:paraId="73EECA08" w14:textId="77777777" w:rsidTr="00C667E5">
        <w:tc>
          <w:tcPr>
            <w:tcW w:w="959" w:type="dxa"/>
            <w:shd w:val="clear" w:color="auto" w:fill="auto"/>
          </w:tcPr>
          <w:p w14:paraId="15350629"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ID</w:t>
            </w:r>
          </w:p>
        </w:tc>
        <w:tc>
          <w:tcPr>
            <w:tcW w:w="1559" w:type="dxa"/>
            <w:shd w:val="clear" w:color="auto" w:fill="auto"/>
          </w:tcPr>
          <w:p w14:paraId="2E3A0480"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Date of clinical feature</w:t>
            </w:r>
          </w:p>
        </w:tc>
        <w:tc>
          <w:tcPr>
            <w:tcW w:w="3260" w:type="dxa"/>
            <w:shd w:val="clear" w:color="auto" w:fill="auto"/>
          </w:tcPr>
          <w:p w14:paraId="02CB5F6C"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Description of relapse in patients</w:t>
            </w:r>
          </w:p>
          <w:p w14:paraId="4F185932"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Reintroduced to Eculizumab</w:t>
            </w:r>
          </w:p>
        </w:tc>
        <w:tc>
          <w:tcPr>
            <w:tcW w:w="3119" w:type="dxa"/>
            <w:shd w:val="clear" w:color="auto" w:fill="auto"/>
          </w:tcPr>
          <w:p w14:paraId="7422BE63" w14:textId="77777777" w:rsidR="002F4B81" w:rsidRPr="002F4B81" w:rsidRDefault="002F4B81" w:rsidP="002F4B81">
            <w:pPr>
              <w:spacing w:after="0" w:line="240" w:lineRule="auto"/>
              <w:ind w:right="-153"/>
              <w:rPr>
                <w:rFonts w:ascii="Calibri" w:eastAsia="Times New Roman" w:hAnsi="Calibri" w:cs="Times New Roman"/>
                <w:b/>
                <w:szCs w:val="20"/>
              </w:rPr>
            </w:pPr>
            <w:r w:rsidRPr="002F4B81">
              <w:rPr>
                <w:rFonts w:ascii="Calibri" w:eastAsia="Times New Roman" w:hAnsi="Calibri" w:cs="Times New Roman"/>
                <w:b/>
                <w:szCs w:val="20"/>
              </w:rPr>
              <w:t>Time in weeks from baseline to reintroduction to Eculizumab</w:t>
            </w:r>
          </w:p>
        </w:tc>
      </w:tr>
      <w:tr w:rsidR="002F4B81" w:rsidRPr="002F4B81" w14:paraId="44A94507" w14:textId="77777777" w:rsidTr="00C667E5">
        <w:tc>
          <w:tcPr>
            <w:tcW w:w="959" w:type="dxa"/>
            <w:shd w:val="clear" w:color="auto" w:fill="auto"/>
          </w:tcPr>
          <w:p w14:paraId="2AC98EAB"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1559" w:type="dxa"/>
            <w:shd w:val="clear" w:color="auto" w:fill="auto"/>
          </w:tcPr>
          <w:p w14:paraId="1172F00B"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3260" w:type="dxa"/>
            <w:shd w:val="clear" w:color="auto" w:fill="auto"/>
          </w:tcPr>
          <w:p w14:paraId="016F9923"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3119" w:type="dxa"/>
            <w:shd w:val="clear" w:color="auto" w:fill="auto"/>
          </w:tcPr>
          <w:p w14:paraId="31527D9A" w14:textId="77777777" w:rsidR="002F4B81" w:rsidRPr="002F4B81" w:rsidRDefault="002F4B81" w:rsidP="002F4B81">
            <w:pPr>
              <w:spacing w:after="0" w:line="240" w:lineRule="auto"/>
              <w:ind w:right="-153"/>
              <w:rPr>
                <w:rFonts w:ascii="Calibri" w:eastAsia="Times New Roman" w:hAnsi="Calibri" w:cs="Times New Roman"/>
                <w:szCs w:val="20"/>
              </w:rPr>
            </w:pPr>
          </w:p>
        </w:tc>
      </w:tr>
      <w:tr w:rsidR="002F4B81" w:rsidRPr="002F4B81" w14:paraId="03E643A8" w14:textId="77777777" w:rsidTr="00C667E5">
        <w:tc>
          <w:tcPr>
            <w:tcW w:w="959" w:type="dxa"/>
            <w:shd w:val="clear" w:color="auto" w:fill="auto"/>
          </w:tcPr>
          <w:p w14:paraId="2CC9F8D8"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1559" w:type="dxa"/>
            <w:shd w:val="clear" w:color="auto" w:fill="auto"/>
          </w:tcPr>
          <w:p w14:paraId="5B5C49CA"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3260" w:type="dxa"/>
            <w:shd w:val="clear" w:color="auto" w:fill="auto"/>
          </w:tcPr>
          <w:p w14:paraId="7E87A39E" w14:textId="77777777" w:rsidR="002F4B81" w:rsidRPr="002F4B81" w:rsidRDefault="002F4B81" w:rsidP="002F4B81">
            <w:pPr>
              <w:spacing w:after="0" w:line="240" w:lineRule="auto"/>
              <w:ind w:right="-153"/>
              <w:rPr>
                <w:rFonts w:ascii="Calibri" w:eastAsia="Times New Roman" w:hAnsi="Calibri" w:cs="Times New Roman"/>
                <w:szCs w:val="20"/>
              </w:rPr>
            </w:pPr>
          </w:p>
        </w:tc>
        <w:tc>
          <w:tcPr>
            <w:tcW w:w="3119" w:type="dxa"/>
            <w:shd w:val="clear" w:color="auto" w:fill="auto"/>
          </w:tcPr>
          <w:p w14:paraId="349CF16A" w14:textId="77777777" w:rsidR="002F4B81" w:rsidRPr="002F4B81" w:rsidRDefault="002F4B81" w:rsidP="002F4B81">
            <w:pPr>
              <w:spacing w:after="0" w:line="240" w:lineRule="auto"/>
              <w:ind w:right="-153"/>
              <w:rPr>
                <w:rFonts w:ascii="Calibri" w:eastAsia="Times New Roman" w:hAnsi="Calibri" w:cs="Times New Roman"/>
                <w:szCs w:val="20"/>
              </w:rPr>
            </w:pPr>
          </w:p>
        </w:tc>
      </w:tr>
    </w:tbl>
    <w:p w14:paraId="33BE36D5" w14:textId="77777777" w:rsidR="002F4B81" w:rsidRPr="002F4B81" w:rsidRDefault="002F4B81" w:rsidP="002F4B81">
      <w:pPr>
        <w:spacing w:after="0" w:line="240" w:lineRule="auto"/>
        <w:jc w:val="both"/>
        <w:rPr>
          <w:rFonts w:ascii="Calibri" w:eastAsia="Times New Roman" w:hAnsi="Calibri" w:cs="Times New Roman"/>
          <w:b/>
          <w:szCs w:val="20"/>
        </w:rPr>
      </w:pPr>
    </w:p>
    <w:p w14:paraId="234A6910" w14:textId="77777777" w:rsidR="002F4B81" w:rsidRPr="002F4B81" w:rsidRDefault="002F4B81" w:rsidP="002F4B81">
      <w:pPr>
        <w:spacing w:after="0" w:line="240" w:lineRule="auto"/>
        <w:jc w:val="both"/>
        <w:rPr>
          <w:rFonts w:ascii="Calibri" w:eastAsia="Times New Roman" w:hAnsi="Calibri" w:cs="Times New Roman"/>
          <w:b/>
          <w:szCs w:val="20"/>
        </w:rPr>
      </w:pPr>
      <w:r w:rsidRPr="002F4B81">
        <w:rPr>
          <w:rFonts w:ascii="Calibri" w:eastAsia="Times New Roman" w:hAnsi="Calibri" w:cs="Times New Roman"/>
          <w:b/>
          <w:szCs w:val="20"/>
        </w:rPr>
        <w:t>Table 8: GFR at baseline, important cut-offs and change in estimated GFR as calculated by the CKD-EPI or modified Schwartz equations over the course of the study from baseline to one year follow-up and to end of the study (2 years).</w:t>
      </w:r>
    </w:p>
    <w:p w14:paraId="78AD62ED" w14:textId="77777777" w:rsidR="002F4B81" w:rsidRPr="002F4B81" w:rsidRDefault="002F4B81" w:rsidP="002F4B81">
      <w:pPr>
        <w:spacing w:after="0" w:line="240" w:lineRule="auto"/>
        <w:jc w:val="both"/>
        <w:rPr>
          <w:rFonts w:ascii="Calibri" w:eastAsia="Times New Roman" w:hAnsi="Calibri" w:cs="TimesNewRomanPSMT"/>
          <w:b/>
          <w:szCs w:val="20"/>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956"/>
        <w:gridCol w:w="745"/>
        <w:gridCol w:w="1559"/>
        <w:gridCol w:w="1985"/>
        <w:gridCol w:w="1559"/>
      </w:tblGrid>
      <w:tr w:rsidR="002F4B81" w:rsidRPr="002F4B81" w14:paraId="5EB6B1C7" w14:textId="77777777" w:rsidTr="00C667E5">
        <w:tc>
          <w:tcPr>
            <w:tcW w:w="1951" w:type="dxa"/>
            <w:shd w:val="clear" w:color="auto" w:fill="auto"/>
          </w:tcPr>
          <w:p w14:paraId="2EB90F51"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szCs w:val="28"/>
                <w:highlight w:val="yellow"/>
                <w:lang w:eastAsia="en-GB"/>
              </w:rPr>
            </w:pPr>
          </w:p>
        </w:tc>
        <w:tc>
          <w:tcPr>
            <w:tcW w:w="956" w:type="dxa"/>
            <w:vAlign w:val="bottom"/>
          </w:tcPr>
          <w:p w14:paraId="0C8D5B97"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n</w:t>
            </w:r>
          </w:p>
        </w:tc>
        <w:tc>
          <w:tcPr>
            <w:tcW w:w="745" w:type="dxa"/>
          </w:tcPr>
          <w:p w14:paraId="25FF5612"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w:t>
            </w:r>
          </w:p>
        </w:tc>
        <w:tc>
          <w:tcPr>
            <w:tcW w:w="1559" w:type="dxa"/>
            <w:shd w:val="clear" w:color="auto" w:fill="auto"/>
            <w:vAlign w:val="bottom"/>
          </w:tcPr>
          <w:p w14:paraId="4F95BC71"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Mean (SD)</w:t>
            </w:r>
          </w:p>
        </w:tc>
        <w:tc>
          <w:tcPr>
            <w:tcW w:w="1985" w:type="dxa"/>
            <w:shd w:val="clear" w:color="auto" w:fill="auto"/>
          </w:tcPr>
          <w:p w14:paraId="3E6B14F7"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Median (IQR)</w:t>
            </w:r>
          </w:p>
        </w:tc>
        <w:tc>
          <w:tcPr>
            <w:tcW w:w="1559" w:type="dxa"/>
          </w:tcPr>
          <w:p w14:paraId="2D10205F"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Range</w:t>
            </w:r>
          </w:p>
        </w:tc>
      </w:tr>
      <w:tr w:rsidR="002F4B81" w:rsidRPr="002F4B81" w14:paraId="3576B47B" w14:textId="77777777" w:rsidTr="00C667E5">
        <w:tc>
          <w:tcPr>
            <w:tcW w:w="1951" w:type="dxa"/>
            <w:shd w:val="clear" w:color="auto" w:fill="auto"/>
          </w:tcPr>
          <w:p w14:paraId="21CF1442"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szCs w:val="28"/>
                <w:lang w:eastAsia="en-GB"/>
              </w:rPr>
            </w:pPr>
            <w:r w:rsidRPr="002F4B81">
              <w:rPr>
                <w:rFonts w:ascii="Calibri" w:eastAsia="Times New Roman" w:hAnsi="Calibri" w:cs="Times New Roman"/>
                <w:bCs/>
                <w:szCs w:val="28"/>
                <w:lang w:eastAsia="en-GB"/>
              </w:rPr>
              <w:t>Baseline GFR</w:t>
            </w:r>
          </w:p>
        </w:tc>
        <w:tc>
          <w:tcPr>
            <w:tcW w:w="956" w:type="dxa"/>
          </w:tcPr>
          <w:p w14:paraId="2048F036"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745" w:type="dxa"/>
          </w:tcPr>
          <w:p w14:paraId="2933FEFE"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shd w:val="clear" w:color="auto" w:fill="auto"/>
          </w:tcPr>
          <w:p w14:paraId="4ACA12AA"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985" w:type="dxa"/>
            <w:shd w:val="clear" w:color="auto" w:fill="auto"/>
          </w:tcPr>
          <w:p w14:paraId="453AED0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tcPr>
          <w:p w14:paraId="00A42D9E"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01992117" w14:textId="77777777" w:rsidTr="00C667E5">
        <w:tc>
          <w:tcPr>
            <w:tcW w:w="8755" w:type="dxa"/>
            <w:gridSpan w:val="6"/>
            <w:shd w:val="clear" w:color="auto" w:fill="auto"/>
          </w:tcPr>
          <w:p w14:paraId="25F6A15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r w:rsidRPr="002F4B81">
              <w:rPr>
                <w:rFonts w:ascii="Calibri" w:eastAsia="Times New Roman" w:hAnsi="Calibri" w:cs="Times New Roman"/>
                <w:bCs/>
                <w:szCs w:val="28"/>
                <w:lang w:eastAsia="en-GB"/>
              </w:rPr>
              <w:t>At 1 year</w:t>
            </w:r>
          </w:p>
        </w:tc>
      </w:tr>
      <w:tr w:rsidR="002F4B81" w:rsidRPr="002F4B81" w14:paraId="48C1A583" w14:textId="77777777" w:rsidTr="00C667E5">
        <w:tc>
          <w:tcPr>
            <w:tcW w:w="1951" w:type="dxa"/>
            <w:shd w:val="clear" w:color="auto" w:fill="auto"/>
          </w:tcPr>
          <w:p w14:paraId="6A971A96"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szCs w:val="28"/>
                <w:lang w:eastAsia="en-GB"/>
              </w:rPr>
            </w:pPr>
            <w:r w:rsidRPr="002F4B81">
              <w:rPr>
                <w:rFonts w:ascii="Calibri" w:eastAsia="Times New Roman" w:hAnsi="Calibri" w:cs="Times New Roman"/>
                <w:bCs/>
                <w:szCs w:val="28"/>
                <w:lang w:eastAsia="en-GB"/>
              </w:rPr>
              <w:t>Change in GFR</w:t>
            </w:r>
          </w:p>
        </w:tc>
        <w:tc>
          <w:tcPr>
            <w:tcW w:w="956" w:type="dxa"/>
          </w:tcPr>
          <w:p w14:paraId="41E3E547"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745" w:type="dxa"/>
          </w:tcPr>
          <w:p w14:paraId="5EDFB29A"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shd w:val="clear" w:color="auto" w:fill="auto"/>
          </w:tcPr>
          <w:p w14:paraId="46D3A7AB"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985" w:type="dxa"/>
            <w:shd w:val="clear" w:color="auto" w:fill="auto"/>
          </w:tcPr>
          <w:p w14:paraId="40D43046"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tcPr>
          <w:p w14:paraId="274CCF83"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78F0C6AC" w14:textId="77777777" w:rsidTr="00C667E5">
        <w:tc>
          <w:tcPr>
            <w:tcW w:w="1951" w:type="dxa"/>
            <w:shd w:val="clear" w:color="auto" w:fill="auto"/>
          </w:tcPr>
          <w:p w14:paraId="47F77306"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szCs w:val="28"/>
                <w:lang w:eastAsia="en-GB"/>
              </w:rPr>
            </w:pPr>
            <w:r w:rsidRPr="002F4B81">
              <w:rPr>
                <w:rFonts w:ascii="Calibri" w:eastAsia="Times New Roman" w:hAnsi="Calibri" w:cs="Times New Roman"/>
                <w:bCs/>
                <w:color w:val="000000"/>
                <w:lang w:eastAsia="en-GB"/>
              </w:rPr>
              <w:t>GFR &gt;90 (adult)</w:t>
            </w:r>
          </w:p>
        </w:tc>
        <w:tc>
          <w:tcPr>
            <w:tcW w:w="956" w:type="dxa"/>
          </w:tcPr>
          <w:p w14:paraId="7B047E40"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745" w:type="dxa"/>
          </w:tcPr>
          <w:p w14:paraId="766C4B9E"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szCs w:val="28"/>
                <w:lang w:eastAsia="en-GB"/>
              </w:rPr>
            </w:pPr>
          </w:p>
        </w:tc>
        <w:tc>
          <w:tcPr>
            <w:tcW w:w="1559" w:type="dxa"/>
            <w:shd w:val="clear" w:color="auto" w:fill="auto"/>
          </w:tcPr>
          <w:p w14:paraId="339DDBAB"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szCs w:val="28"/>
                <w:lang w:eastAsia="en-GB"/>
              </w:rPr>
            </w:pPr>
          </w:p>
        </w:tc>
        <w:tc>
          <w:tcPr>
            <w:tcW w:w="1985" w:type="dxa"/>
            <w:shd w:val="clear" w:color="auto" w:fill="auto"/>
          </w:tcPr>
          <w:p w14:paraId="4A00FEEB"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tcPr>
          <w:p w14:paraId="2340685F"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1AC342E7" w14:textId="77777777" w:rsidTr="00C667E5">
        <w:tc>
          <w:tcPr>
            <w:tcW w:w="1951" w:type="dxa"/>
            <w:shd w:val="clear" w:color="auto" w:fill="auto"/>
          </w:tcPr>
          <w:p w14:paraId="48029D3C"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szCs w:val="28"/>
                <w:lang w:eastAsia="en-GB"/>
              </w:rPr>
            </w:pPr>
            <w:r w:rsidRPr="002F4B81">
              <w:rPr>
                <w:rFonts w:ascii="Calibri" w:eastAsia="Times New Roman" w:hAnsi="Calibri" w:cs="Times New Roman"/>
                <w:bCs/>
                <w:color w:val="000000"/>
                <w:lang w:eastAsia="en-GB"/>
              </w:rPr>
              <w:t>&gt;75,&lt;=90 (adult)</w:t>
            </w:r>
            <w:r w:rsidRPr="002F4B81">
              <w:rPr>
                <w:rFonts w:ascii="Calibri" w:eastAsia="Times New Roman" w:hAnsi="Calibri" w:cs="Times New Roman"/>
                <w:bCs/>
                <w:szCs w:val="28"/>
                <w:lang w:eastAsia="en-GB"/>
              </w:rPr>
              <w:t xml:space="preserve"> </w:t>
            </w:r>
          </w:p>
        </w:tc>
        <w:tc>
          <w:tcPr>
            <w:tcW w:w="956" w:type="dxa"/>
          </w:tcPr>
          <w:p w14:paraId="2756DE3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745" w:type="dxa"/>
          </w:tcPr>
          <w:p w14:paraId="4A98A306"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shd w:val="clear" w:color="auto" w:fill="auto"/>
          </w:tcPr>
          <w:p w14:paraId="5CB3075A"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985" w:type="dxa"/>
            <w:shd w:val="clear" w:color="auto" w:fill="auto"/>
          </w:tcPr>
          <w:p w14:paraId="5B2DF04B"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tcPr>
          <w:p w14:paraId="0C685CF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65827680" w14:textId="77777777" w:rsidTr="00C667E5">
        <w:tc>
          <w:tcPr>
            <w:tcW w:w="1951" w:type="dxa"/>
            <w:shd w:val="clear" w:color="auto" w:fill="auto"/>
          </w:tcPr>
          <w:p w14:paraId="4FEA6338"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GFR &gt;75 (child)</w:t>
            </w:r>
          </w:p>
        </w:tc>
        <w:tc>
          <w:tcPr>
            <w:tcW w:w="956" w:type="dxa"/>
          </w:tcPr>
          <w:p w14:paraId="6DED4A3C"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745" w:type="dxa"/>
          </w:tcPr>
          <w:p w14:paraId="4345D96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shd w:val="clear" w:color="auto" w:fill="auto"/>
          </w:tcPr>
          <w:p w14:paraId="69B23D20"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985" w:type="dxa"/>
            <w:shd w:val="clear" w:color="auto" w:fill="auto"/>
          </w:tcPr>
          <w:p w14:paraId="75DFE65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tcPr>
          <w:p w14:paraId="299573A6"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4B308773" w14:textId="77777777" w:rsidTr="00C667E5">
        <w:tc>
          <w:tcPr>
            <w:tcW w:w="8755" w:type="dxa"/>
            <w:gridSpan w:val="6"/>
            <w:shd w:val="clear" w:color="auto" w:fill="auto"/>
          </w:tcPr>
          <w:p w14:paraId="59090C7A"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r w:rsidRPr="002F4B81">
              <w:rPr>
                <w:rFonts w:ascii="Calibri" w:eastAsia="Times New Roman" w:hAnsi="Calibri" w:cs="Times New Roman"/>
                <w:bCs/>
                <w:szCs w:val="28"/>
                <w:lang w:eastAsia="en-GB"/>
              </w:rPr>
              <w:t>At 2 years</w:t>
            </w:r>
          </w:p>
        </w:tc>
      </w:tr>
      <w:tr w:rsidR="002F4B81" w:rsidRPr="002F4B81" w14:paraId="7CF6AFF9" w14:textId="77777777" w:rsidTr="00C667E5">
        <w:tc>
          <w:tcPr>
            <w:tcW w:w="1951" w:type="dxa"/>
            <w:shd w:val="clear" w:color="auto" w:fill="auto"/>
          </w:tcPr>
          <w:p w14:paraId="1FC92C88"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szCs w:val="28"/>
                <w:lang w:eastAsia="en-GB"/>
              </w:rPr>
            </w:pPr>
            <w:r w:rsidRPr="002F4B81">
              <w:rPr>
                <w:rFonts w:ascii="Calibri" w:eastAsia="Times New Roman" w:hAnsi="Calibri" w:cs="Times New Roman"/>
                <w:bCs/>
                <w:szCs w:val="28"/>
                <w:lang w:eastAsia="en-GB"/>
              </w:rPr>
              <w:t>Change in GFR</w:t>
            </w:r>
          </w:p>
        </w:tc>
        <w:tc>
          <w:tcPr>
            <w:tcW w:w="956" w:type="dxa"/>
          </w:tcPr>
          <w:p w14:paraId="03BE2A83"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745" w:type="dxa"/>
          </w:tcPr>
          <w:p w14:paraId="3171938C"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shd w:val="clear" w:color="auto" w:fill="auto"/>
          </w:tcPr>
          <w:p w14:paraId="6D361EEC"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985" w:type="dxa"/>
            <w:shd w:val="clear" w:color="auto" w:fill="auto"/>
          </w:tcPr>
          <w:p w14:paraId="504D455C"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tcPr>
          <w:p w14:paraId="3F6ABD8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24388629" w14:textId="77777777" w:rsidTr="00C667E5">
        <w:tc>
          <w:tcPr>
            <w:tcW w:w="1951" w:type="dxa"/>
            <w:shd w:val="clear" w:color="auto" w:fill="auto"/>
          </w:tcPr>
          <w:p w14:paraId="1EC9D6ED"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szCs w:val="28"/>
                <w:lang w:eastAsia="en-GB"/>
              </w:rPr>
            </w:pPr>
            <w:r w:rsidRPr="002F4B81">
              <w:rPr>
                <w:rFonts w:ascii="Calibri" w:eastAsia="Times New Roman" w:hAnsi="Calibri" w:cs="Times New Roman"/>
                <w:bCs/>
                <w:color w:val="000000"/>
                <w:lang w:eastAsia="en-GB"/>
              </w:rPr>
              <w:t>GFR &gt;90 (adult)</w:t>
            </w:r>
          </w:p>
        </w:tc>
        <w:tc>
          <w:tcPr>
            <w:tcW w:w="956" w:type="dxa"/>
          </w:tcPr>
          <w:p w14:paraId="4046F221"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745" w:type="dxa"/>
          </w:tcPr>
          <w:p w14:paraId="7CC3A005"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shd w:val="clear" w:color="auto" w:fill="auto"/>
          </w:tcPr>
          <w:p w14:paraId="77DEDD51"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985" w:type="dxa"/>
            <w:shd w:val="clear" w:color="auto" w:fill="auto"/>
          </w:tcPr>
          <w:p w14:paraId="3BDD763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tcPr>
          <w:p w14:paraId="3A0D1DAF"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64ACF9CF" w14:textId="77777777" w:rsidTr="00C667E5">
        <w:tc>
          <w:tcPr>
            <w:tcW w:w="1951" w:type="dxa"/>
            <w:shd w:val="clear" w:color="auto" w:fill="auto"/>
          </w:tcPr>
          <w:p w14:paraId="277FA697"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szCs w:val="28"/>
                <w:lang w:eastAsia="en-GB"/>
              </w:rPr>
            </w:pPr>
            <w:r w:rsidRPr="002F4B81">
              <w:rPr>
                <w:rFonts w:ascii="Calibri" w:eastAsia="Times New Roman" w:hAnsi="Calibri" w:cs="Times New Roman"/>
                <w:bCs/>
                <w:color w:val="000000"/>
                <w:lang w:eastAsia="en-GB"/>
              </w:rPr>
              <w:t>&gt;75,&lt;=90 (adult)</w:t>
            </w:r>
            <w:r w:rsidRPr="002F4B81">
              <w:rPr>
                <w:rFonts w:ascii="Calibri" w:eastAsia="Times New Roman" w:hAnsi="Calibri" w:cs="Times New Roman"/>
                <w:bCs/>
                <w:szCs w:val="28"/>
                <w:lang w:eastAsia="en-GB"/>
              </w:rPr>
              <w:t xml:space="preserve"> </w:t>
            </w:r>
          </w:p>
        </w:tc>
        <w:tc>
          <w:tcPr>
            <w:tcW w:w="956" w:type="dxa"/>
          </w:tcPr>
          <w:p w14:paraId="6726C492"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745" w:type="dxa"/>
          </w:tcPr>
          <w:p w14:paraId="55500D73"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shd w:val="clear" w:color="auto" w:fill="auto"/>
          </w:tcPr>
          <w:p w14:paraId="7B20CAA4"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985" w:type="dxa"/>
            <w:shd w:val="clear" w:color="auto" w:fill="auto"/>
          </w:tcPr>
          <w:p w14:paraId="340AFBE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tcPr>
          <w:p w14:paraId="246F80C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1BC65C10" w14:textId="77777777" w:rsidTr="00C667E5">
        <w:tc>
          <w:tcPr>
            <w:tcW w:w="1951" w:type="dxa"/>
            <w:shd w:val="clear" w:color="auto" w:fill="auto"/>
          </w:tcPr>
          <w:p w14:paraId="5AF86306"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GFR &gt;75 (child)</w:t>
            </w:r>
          </w:p>
        </w:tc>
        <w:tc>
          <w:tcPr>
            <w:tcW w:w="956" w:type="dxa"/>
          </w:tcPr>
          <w:p w14:paraId="05FBBB71"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745" w:type="dxa"/>
          </w:tcPr>
          <w:p w14:paraId="2552A4DC"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shd w:val="clear" w:color="auto" w:fill="auto"/>
          </w:tcPr>
          <w:p w14:paraId="6E8B5859"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985" w:type="dxa"/>
            <w:shd w:val="clear" w:color="auto" w:fill="auto"/>
          </w:tcPr>
          <w:p w14:paraId="72C932A9"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59" w:type="dxa"/>
          </w:tcPr>
          <w:p w14:paraId="2BA95FA1"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bl>
    <w:p w14:paraId="23C68A9C" w14:textId="77777777" w:rsidR="002F4B81" w:rsidRPr="002F4B81" w:rsidRDefault="002F4B81" w:rsidP="002F4B81">
      <w:pPr>
        <w:spacing w:after="0" w:line="240" w:lineRule="auto"/>
        <w:jc w:val="both"/>
        <w:rPr>
          <w:rFonts w:ascii="Calibri" w:eastAsia="Times New Roman" w:hAnsi="Calibri" w:cs="Times New Roman"/>
          <w:szCs w:val="20"/>
        </w:rPr>
      </w:pPr>
    </w:p>
    <w:p w14:paraId="12C05060"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 xml:space="preserve">We will also attempt to identify and document important clinical and laboratory indicators of imminent relapse by review of reported symptoms, physical signs, urinalysis and laboratory results prior to the diagnosis of a </w:t>
      </w:r>
      <w:proofErr w:type="gramStart"/>
      <w:r w:rsidRPr="002F4B81">
        <w:rPr>
          <w:rFonts w:ascii="Calibri" w:eastAsia="Times New Roman" w:hAnsi="Calibri" w:cs="Times New Roman"/>
          <w:szCs w:val="20"/>
        </w:rPr>
        <w:t>relapse</w:t>
      </w:r>
      <w:proofErr w:type="gramEnd"/>
    </w:p>
    <w:p w14:paraId="76D83436" w14:textId="77777777" w:rsidR="002F4B81" w:rsidRPr="002F4B81" w:rsidRDefault="002F4B81" w:rsidP="002F4B81">
      <w:pPr>
        <w:spacing w:after="0" w:line="240" w:lineRule="auto"/>
        <w:jc w:val="both"/>
        <w:rPr>
          <w:rFonts w:ascii="Calibri" w:eastAsia="Times New Roman" w:hAnsi="Calibri" w:cs="Times New Roman"/>
          <w:szCs w:val="20"/>
        </w:rPr>
      </w:pPr>
    </w:p>
    <w:p w14:paraId="5F57E471" w14:textId="77777777" w:rsidR="002F4B81" w:rsidRPr="002F4B81" w:rsidRDefault="002F4B81" w:rsidP="002F4B81">
      <w:pPr>
        <w:spacing w:after="0" w:line="240" w:lineRule="auto"/>
        <w:jc w:val="both"/>
        <w:rPr>
          <w:rFonts w:ascii="Calibri" w:eastAsia="Times New Roman" w:hAnsi="Calibri" w:cs="TimesNewRomanPSMT"/>
          <w:b/>
          <w:szCs w:val="20"/>
        </w:rPr>
      </w:pPr>
      <w:r w:rsidRPr="002F4B81">
        <w:rPr>
          <w:rFonts w:ascii="Calibri" w:eastAsia="Times New Roman" w:hAnsi="Calibri" w:cs="Times New Roman"/>
          <w:b/>
          <w:szCs w:val="20"/>
        </w:rPr>
        <w:t>Table 9: Summary of full blood count (FBC) variables</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956"/>
        <w:gridCol w:w="1524"/>
        <w:gridCol w:w="1524"/>
        <w:gridCol w:w="1524"/>
      </w:tblGrid>
      <w:tr w:rsidR="002F4B81" w:rsidRPr="002F4B81" w14:paraId="6B3B5278" w14:textId="77777777" w:rsidTr="00C667E5">
        <w:tc>
          <w:tcPr>
            <w:tcW w:w="1951" w:type="dxa"/>
            <w:shd w:val="clear" w:color="auto" w:fill="auto"/>
          </w:tcPr>
          <w:p w14:paraId="49E3A163"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
                <w:bCs/>
                <w:highlight w:val="yellow"/>
                <w:lang w:eastAsia="en-GB"/>
              </w:rPr>
            </w:pPr>
            <w:r w:rsidRPr="002F4B81">
              <w:rPr>
                <w:rFonts w:ascii="Calibri" w:eastAsia="Times New Roman" w:hAnsi="Calibri" w:cs="Times New Roman"/>
                <w:b/>
                <w:bCs/>
                <w:lang w:eastAsia="en-GB"/>
              </w:rPr>
              <w:t>Full blood count</w:t>
            </w:r>
          </w:p>
        </w:tc>
        <w:tc>
          <w:tcPr>
            <w:tcW w:w="956" w:type="dxa"/>
            <w:vAlign w:val="bottom"/>
          </w:tcPr>
          <w:p w14:paraId="3CB320BE"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n</w:t>
            </w:r>
          </w:p>
        </w:tc>
        <w:tc>
          <w:tcPr>
            <w:tcW w:w="1524" w:type="dxa"/>
            <w:shd w:val="clear" w:color="auto" w:fill="auto"/>
            <w:vAlign w:val="bottom"/>
          </w:tcPr>
          <w:p w14:paraId="3EFBE154"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Mean (SD)</w:t>
            </w:r>
          </w:p>
        </w:tc>
        <w:tc>
          <w:tcPr>
            <w:tcW w:w="1524" w:type="dxa"/>
            <w:shd w:val="clear" w:color="auto" w:fill="auto"/>
          </w:tcPr>
          <w:p w14:paraId="60003838"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Median (IQR)</w:t>
            </w:r>
          </w:p>
        </w:tc>
        <w:tc>
          <w:tcPr>
            <w:tcW w:w="1524" w:type="dxa"/>
          </w:tcPr>
          <w:p w14:paraId="03799AFB"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Range</w:t>
            </w:r>
          </w:p>
        </w:tc>
      </w:tr>
      <w:tr w:rsidR="002F4B81" w:rsidRPr="002F4B81" w14:paraId="114E12B6" w14:textId="77777777" w:rsidTr="00C667E5">
        <w:tc>
          <w:tcPr>
            <w:tcW w:w="1951" w:type="dxa"/>
            <w:shd w:val="clear" w:color="auto" w:fill="auto"/>
          </w:tcPr>
          <w:p w14:paraId="5DD7A3C7"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lang w:eastAsia="en-GB"/>
              </w:rPr>
            </w:pPr>
            <w:r w:rsidRPr="002F4B81">
              <w:rPr>
                <w:rFonts w:ascii="Calibri" w:eastAsia="Times New Roman" w:hAnsi="Calibri" w:cs="Times New Roman"/>
                <w:bCs/>
                <w:lang w:eastAsia="en-GB"/>
              </w:rPr>
              <w:t>Haemoglobin (g/L)</w:t>
            </w:r>
          </w:p>
        </w:tc>
        <w:tc>
          <w:tcPr>
            <w:tcW w:w="956" w:type="dxa"/>
          </w:tcPr>
          <w:p w14:paraId="34B2EF92"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4F9D8B8E"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69FFA66B"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0FA03CE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6063C101" w14:textId="77777777" w:rsidTr="00C667E5">
        <w:tc>
          <w:tcPr>
            <w:tcW w:w="1951" w:type="dxa"/>
            <w:shd w:val="clear" w:color="auto" w:fill="auto"/>
          </w:tcPr>
          <w:p w14:paraId="7B3095F2"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lang w:eastAsia="en-GB"/>
              </w:rPr>
            </w:pPr>
            <w:r w:rsidRPr="002F4B81">
              <w:rPr>
                <w:rFonts w:ascii="Calibri" w:eastAsia="Times New Roman" w:hAnsi="Calibri" w:cs="Times New Roman"/>
                <w:bCs/>
                <w:lang w:eastAsia="en-GB"/>
              </w:rPr>
              <w:t>Haematocrit (L/L)</w:t>
            </w:r>
          </w:p>
        </w:tc>
        <w:tc>
          <w:tcPr>
            <w:tcW w:w="956" w:type="dxa"/>
          </w:tcPr>
          <w:p w14:paraId="11F57035"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0FDE6E82"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63422F1E"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7D166D15"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79392001" w14:textId="77777777" w:rsidTr="00C667E5">
        <w:tc>
          <w:tcPr>
            <w:tcW w:w="1951" w:type="dxa"/>
            <w:shd w:val="clear" w:color="auto" w:fill="auto"/>
          </w:tcPr>
          <w:p w14:paraId="6DF01F4C"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RBC (10</w:t>
            </w:r>
            <w:r w:rsidRPr="002F4B81">
              <w:rPr>
                <w:rFonts w:ascii="Calibri" w:eastAsia="Times New Roman" w:hAnsi="Calibri" w:cs="Times New Roman"/>
                <w:vertAlign w:val="superscript"/>
              </w:rPr>
              <w:t>12</w:t>
            </w:r>
            <w:r w:rsidRPr="002F4B81">
              <w:rPr>
                <w:rFonts w:ascii="Calibri" w:eastAsia="Times New Roman" w:hAnsi="Calibri" w:cs="Times New Roman"/>
              </w:rPr>
              <w:t>/l)</w:t>
            </w:r>
          </w:p>
        </w:tc>
        <w:tc>
          <w:tcPr>
            <w:tcW w:w="956" w:type="dxa"/>
          </w:tcPr>
          <w:p w14:paraId="2FEDA1F1"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4A6A73CA"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70E8F30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33C07444"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24B6E5DB" w14:textId="77777777" w:rsidTr="00C667E5">
        <w:tc>
          <w:tcPr>
            <w:tcW w:w="1951" w:type="dxa"/>
            <w:shd w:val="clear" w:color="auto" w:fill="auto"/>
          </w:tcPr>
          <w:p w14:paraId="1F8DB542"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MCV (</w:t>
            </w:r>
            <w:proofErr w:type="spellStart"/>
            <w:r w:rsidRPr="002F4B81">
              <w:rPr>
                <w:rFonts w:ascii="Calibri" w:eastAsia="Times New Roman" w:hAnsi="Calibri" w:cs="Times New Roman"/>
              </w:rPr>
              <w:t>fl</w:t>
            </w:r>
            <w:proofErr w:type="spellEnd"/>
            <w:r w:rsidRPr="002F4B81">
              <w:rPr>
                <w:rFonts w:ascii="Calibri" w:eastAsia="Times New Roman" w:hAnsi="Calibri" w:cs="Times New Roman"/>
              </w:rPr>
              <w:t>)</w:t>
            </w:r>
          </w:p>
        </w:tc>
        <w:tc>
          <w:tcPr>
            <w:tcW w:w="956" w:type="dxa"/>
          </w:tcPr>
          <w:p w14:paraId="1A6F7839"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4163F4FB"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32BA059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25756BD7"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43302485" w14:textId="77777777" w:rsidTr="00C667E5">
        <w:tc>
          <w:tcPr>
            <w:tcW w:w="1951" w:type="dxa"/>
            <w:shd w:val="clear" w:color="auto" w:fill="auto"/>
          </w:tcPr>
          <w:p w14:paraId="179CD8BB"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MCH (</w:t>
            </w:r>
            <w:proofErr w:type="spellStart"/>
            <w:r w:rsidRPr="002F4B81">
              <w:rPr>
                <w:rFonts w:ascii="Calibri" w:eastAsia="Times New Roman" w:hAnsi="Calibri" w:cs="Times New Roman"/>
              </w:rPr>
              <w:t>pg</w:t>
            </w:r>
            <w:proofErr w:type="spellEnd"/>
            <w:r w:rsidRPr="002F4B81">
              <w:rPr>
                <w:rFonts w:ascii="Calibri" w:eastAsia="Times New Roman" w:hAnsi="Calibri" w:cs="Times New Roman"/>
              </w:rPr>
              <w:t>)</w:t>
            </w:r>
          </w:p>
        </w:tc>
        <w:tc>
          <w:tcPr>
            <w:tcW w:w="956" w:type="dxa"/>
          </w:tcPr>
          <w:p w14:paraId="77332D0F"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0154A252"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26E3DFA9"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0F080EE5"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14264577" w14:textId="77777777" w:rsidTr="00C667E5">
        <w:tc>
          <w:tcPr>
            <w:tcW w:w="1951" w:type="dxa"/>
            <w:shd w:val="clear" w:color="auto" w:fill="auto"/>
          </w:tcPr>
          <w:p w14:paraId="28F5E2CA"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lastRenderedPageBreak/>
              <w:t>Platelets (10</w:t>
            </w:r>
            <w:r w:rsidRPr="002F4B81">
              <w:rPr>
                <w:rFonts w:ascii="Calibri" w:eastAsia="Times New Roman" w:hAnsi="Calibri" w:cs="Times New Roman"/>
                <w:vertAlign w:val="superscript"/>
              </w:rPr>
              <w:t>9</w:t>
            </w:r>
            <w:r w:rsidRPr="002F4B81">
              <w:rPr>
                <w:rFonts w:ascii="Calibri" w:eastAsia="Times New Roman" w:hAnsi="Calibri" w:cs="Times New Roman"/>
              </w:rPr>
              <w:t>/l)</w:t>
            </w:r>
          </w:p>
        </w:tc>
        <w:tc>
          <w:tcPr>
            <w:tcW w:w="956" w:type="dxa"/>
          </w:tcPr>
          <w:p w14:paraId="7C0A20B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2B961BAC"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38B04D75"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5E984F47"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2FC41302" w14:textId="77777777" w:rsidTr="00C667E5">
        <w:tc>
          <w:tcPr>
            <w:tcW w:w="1951" w:type="dxa"/>
            <w:shd w:val="clear" w:color="auto" w:fill="auto"/>
          </w:tcPr>
          <w:p w14:paraId="1B43A493"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White blood cells (10</w:t>
            </w:r>
            <w:r w:rsidRPr="002F4B81">
              <w:rPr>
                <w:rFonts w:ascii="Calibri" w:eastAsia="Times New Roman" w:hAnsi="Calibri" w:cs="Times New Roman"/>
                <w:vertAlign w:val="superscript"/>
              </w:rPr>
              <w:t>9</w:t>
            </w:r>
            <w:r w:rsidRPr="002F4B81">
              <w:rPr>
                <w:rFonts w:ascii="Calibri" w:eastAsia="Times New Roman" w:hAnsi="Calibri" w:cs="Times New Roman"/>
              </w:rPr>
              <w:t>/l)</w:t>
            </w:r>
          </w:p>
        </w:tc>
        <w:tc>
          <w:tcPr>
            <w:tcW w:w="956" w:type="dxa"/>
          </w:tcPr>
          <w:p w14:paraId="0D0D53A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534FD722"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38FD118A"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5F969AF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52667884" w14:textId="77777777" w:rsidTr="00C667E5">
        <w:tc>
          <w:tcPr>
            <w:tcW w:w="1951" w:type="dxa"/>
            <w:shd w:val="clear" w:color="auto" w:fill="auto"/>
          </w:tcPr>
          <w:p w14:paraId="1019F152"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Neutrophils (10</w:t>
            </w:r>
            <w:r w:rsidRPr="002F4B81">
              <w:rPr>
                <w:rFonts w:ascii="Calibri" w:eastAsia="Times New Roman" w:hAnsi="Calibri" w:cs="Times New Roman"/>
                <w:vertAlign w:val="superscript"/>
              </w:rPr>
              <w:t>9</w:t>
            </w:r>
            <w:r w:rsidRPr="002F4B81">
              <w:rPr>
                <w:rFonts w:ascii="Calibri" w:eastAsia="Times New Roman" w:hAnsi="Calibri" w:cs="Times New Roman"/>
              </w:rPr>
              <w:t>/l)</w:t>
            </w:r>
          </w:p>
        </w:tc>
        <w:tc>
          <w:tcPr>
            <w:tcW w:w="956" w:type="dxa"/>
          </w:tcPr>
          <w:p w14:paraId="4E4B961A"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44CA4FF1"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2069AAFE"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10D18EF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13F15B92" w14:textId="77777777" w:rsidTr="00C667E5">
        <w:tc>
          <w:tcPr>
            <w:tcW w:w="1951" w:type="dxa"/>
            <w:shd w:val="clear" w:color="auto" w:fill="auto"/>
          </w:tcPr>
          <w:p w14:paraId="402A312D"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Lymphocytes (10</w:t>
            </w:r>
            <w:r w:rsidRPr="002F4B81">
              <w:rPr>
                <w:rFonts w:ascii="Calibri" w:eastAsia="Times New Roman" w:hAnsi="Calibri" w:cs="Times New Roman"/>
                <w:vertAlign w:val="superscript"/>
              </w:rPr>
              <w:t>9</w:t>
            </w:r>
            <w:r w:rsidRPr="002F4B81">
              <w:rPr>
                <w:rFonts w:ascii="Calibri" w:eastAsia="Times New Roman" w:hAnsi="Calibri" w:cs="Times New Roman"/>
              </w:rPr>
              <w:t>/l)</w:t>
            </w:r>
          </w:p>
        </w:tc>
        <w:tc>
          <w:tcPr>
            <w:tcW w:w="956" w:type="dxa"/>
          </w:tcPr>
          <w:p w14:paraId="2DAD614B"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6F7A3AD5"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3F2FED3F"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2CAD6B12"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68EFF420" w14:textId="77777777" w:rsidTr="00C667E5">
        <w:tc>
          <w:tcPr>
            <w:tcW w:w="1951" w:type="dxa"/>
            <w:shd w:val="clear" w:color="auto" w:fill="auto"/>
          </w:tcPr>
          <w:p w14:paraId="2D52B533"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Monocytes (10</w:t>
            </w:r>
            <w:r w:rsidRPr="002F4B81">
              <w:rPr>
                <w:rFonts w:ascii="Calibri" w:eastAsia="Times New Roman" w:hAnsi="Calibri" w:cs="Times New Roman"/>
                <w:vertAlign w:val="superscript"/>
              </w:rPr>
              <w:t>9</w:t>
            </w:r>
            <w:r w:rsidRPr="002F4B81">
              <w:rPr>
                <w:rFonts w:ascii="Calibri" w:eastAsia="Times New Roman" w:hAnsi="Calibri" w:cs="Times New Roman"/>
              </w:rPr>
              <w:t>/l)</w:t>
            </w:r>
          </w:p>
        </w:tc>
        <w:tc>
          <w:tcPr>
            <w:tcW w:w="956" w:type="dxa"/>
          </w:tcPr>
          <w:p w14:paraId="58FE321A"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2AD501B6"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48AF7D0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0F5C748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6A66B81E" w14:textId="77777777" w:rsidTr="00C667E5">
        <w:tc>
          <w:tcPr>
            <w:tcW w:w="1951" w:type="dxa"/>
            <w:shd w:val="clear" w:color="auto" w:fill="auto"/>
          </w:tcPr>
          <w:p w14:paraId="58756496"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Eosinophils (10</w:t>
            </w:r>
            <w:r w:rsidRPr="002F4B81">
              <w:rPr>
                <w:rFonts w:ascii="Calibri" w:eastAsia="Times New Roman" w:hAnsi="Calibri" w:cs="Times New Roman"/>
                <w:vertAlign w:val="superscript"/>
              </w:rPr>
              <w:t>9</w:t>
            </w:r>
            <w:r w:rsidRPr="002F4B81">
              <w:rPr>
                <w:rFonts w:ascii="Calibri" w:eastAsia="Times New Roman" w:hAnsi="Calibri" w:cs="Times New Roman"/>
              </w:rPr>
              <w:t>/l)</w:t>
            </w:r>
          </w:p>
        </w:tc>
        <w:tc>
          <w:tcPr>
            <w:tcW w:w="956" w:type="dxa"/>
          </w:tcPr>
          <w:p w14:paraId="2AA0BD17"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7382D2BA"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7CDB0C53"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7A74B593"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10668C9E" w14:textId="77777777" w:rsidTr="00C667E5">
        <w:tc>
          <w:tcPr>
            <w:tcW w:w="1951" w:type="dxa"/>
            <w:shd w:val="clear" w:color="auto" w:fill="auto"/>
          </w:tcPr>
          <w:p w14:paraId="01B25083"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Basophils (10</w:t>
            </w:r>
            <w:r w:rsidRPr="002F4B81">
              <w:rPr>
                <w:rFonts w:ascii="Calibri" w:eastAsia="Times New Roman" w:hAnsi="Calibri" w:cs="Times New Roman"/>
                <w:vertAlign w:val="superscript"/>
              </w:rPr>
              <w:t>9</w:t>
            </w:r>
            <w:r w:rsidRPr="002F4B81">
              <w:rPr>
                <w:rFonts w:ascii="Calibri" w:eastAsia="Times New Roman" w:hAnsi="Calibri" w:cs="Times New Roman"/>
              </w:rPr>
              <w:t>/l)</w:t>
            </w:r>
          </w:p>
        </w:tc>
        <w:tc>
          <w:tcPr>
            <w:tcW w:w="956" w:type="dxa"/>
          </w:tcPr>
          <w:p w14:paraId="30C75D80"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6B5ABBE9"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12E7C445"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606150D3"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bl>
    <w:p w14:paraId="492D3455" w14:textId="77777777" w:rsidR="002F4B81" w:rsidRPr="002F4B81" w:rsidRDefault="002F4B81" w:rsidP="002F4B81">
      <w:pPr>
        <w:spacing w:after="0" w:line="240" w:lineRule="auto"/>
        <w:jc w:val="both"/>
        <w:rPr>
          <w:rFonts w:ascii="Calibri" w:eastAsia="Times New Roman" w:hAnsi="Calibri" w:cs="Times New Roman"/>
          <w:szCs w:val="20"/>
        </w:rPr>
      </w:pPr>
    </w:p>
    <w:p w14:paraId="663D7DCA" w14:textId="77777777" w:rsidR="002F4B81" w:rsidRPr="002F4B81" w:rsidRDefault="002F4B81" w:rsidP="002F4B81">
      <w:pPr>
        <w:spacing w:after="0" w:line="240" w:lineRule="auto"/>
        <w:jc w:val="both"/>
        <w:rPr>
          <w:rFonts w:ascii="Calibri" w:eastAsia="Times New Roman" w:hAnsi="Calibri" w:cs="Times New Roman"/>
          <w:b/>
          <w:szCs w:val="20"/>
        </w:rPr>
      </w:pPr>
    </w:p>
    <w:p w14:paraId="600F9136" w14:textId="77777777" w:rsidR="002F4B81" w:rsidRPr="002F4B81" w:rsidRDefault="002F4B81" w:rsidP="002F4B81">
      <w:pPr>
        <w:spacing w:after="0" w:line="240" w:lineRule="auto"/>
        <w:jc w:val="both"/>
        <w:rPr>
          <w:rFonts w:ascii="Calibri" w:eastAsia="Times New Roman" w:hAnsi="Calibri" w:cs="Times New Roman"/>
          <w:b/>
          <w:szCs w:val="20"/>
        </w:rPr>
      </w:pPr>
    </w:p>
    <w:p w14:paraId="5042B4DC" w14:textId="77777777" w:rsidR="002F4B81" w:rsidRPr="002F4B81" w:rsidRDefault="002F4B81" w:rsidP="002F4B81">
      <w:pPr>
        <w:spacing w:after="0" w:line="240" w:lineRule="auto"/>
        <w:jc w:val="both"/>
        <w:rPr>
          <w:rFonts w:ascii="Calibri" w:eastAsia="Times New Roman" w:hAnsi="Calibri" w:cs="TimesNewRomanPSMT"/>
          <w:b/>
          <w:szCs w:val="20"/>
        </w:rPr>
      </w:pPr>
      <w:r w:rsidRPr="002F4B81">
        <w:rPr>
          <w:rFonts w:ascii="Calibri" w:eastAsia="Times New Roman" w:hAnsi="Calibri" w:cs="Times New Roman"/>
          <w:b/>
          <w:szCs w:val="20"/>
        </w:rPr>
        <w:t>Table 10: Summary of biochemistry variables</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956"/>
        <w:gridCol w:w="1524"/>
        <w:gridCol w:w="1524"/>
        <w:gridCol w:w="1524"/>
      </w:tblGrid>
      <w:tr w:rsidR="002F4B81" w:rsidRPr="002F4B81" w14:paraId="7318FFDA" w14:textId="77777777" w:rsidTr="00C667E5">
        <w:tc>
          <w:tcPr>
            <w:tcW w:w="1951" w:type="dxa"/>
            <w:shd w:val="clear" w:color="auto" w:fill="auto"/>
          </w:tcPr>
          <w:p w14:paraId="2A213982"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
                <w:bCs/>
                <w:highlight w:val="yellow"/>
                <w:lang w:eastAsia="en-GB"/>
              </w:rPr>
            </w:pPr>
            <w:r w:rsidRPr="002F4B81">
              <w:rPr>
                <w:rFonts w:ascii="Calibri" w:eastAsia="Times New Roman" w:hAnsi="Calibri" w:cs="Times New Roman"/>
                <w:b/>
                <w:bCs/>
                <w:lang w:eastAsia="en-GB"/>
              </w:rPr>
              <w:t>Liver function test</w:t>
            </w:r>
          </w:p>
        </w:tc>
        <w:tc>
          <w:tcPr>
            <w:tcW w:w="956" w:type="dxa"/>
            <w:vAlign w:val="bottom"/>
          </w:tcPr>
          <w:p w14:paraId="57A8050B"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n</w:t>
            </w:r>
          </w:p>
        </w:tc>
        <w:tc>
          <w:tcPr>
            <w:tcW w:w="1524" w:type="dxa"/>
            <w:shd w:val="clear" w:color="auto" w:fill="auto"/>
            <w:vAlign w:val="bottom"/>
          </w:tcPr>
          <w:p w14:paraId="63D66883"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Mean (SD)</w:t>
            </w:r>
          </w:p>
        </w:tc>
        <w:tc>
          <w:tcPr>
            <w:tcW w:w="1524" w:type="dxa"/>
            <w:shd w:val="clear" w:color="auto" w:fill="auto"/>
          </w:tcPr>
          <w:p w14:paraId="33744A8C"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Median (IQR)</w:t>
            </w:r>
          </w:p>
        </w:tc>
        <w:tc>
          <w:tcPr>
            <w:tcW w:w="1524" w:type="dxa"/>
          </w:tcPr>
          <w:p w14:paraId="0F5CB85A" w14:textId="77777777" w:rsidR="002F4B81" w:rsidRPr="002F4B81" w:rsidRDefault="002F4B81" w:rsidP="002F4B81">
            <w:pPr>
              <w:spacing w:after="0" w:line="240" w:lineRule="auto"/>
              <w:jc w:val="center"/>
              <w:rPr>
                <w:rFonts w:ascii="Calibri" w:eastAsia="Times New Roman" w:hAnsi="Calibri" w:cs="Times New Roman"/>
                <w:color w:val="000000"/>
                <w:lang w:eastAsia="en-GB"/>
              </w:rPr>
            </w:pPr>
            <w:r w:rsidRPr="002F4B81">
              <w:rPr>
                <w:rFonts w:ascii="Calibri" w:eastAsia="Times New Roman" w:hAnsi="Calibri" w:cs="Times New Roman"/>
                <w:color w:val="000000"/>
                <w:lang w:eastAsia="en-GB"/>
              </w:rPr>
              <w:t>Range</w:t>
            </w:r>
          </w:p>
        </w:tc>
      </w:tr>
      <w:tr w:rsidR="002F4B81" w:rsidRPr="002F4B81" w14:paraId="376631D8" w14:textId="77777777" w:rsidTr="00C667E5">
        <w:tc>
          <w:tcPr>
            <w:tcW w:w="1951" w:type="dxa"/>
            <w:shd w:val="clear" w:color="auto" w:fill="auto"/>
          </w:tcPr>
          <w:p w14:paraId="211C4003"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lang w:eastAsia="en-GB"/>
              </w:rPr>
            </w:pPr>
            <w:r w:rsidRPr="002F4B81">
              <w:rPr>
                <w:rFonts w:ascii="Calibri" w:eastAsia="Times New Roman" w:hAnsi="Calibri" w:cs="Times New Roman"/>
                <w:bCs/>
                <w:lang w:eastAsia="en-GB"/>
              </w:rPr>
              <w:t>Sodium</w:t>
            </w:r>
          </w:p>
        </w:tc>
        <w:tc>
          <w:tcPr>
            <w:tcW w:w="956" w:type="dxa"/>
          </w:tcPr>
          <w:p w14:paraId="53D089A2"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023CDDD4"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7416B68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26662355"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5A66E5C1" w14:textId="77777777" w:rsidTr="00C667E5">
        <w:tc>
          <w:tcPr>
            <w:tcW w:w="1951" w:type="dxa"/>
            <w:shd w:val="clear" w:color="auto" w:fill="auto"/>
          </w:tcPr>
          <w:p w14:paraId="66930D9F" w14:textId="77777777" w:rsidR="002F4B81" w:rsidRPr="002F4B81" w:rsidRDefault="002F4B81" w:rsidP="002F4B81">
            <w:pPr>
              <w:autoSpaceDE w:val="0"/>
              <w:autoSpaceDN w:val="0"/>
              <w:adjustRightInd w:val="0"/>
              <w:spacing w:after="0" w:line="240" w:lineRule="auto"/>
              <w:rPr>
                <w:rFonts w:ascii="Calibri" w:eastAsia="Times New Roman" w:hAnsi="Calibri" w:cs="Times New Roman"/>
                <w:bCs/>
                <w:lang w:eastAsia="en-GB"/>
              </w:rPr>
            </w:pPr>
            <w:r w:rsidRPr="002F4B81">
              <w:rPr>
                <w:rFonts w:ascii="Calibri" w:eastAsia="Times New Roman" w:hAnsi="Calibri" w:cs="Times New Roman"/>
                <w:bCs/>
                <w:lang w:eastAsia="en-GB"/>
              </w:rPr>
              <w:t>Potassium</w:t>
            </w:r>
          </w:p>
        </w:tc>
        <w:tc>
          <w:tcPr>
            <w:tcW w:w="956" w:type="dxa"/>
          </w:tcPr>
          <w:p w14:paraId="327E8B04"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3BA7F4C4"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3565D4A7"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1E9BCF2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575A3AA3" w14:textId="77777777" w:rsidTr="00C667E5">
        <w:tc>
          <w:tcPr>
            <w:tcW w:w="1951" w:type="dxa"/>
            <w:shd w:val="clear" w:color="auto" w:fill="auto"/>
          </w:tcPr>
          <w:p w14:paraId="38890E1B"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Urea</w:t>
            </w:r>
          </w:p>
        </w:tc>
        <w:tc>
          <w:tcPr>
            <w:tcW w:w="956" w:type="dxa"/>
          </w:tcPr>
          <w:p w14:paraId="7CEEF859"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76BA66AA"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68017D2B"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1C2BCCB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355689EF" w14:textId="77777777" w:rsidTr="00C667E5">
        <w:tc>
          <w:tcPr>
            <w:tcW w:w="1951" w:type="dxa"/>
            <w:shd w:val="clear" w:color="auto" w:fill="auto"/>
          </w:tcPr>
          <w:p w14:paraId="3B886019"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Creatinine</w:t>
            </w:r>
          </w:p>
        </w:tc>
        <w:tc>
          <w:tcPr>
            <w:tcW w:w="956" w:type="dxa"/>
          </w:tcPr>
          <w:p w14:paraId="79DB7399"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72EEB096"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49F95C02"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7E4B99C1"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408B50BB" w14:textId="77777777" w:rsidTr="00C667E5">
        <w:tc>
          <w:tcPr>
            <w:tcW w:w="1951" w:type="dxa"/>
            <w:shd w:val="clear" w:color="auto" w:fill="auto"/>
          </w:tcPr>
          <w:p w14:paraId="53F66360"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Total Protein</w:t>
            </w:r>
          </w:p>
        </w:tc>
        <w:tc>
          <w:tcPr>
            <w:tcW w:w="956" w:type="dxa"/>
          </w:tcPr>
          <w:p w14:paraId="2E4F33A4"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2F7CE54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6574D8AA"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4EA8E5F9"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67B09CB4" w14:textId="77777777" w:rsidTr="00C667E5">
        <w:tc>
          <w:tcPr>
            <w:tcW w:w="1951" w:type="dxa"/>
            <w:shd w:val="clear" w:color="auto" w:fill="auto"/>
          </w:tcPr>
          <w:p w14:paraId="3BA4F684"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Albumin</w:t>
            </w:r>
          </w:p>
        </w:tc>
        <w:tc>
          <w:tcPr>
            <w:tcW w:w="956" w:type="dxa"/>
          </w:tcPr>
          <w:p w14:paraId="429204F6"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76D5377E"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6CBECCB7"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6EC070B4"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2EE4EF39" w14:textId="77777777" w:rsidTr="00C667E5">
        <w:tc>
          <w:tcPr>
            <w:tcW w:w="1951" w:type="dxa"/>
            <w:shd w:val="clear" w:color="auto" w:fill="auto"/>
          </w:tcPr>
          <w:p w14:paraId="7D789435"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Serum calcium</w:t>
            </w:r>
          </w:p>
        </w:tc>
        <w:tc>
          <w:tcPr>
            <w:tcW w:w="956" w:type="dxa"/>
          </w:tcPr>
          <w:p w14:paraId="15DAA7E6"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0067D2B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2A0C4845"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343D4DF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2E078F52" w14:textId="77777777" w:rsidTr="00C667E5">
        <w:tc>
          <w:tcPr>
            <w:tcW w:w="1951" w:type="dxa"/>
            <w:shd w:val="clear" w:color="auto" w:fill="auto"/>
          </w:tcPr>
          <w:p w14:paraId="1FBA262A"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Adjusted calcium</w:t>
            </w:r>
          </w:p>
        </w:tc>
        <w:tc>
          <w:tcPr>
            <w:tcW w:w="956" w:type="dxa"/>
          </w:tcPr>
          <w:p w14:paraId="4356E589"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77B08F29"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4B71024B"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4971CE63"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0297CD0F" w14:textId="77777777" w:rsidTr="00C667E5">
        <w:tc>
          <w:tcPr>
            <w:tcW w:w="1951" w:type="dxa"/>
            <w:shd w:val="clear" w:color="auto" w:fill="auto"/>
          </w:tcPr>
          <w:p w14:paraId="73121115"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Phosphate</w:t>
            </w:r>
          </w:p>
        </w:tc>
        <w:tc>
          <w:tcPr>
            <w:tcW w:w="956" w:type="dxa"/>
          </w:tcPr>
          <w:p w14:paraId="172639BC"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30819260"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75D945B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2B554DD6"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50DAE88C" w14:textId="77777777" w:rsidTr="00C667E5">
        <w:tc>
          <w:tcPr>
            <w:tcW w:w="1951" w:type="dxa"/>
            <w:shd w:val="clear" w:color="auto" w:fill="auto"/>
          </w:tcPr>
          <w:p w14:paraId="14A26269"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Total bilirubin</w:t>
            </w:r>
          </w:p>
        </w:tc>
        <w:tc>
          <w:tcPr>
            <w:tcW w:w="956" w:type="dxa"/>
          </w:tcPr>
          <w:p w14:paraId="34A62532"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64EDD1D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12982DC7"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7320EAC1"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6112787B" w14:textId="77777777" w:rsidTr="00C667E5">
        <w:tc>
          <w:tcPr>
            <w:tcW w:w="1951" w:type="dxa"/>
            <w:shd w:val="clear" w:color="auto" w:fill="auto"/>
          </w:tcPr>
          <w:p w14:paraId="79181534" w14:textId="77777777" w:rsidR="002F4B81" w:rsidRPr="002F4B81" w:rsidRDefault="002F4B81" w:rsidP="002F4B81">
            <w:pPr>
              <w:autoSpaceDE w:val="0"/>
              <w:autoSpaceDN w:val="0"/>
              <w:adjustRightInd w:val="0"/>
              <w:spacing w:after="0" w:line="240" w:lineRule="auto"/>
              <w:rPr>
                <w:rFonts w:ascii="Calibri" w:eastAsia="Times New Roman" w:hAnsi="Calibri" w:cs="Times New Roman"/>
                <w:vertAlign w:val="superscript"/>
              </w:rPr>
            </w:pPr>
            <w:proofErr w:type="spellStart"/>
            <w:r w:rsidRPr="002F4B81">
              <w:rPr>
                <w:rFonts w:ascii="Calibri" w:eastAsia="Times New Roman" w:hAnsi="Calibri" w:cs="Times New Roman"/>
              </w:rPr>
              <w:t>ALP</w:t>
            </w:r>
            <w:r w:rsidRPr="002F4B81">
              <w:rPr>
                <w:rFonts w:ascii="Calibri" w:eastAsia="Times New Roman" w:hAnsi="Calibri" w:cs="Times New Roman"/>
                <w:vertAlign w:val="superscript"/>
              </w:rPr>
              <w:t>a</w:t>
            </w:r>
            <w:proofErr w:type="spellEnd"/>
          </w:p>
        </w:tc>
        <w:tc>
          <w:tcPr>
            <w:tcW w:w="956" w:type="dxa"/>
          </w:tcPr>
          <w:p w14:paraId="2BF25DA2"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0BFEDF81"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4BD10E8F"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2E2874B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7E345155" w14:textId="77777777" w:rsidTr="00C667E5">
        <w:tc>
          <w:tcPr>
            <w:tcW w:w="1951" w:type="dxa"/>
            <w:shd w:val="clear" w:color="auto" w:fill="auto"/>
          </w:tcPr>
          <w:p w14:paraId="1CA4E505" w14:textId="77777777" w:rsidR="002F4B81" w:rsidRPr="002F4B81" w:rsidRDefault="002F4B81" w:rsidP="002F4B81">
            <w:pPr>
              <w:autoSpaceDE w:val="0"/>
              <w:autoSpaceDN w:val="0"/>
              <w:adjustRightInd w:val="0"/>
              <w:spacing w:after="0" w:line="240" w:lineRule="auto"/>
              <w:rPr>
                <w:rFonts w:ascii="Calibri" w:eastAsia="Times New Roman" w:hAnsi="Calibri" w:cs="Times New Roman"/>
                <w:vertAlign w:val="superscript"/>
              </w:rPr>
            </w:pPr>
            <w:proofErr w:type="spellStart"/>
            <w:r w:rsidRPr="002F4B81">
              <w:rPr>
                <w:rFonts w:ascii="Calibri" w:eastAsia="Times New Roman" w:hAnsi="Calibri" w:cs="Times New Roman"/>
              </w:rPr>
              <w:t>ALT</w:t>
            </w:r>
            <w:r w:rsidRPr="002F4B81">
              <w:rPr>
                <w:rFonts w:ascii="Calibri" w:eastAsia="Times New Roman" w:hAnsi="Calibri" w:cs="Times New Roman"/>
                <w:vertAlign w:val="superscript"/>
              </w:rPr>
              <w:t>a</w:t>
            </w:r>
            <w:proofErr w:type="spellEnd"/>
          </w:p>
        </w:tc>
        <w:tc>
          <w:tcPr>
            <w:tcW w:w="956" w:type="dxa"/>
          </w:tcPr>
          <w:p w14:paraId="7CF2BE97"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07869587"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51231A75"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4ABAE01B"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59365012" w14:textId="77777777" w:rsidTr="00C667E5">
        <w:tc>
          <w:tcPr>
            <w:tcW w:w="1951" w:type="dxa"/>
            <w:shd w:val="clear" w:color="auto" w:fill="auto"/>
          </w:tcPr>
          <w:p w14:paraId="38212ECD" w14:textId="77777777" w:rsidR="002F4B81" w:rsidRPr="002F4B81" w:rsidRDefault="002F4B81" w:rsidP="002F4B81">
            <w:pPr>
              <w:autoSpaceDE w:val="0"/>
              <w:autoSpaceDN w:val="0"/>
              <w:adjustRightInd w:val="0"/>
              <w:spacing w:after="0" w:line="240" w:lineRule="auto"/>
              <w:rPr>
                <w:rFonts w:ascii="Calibri" w:eastAsia="Times New Roman" w:hAnsi="Calibri" w:cs="Times New Roman"/>
                <w:vertAlign w:val="superscript"/>
              </w:rPr>
            </w:pPr>
            <w:proofErr w:type="spellStart"/>
            <w:r w:rsidRPr="002F4B81">
              <w:rPr>
                <w:rFonts w:ascii="Calibri" w:eastAsia="Times New Roman" w:hAnsi="Calibri" w:cs="Times New Roman"/>
              </w:rPr>
              <w:t>AST</w:t>
            </w:r>
            <w:r w:rsidRPr="002F4B81">
              <w:rPr>
                <w:rFonts w:ascii="Calibri" w:eastAsia="Times New Roman" w:hAnsi="Calibri" w:cs="Times New Roman"/>
                <w:vertAlign w:val="superscript"/>
              </w:rPr>
              <w:t>a</w:t>
            </w:r>
            <w:proofErr w:type="spellEnd"/>
          </w:p>
        </w:tc>
        <w:tc>
          <w:tcPr>
            <w:tcW w:w="956" w:type="dxa"/>
          </w:tcPr>
          <w:p w14:paraId="6C0D514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55F4E737"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2F5706B8"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38A97D3D"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r w:rsidR="002F4B81" w:rsidRPr="002F4B81" w14:paraId="7A0567FA" w14:textId="77777777" w:rsidTr="00C667E5">
        <w:tc>
          <w:tcPr>
            <w:tcW w:w="1951" w:type="dxa"/>
            <w:shd w:val="clear" w:color="auto" w:fill="auto"/>
          </w:tcPr>
          <w:p w14:paraId="13AAA440" w14:textId="77777777" w:rsidR="002F4B81" w:rsidRPr="002F4B81" w:rsidRDefault="002F4B81" w:rsidP="002F4B81">
            <w:pPr>
              <w:autoSpaceDE w:val="0"/>
              <w:autoSpaceDN w:val="0"/>
              <w:adjustRightInd w:val="0"/>
              <w:spacing w:after="0" w:line="240" w:lineRule="auto"/>
              <w:rPr>
                <w:rFonts w:ascii="Calibri" w:eastAsia="Times New Roman" w:hAnsi="Calibri" w:cs="Times New Roman"/>
              </w:rPr>
            </w:pPr>
            <w:r w:rsidRPr="002F4B81">
              <w:rPr>
                <w:rFonts w:ascii="Calibri" w:eastAsia="Times New Roman" w:hAnsi="Calibri" w:cs="Times New Roman"/>
              </w:rPr>
              <w:t>Lactate Dehydrogenase</w:t>
            </w:r>
          </w:p>
        </w:tc>
        <w:tc>
          <w:tcPr>
            <w:tcW w:w="956" w:type="dxa"/>
          </w:tcPr>
          <w:p w14:paraId="146BD955"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087D608F"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shd w:val="clear" w:color="auto" w:fill="auto"/>
          </w:tcPr>
          <w:p w14:paraId="4CEDF6C9"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c>
          <w:tcPr>
            <w:tcW w:w="1524" w:type="dxa"/>
          </w:tcPr>
          <w:p w14:paraId="602156A2" w14:textId="77777777" w:rsidR="002F4B81" w:rsidRPr="002F4B81" w:rsidRDefault="002F4B81" w:rsidP="002F4B81">
            <w:pPr>
              <w:autoSpaceDE w:val="0"/>
              <w:autoSpaceDN w:val="0"/>
              <w:adjustRightInd w:val="0"/>
              <w:spacing w:after="0" w:line="240" w:lineRule="auto"/>
              <w:jc w:val="center"/>
              <w:rPr>
                <w:rFonts w:ascii="Calibri" w:eastAsia="Times New Roman" w:hAnsi="Calibri" w:cs="Times New Roman"/>
                <w:bCs/>
                <w:szCs w:val="28"/>
                <w:lang w:eastAsia="en-GB"/>
              </w:rPr>
            </w:pPr>
          </w:p>
        </w:tc>
      </w:tr>
    </w:tbl>
    <w:p w14:paraId="3C72EDF0" w14:textId="77777777" w:rsidR="002F4B81" w:rsidRPr="002F4B81" w:rsidRDefault="002F4B81" w:rsidP="002F4B81">
      <w:pPr>
        <w:spacing w:after="0" w:line="240" w:lineRule="auto"/>
        <w:rPr>
          <w:rFonts w:ascii="Calibri" w:eastAsia="Times New Roman" w:hAnsi="Calibri" w:cs="Times New Roman"/>
          <w:sz w:val="18"/>
          <w:szCs w:val="18"/>
        </w:rPr>
      </w:pPr>
      <w:proofErr w:type="spellStart"/>
      <w:r w:rsidRPr="002F4B81">
        <w:rPr>
          <w:rFonts w:ascii="Calibri" w:eastAsia="Times New Roman" w:hAnsi="Calibri" w:cs="Times New Roman"/>
          <w:vertAlign w:val="superscript"/>
        </w:rPr>
        <w:t>a</w:t>
      </w:r>
      <w:proofErr w:type="spellEnd"/>
      <w:r w:rsidRPr="002F4B81">
        <w:rPr>
          <w:rFonts w:ascii="Calibri" w:eastAsia="Times New Roman" w:hAnsi="Calibri" w:cs="Times New Roman"/>
          <w:vertAlign w:val="superscript"/>
        </w:rPr>
        <w:t xml:space="preserve"> </w:t>
      </w:r>
      <w:r w:rsidRPr="002F4B81">
        <w:rPr>
          <w:rFonts w:ascii="Calibri" w:eastAsia="Times New Roman" w:hAnsi="Calibri" w:cs="Times New Roman"/>
          <w:sz w:val="18"/>
          <w:szCs w:val="18"/>
        </w:rPr>
        <w:t xml:space="preserve">All measurements not expected from all </w:t>
      </w:r>
      <w:proofErr w:type="gramStart"/>
      <w:r w:rsidRPr="002F4B81">
        <w:rPr>
          <w:rFonts w:ascii="Calibri" w:eastAsia="Times New Roman" w:hAnsi="Calibri" w:cs="Times New Roman"/>
          <w:sz w:val="18"/>
          <w:szCs w:val="18"/>
        </w:rPr>
        <w:t>participants</w:t>
      </w:r>
      <w:proofErr w:type="gramEnd"/>
    </w:p>
    <w:p w14:paraId="201EDD71" w14:textId="77777777" w:rsidR="002F4B81" w:rsidRPr="002F4B81" w:rsidRDefault="002F4B81" w:rsidP="002F4B81">
      <w:pPr>
        <w:autoSpaceDE w:val="0"/>
        <w:autoSpaceDN w:val="0"/>
        <w:adjustRightInd w:val="0"/>
        <w:spacing w:after="0" w:line="240" w:lineRule="auto"/>
        <w:rPr>
          <w:rFonts w:ascii="Calibri" w:eastAsia="Times New Roman" w:hAnsi="Calibri" w:cs="Times New Roman"/>
          <w:szCs w:val="20"/>
        </w:rPr>
      </w:pPr>
    </w:p>
    <w:p w14:paraId="5B21F5F1"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 New Roman"/>
          <w:szCs w:val="20"/>
        </w:rPr>
        <w:t>Additional analysis of secondary outcome data may include its presentation longitudinally via local linear smooth (</w:t>
      </w:r>
      <w:proofErr w:type="spellStart"/>
      <w:r w:rsidRPr="002F4B81">
        <w:rPr>
          <w:rFonts w:ascii="Calibri" w:eastAsia="Times New Roman" w:hAnsi="Calibri" w:cs="Times New Roman"/>
          <w:szCs w:val="20"/>
        </w:rPr>
        <w:t>lowess</w:t>
      </w:r>
      <w:proofErr w:type="spellEnd"/>
      <w:r w:rsidRPr="002F4B81">
        <w:rPr>
          <w:rFonts w:ascii="Calibri" w:eastAsia="Times New Roman" w:hAnsi="Calibri" w:cs="Times New Roman"/>
          <w:szCs w:val="20"/>
        </w:rPr>
        <w:t>) plots of (continuous) outcome against time/visit. Presentation or analysis of this data beyond simple summaries and graphical presentation is not considered appropriate given the single arm nature of the study and its intended sample size.</w:t>
      </w:r>
    </w:p>
    <w:p w14:paraId="40E4F9BD" w14:textId="77777777" w:rsidR="002F4B81" w:rsidRPr="002F4B81" w:rsidRDefault="002F4B81" w:rsidP="002F4B81">
      <w:pPr>
        <w:spacing w:after="0" w:line="240" w:lineRule="auto"/>
        <w:jc w:val="both"/>
        <w:rPr>
          <w:rFonts w:ascii="Calibri" w:eastAsia="Times New Roman" w:hAnsi="Calibri" w:cs="Times New Roman"/>
          <w:szCs w:val="20"/>
        </w:rPr>
      </w:pPr>
    </w:p>
    <w:p w14:paraId="2B4DA3AC"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Data may also be presented graphically as appropriate.</w:t>
      </w:r>
    </w:p>
    <w:p w14:paraId="5C8CD96C" w14:textId="77777777" w:rsidR="002F4B81" w:rsidRPr="002F4B81" w:rsidRDefault="002F4B81" w:rsidP="002F4B81">
      <w:pPr>
        <w:numPr>
          <w:ilvl w:val="1"/>
          <w:numId w:val="0"/>
        </w:numPr>
        <w:tabs>
          <w:tab w:val="num" w:pos="567"/>
        </w:tabs>
        <w:spacing w:before="120" w:after="0" w:line="240" w:lineRule="auto"/>
        <w:ind w:right="-154"/>
        <w:outlineLvl w:val="1"/>
        <w:rPr>
          <w:rFonts w:ascii="Calibri" w:eastAsia="Times New Roman" w:hAnsi="Calibri" w:cs="Times New Roman"/>
          <w:b/>
          <w:sz w:val="26"/>
          <w:szCs w:val="20"/>
        </w:rPr>
      </w:pPr>
      <w:bookmarkStart w:id="116" w:name="_Toc7082748"/>
      <w:bookmarkStart w:id="117" w:name="_Toc83029371"/>
      <w:bookmarkEnd w:id="106"/>
      <w:r w:rsidRPr="002F4B81">
        <w:rPr>
          <w:rFonts w:ascii="Calibri" w:eastAsia="Times New Roman" w:hAnsi="Calibri" w:cs="Times New Roman"/>
          <w:b/>
          <w:sz w:val="26"/>
          <w:szCs w:val="20"/>
        </w:rPr>
        <w:t>Statistical Software</w:t>
      </w:r>
      <w:bookmarkEnd w:id="116"/>
      <w:bookmarkEnd w:id="117"/>
    </w:p>
    <w:p w14:paraId="227DD935" w14:textId="77777777" w:rsidR="002F4B81" w:rsidRPr="002F4B81" w:rsidRDefault="002F4B81" w:rsidP="002F4B81">
      <w:pPr>
        <w:spacing w:before="120" w:after="0" w:line="240" w:lineRule="auto"/>
        <w:ind w:right="-153"/>
        <w:jc w:val="both"/>
        <w:rPr>
          <w:rFonts w:ascii="Calibri" w:eastAsia="Times New Roman" w:hAnsi="Calibri" w:cs="Times New Roman"/>
          <w:bCs/>
          <w:szCs w:val="20"/>
        </w:rPr>
      </w:pPr>
      <w:r w:rsidRPr="002F4B81">
        <w:rPr>
          <w:rFonts w:ascii="Calibri" w:eastAsia="Times New Roman" w:hAnsi="Calibri" w:cs="Times New Roman"/>
          <w:bCs/>
          <w:szCs w:val="20"/>
        </w:rPr>
        <w:t>Trial data are entered into a study specific database (</w:t>
      </w:r>
      <w:proofErr w:type="spellStart"/>
      <w:r w:rsidRPr="002F4B81">
        <w:rPr>
          <w:rFonts w:ascii="Calibri" w:eastAsia="Times New Roman" w:hAnsi="Calibri" w:cs="Times New Roman"/>
          <w:bCs/>
          <w:szCs w:val="20"/>
        </w:rPr>
        <w:t>Elseviers</w:t>
      </w:r>
      <w:proofErr w:type="spellEnd"/>
      <w:r w:rsidRPr="002F4B81">
        <w:rPr>
          <w:rFonts w:ascii="Calibri" w:eastAsia="Times New Roman" w:hAnsi="Calibri" w:cs="Times New Roman"/>
          <w:bCs/>
          <w:szCs w:val="20"/>
        </w:rPr>
        <w:t>’ MACRO Clinical Data Management System)</w:t>
      </w:r>
      <w:r w:rsidRPr="002F4B81">
        <w:rPr>
          <w:rFonts w:ascii="Tahoma" w:eastAsia="Times New Roman" w:hAnsi="Tahoma" w:cs="Times New Roman"/>
          <w:b/>
          <w:bCs/>
          <w:szCs w:val="24"/>
        </w:rPr>
        <w:t xml:space="preserve"> </w:t>
      </w:r>
      <w:r w:rsidRPr="002F4B81">
        <w:rPr>
          <w:rFonts w:ascii="Calibri" w:eastAsia="Times New Roman" w:hAnsi="Calibri" w:cs="Times New Roman"/>
          <w:bCs/>
          <w:szCs w:val="20"/>
        </w:rPr>
        <w:t xml:space="preserve">by the investigator or another member of the site research team with delegated responsibility for this </w:t>
      </w:r>
      <w:proofErr w:type="gramStart"/>
      <w:r w:rsidRPr="002F4B81">
        <w:rPr>
          <w:rFonts w:ascii="Calibri" w:eastAsia="Times New Roman" w:hAnsi="Calibri" w:cs="Times New Roman"/>
          <w:bCs/>
          <w:szCs w:val="20"/>
        </w:rPr>
        <w:t>activity, and</w:t>
      </w:r>
      <w:proofErr w:type="gramEnd"/>
      <w:r w:rsidRPr="002F4B81">
        <w:rPr>
          <w:rFonts w:ascii="Calibri" w:eastAsia="Times New Roman" w:hAnsi="Calibri" w:cs="Times New Roman"/>
          <w:bCs/>
          <w:szCs w:val="20"/>
        </w:rPr>
        <w:t xml:space="preserve"> is monitored by the Trial Manager and the Database Manager at Newcastle Clinical Trials Unit.  Data Management is described in more detail in the trial Data Management Plan and the Data Validation Plan.</w:t>
      </w:r>
    </w:p>
    <w:p w14:paraId="510278FB" w14:textId="77777777" w:rsidR="002F4B81" w:rsidRPr="002F4B81" w:rsidRDefault="002F4B81" w:rsidP="002F4B81">
      <w:pPr>
        <w:spacing w:before="120" w:after="0" w:line="240" w:lineRule="auto"/>
        <w:ind w:right="-153"/>
        <w:jc w:val="both"/>
        <w:rPr>
          <w:rFonts w:ascii="Calibri" w:eastAsia="Times New Roman" w:hAnsi="Calibri" w:cs="Times New Roman"/>
          <w:bCs/>
          <w:szCs w:val="20"/>
        </w:rPr>
      </w:pPr>
      <w:r w:rsidRPr="002F4B81">
        <w:rPr>
          <w:rFonts w:ascii="Calibri" w:eastAsia="Times New Roman" w:hAnsi="Calibri" w:cs="Times New Roman"/>
          <w:bCs/>
          <w:szCs w:val="20"/>
        </w:rPr>
        <w:t xml:space="preserve">Data will be downloaded directly from MACRO into the statistical software package </w:t>
      </w:r>
      <w:proofErr w:type="spellStart"/>
      <w:r w:rsidRPr="002F4B81">
        <w:rPr>
          <w:rFonts w:ascii="Calibri" w:eastAsia="Times New Roman" w:hAnsi="Calibri" w:cs="Times New Roman"/>
          <w:bCs/>
          <w:szCs w:val="20"/>
        </w:rPr>
        <w:t>StataIC</w:t>
      </w:r>
      <w:proofErr w:type="spellEnd"/>
      <w:r w:rsidRPr="002F4B81">
        <w:rPr>
          <w:rFonts w:ascii="Calibri" w:eastAsia="Times New Roman" w:hAnsi="Calibri" w:cs="Times New Roman"/>
          <w:bCs/>
          <w:szCs w:val="20"/>
        </w:rPr>
        <w:t xml:space="preserve"> (currently version 14 but any subsequent update will be recorded at time of final download). Statistical analyses will be carried out by the Trial Statistician downloading snapshots of the data at time-points agreed by the TMG.</w:t>
      </w:r>
    </w:p>
    <w:p w14:paraId="66E80DE6" w14:textId="77777777" w:rsidR="002F4B81" w:rsidRPr="002F4B81" w:rsidRDefault="002F4B81" w:rsidP="002F4B81">
      <w:pPr>
        <w:spacing w:after="0" w:line="240" w:lineRule="auto"/>
        <w:ind w:right="-154"/>
        <w:rPr>
          <w:rFonts w:ascii="Calibri" w:eastAsia="Times New Roman" w:hAnsi="Calibri" w:cs="Times New Roman"/>
          <w:szCs w:val="20"/>
        </w:rPr>
      </w:pPr>
    </w:p>
    <w:p w14:paraId="6F6A0CCA" w14:textId="77777777" w:rsidR="002F4B81" w:rsidRPr="002F4B81" w:rsidRDefault="002F4B81" w:rsidP="002F4B81">
      <w:pPr>
        <w:keepNext/>
        <w:tabs>
          <w:tab w:val="num" w:pos="567"/>
        </w:tabs>
        <w:spacing w:after="0" w:line="360" w:lineRule="auto"/>
        <w:ind w:right="-154"/>
        <w:outlineLvl w:val="0"/>
        <w:rPr>
          <w:rFonts w:ascii="Calibri" w:eastAsia="Times New Roman" w:hAnsi="Calibri" w:cs="Times New Roman"/>
          <w:b/>
          <w:caps/>
          <w:sz w:val="36"/>
          <w:szCs w:val="20"/>
        </w:rPr>
      </w:pPr>
      <w:bookmarkStart w:id="118" w:name="_Toc7082749"/>
      <w:bookmarkStart w:id="119" w:name="_Toc83029372"/>
      <w:r w:rsidRPr="002F4B81">
        <w:rPr>
          <w:rFonts w:ascii="Calibri" w:eastAsia="Times New Roman" w:hAnsi="Calibri" w:cs="Times New Roman"/>
          <w:b/>
          <w:caps/>
          <w:sz w:val="36"/>
          <w:szCs w:val="20"/>
        </w:rPr>
        <w:lastRenderedPageBreak/>
        <w:t>Subgroup Analyses</w:t>
      </w:r>
      <w:bookmarkEnd w:id="118"/>
      <w:bookmarkEnd w:id="119"/>
    </w:p>
    <w:p w14:paraId="52799239" w14:textId="77777777" w:rsidR="002F4B81" w:rsidRPr="002F4B81" w:rsidRDefault="002F4B81" w:rsidP="002F4B81">
      <w:pPr>
        <w:spacing w:after="0" w:line="240" w:lineRule="auto"/>
        <w:jc w:val="both"/>
        <w:rPr>
          <w:rFonts w:ascii="Calibri" w:eastAsia="Times New Roman" w:hAnsi="Calibri" w:cs="Times New Roman"/>
        </w:rPr>
      </w:pPr>
      <w:r w:rsidRPr="002F4B81">
        <w:rPr>
          <w:rFonts w:ascii="Calibri" w:eastAsia="Times New Roman" w:hAnsi="Calibri" w:cs="Times New Roman"/>
        </w:rPr>
        <w:t>With the exception of the analysis of the primary outcome on an ongoing basis, the analyses described above may be reported separately for different genetic groups or risk strata. We will describe the number and percentage of patients in each of the genetic groups who relapse.  Work to define these groups/risk strata is ongoing outside the study. However, these analyses are very much exploratory and will be summary measures only without statistical testing.</w:t>
      </w:r>
    </w:p>
    <w:p w14:paraId="1CEB83D4" w14:textId="77777777" w:rsidR="002F4B81" w:rsidRPr="002F4B81" w:rsidRDefault="002F4B81" w:rsidP="002F4B81">
      <w:pPr>
        <w:spacing w:after="0" w:line="276" w:lineRule="auto"/>
        <w:rPr>
          <w:rFonts w:ascii="Calibri" w:eastAsia="Times New Roman" w:hAnsi="Calibri" w:cs="Times New Roman"/>
          <w:szCs w:val="20"/>
          <w:lang w:val="en-US"/>
        </w:rPr>
      </w:pPr>
      <w:bookmarkStart w:id="120" w:name="_Toc72221700"/>
    </w:p>
    <w:p w14:paraId="122D1DCE" w14:textId="77777777" w:rsidR="002F4B81" w:rsidRPr="002F4B81" w:rsidRDefault="002F4B81" w:rsidP="002F4B81">
      <w:pPr>
        <w:spacing w:after="0" w:line="276" w:lineRule="auto"/>
        <w:rPr>
          <w:rFonts w:ascii="Calibri" w:eastAsia="Times New Roman" w:hAnsi="Calibri" w:cs="Times New Roman"/>
          <w:szCs w:val="20"/>
          <w:lang w:val="en-US"/>
        </w:rPr>
      </w:pPr>
    </w:p>
    <w:p w14:paraId="67DD2DBE" w14:textId="77777777" w:rsidR="002F4B81" w:rsidRPr="002F4B81" w:rsidRDefault="002F4B81" w:rsidP="002F4B81">
      <w:pPr>
        <w:spacing w:after="0" w:line="276" w:lineRule="auto"/>
        <w:rPr>
          <w:rFonts w:ascii="Calibri" w:eastAsia="Times New Roman" w:hAnsi="Calibri" w:cs="Times New Roman"/>
          <w:szCs w:val="20"/>
          <w:lang w:val="en-US"/>
        </w:rPr>
      </w:pPr>
    </w:p>
    <w:p w14:paraId="2B30BDEC" w14:textId="77777777" w:rsidR="002F4B81" w:rsidRPr="002F4B81" w:rsidRDefault="002F4B81" w:rsidP="002F4B81">
      <w:pPr>
        <w:spacing w:after="0" w:line="276" w:lineRule="auto"/>
        <w:rPr>
          <w:rFonts w:ascii="Calibri" w:eastAsia="Times New Roman" w:hAnsi="Calibri" w:cs="Times New Roman"/>
          <w:szCs w:val="20"/>
          <w:lang w:val="en-US"/>
        </w:rPr>
      </w:pPr>
    </w:p>
    <w:p w14:paraId="07F2CFCB" w14:textId="77777777" w:rsidR="002F4B81" w:rsidRPr="002F4B81" w:rsidRDefault="002F4B81" w:rsidP="002F4B81">
      <w:pPr>
        <w:keepNext/>
        <w:tabs>
          <w:tab w:val="num" w:pos="567"/>
        </w:tabs>
        <w:spacing w:after="0" w:line="360" w:lineRule="auto"/>
        <w:ind w:right="-154"/>
        <w:outlineLvl w:val="0"/>
        <w:rPr>
          <w:rFonts w:ascii="Calibri" w:eastAsia="Times New Roman" w:hAnsi="Calibri" w:cs="Times New Roman"/>
          <w:b/>
          <w:caps/>
          <w:sz w:val="36"/>
          <w:szCs w:val="20"/>
        </w:rPr>
      </w:pPr>
      <w:bookmarkStart w:id="121" w:name="_Toc7082750"/>
      <w:bookmarkStart w:id="122" w:name="_Toc83029373"/>
      <w:r w:rsidRPr="002F4B81">
        <w:rPr>
          <w:rFonts w:ascii="Calibri" w:eastAsia="Times New Roman" w:hAnsi="Calibri" w:cs="Times New Roman"/>
          <w:b/>
          <w:caps/>
          <w:sz w:val="36"/>
          <w:szCs w:val="20"/>
        </w:rPr>
        <w:t>Future ANALYSeS</w:t>
      </w:r>
      <w:bookmarkEnd w:id="121"/>
      <w:bookmarkEnd w:id="122"/>
    </w:p>
    <w:p w14:paraId="091A560C" w14:textId="77777777" w:rsidR="002F4B81" w:rsidRPr="002F4B81" w:rsidRDefault="002F4B81" w:rsidP="002F4B81">
      <w:pPr>
        <w:spacing w:after="0" w:line="240" w:lineRule="auto"/>
        <w:rPr>
          <w:rFonts w:ascii="Tahoma" w:eastAsia="Times New Roman" w:hAnsi="Tahoma" w:cs="Times New Roman"/>
          <w:sz w:val="20"/>
          <w:szCs w:val="20"/>
        </w:rPr>
      </w:pPr>
      <w:r w:rsidRPr="002F4B81">
        <w:rPr>
          <w:rFonts w:ascii="Tahoma" w:eastAsia="Times New Roman" w:hAnsi="Tahoma" w:cs="Times New Roman"/>
          <w:sz w:val="20"/>
          <w:szCs w:val="20"/>
        </w:rPr>
        <w:t>Exploratory biomarker analyses may be performed at 5 years.</w:t>
      </w:r>
    </w:p>
    <w:p w14:paraId="5263BFC8" w14:textId="77777777" w:rsidR="002F4B81" w:rsidRPr="002F4B81" w:rsidRDefault="002F4B81" w:rsidP="002F4B81">
      <w:pPr>
        <w:spacing w:after="0" w:line="240" w:lineRule="auto"/>
        <w:rPr>
          <w:rFonts w:ascii="Tahoma" w:eastAsia="Times New Roman" w:hAnsi="Tahoma" w:cs="Times New Roman"/>
          <w:sz w:val="20"/>
          <w:szCs w:val="20"/>
        </w:rPr>
      </w:pPr>
    </w:p>
    <w:p w14:paraId="57C1490D" w14:textId="77777777" w:rsidR="002F4B81" w:rsidRPr="002F4B81" w:rsidRDefault="002F4B81" w:rsidP="002F4B81">
      <w:pPr>
        <w:spacing w:after="0" w:line="240" w:lineRule="auto"/>
        <w:jc w:val="both"/>
        <w:rPr>
          <w:rFonts w:ascii="Calibri" w:eastAsia="Times New Roman" w:hAnsi="Calibri" w:cs="Times New Roman"/>
        </w:rPr>
      </w:pPr>
      <w:r w:rsidRPr="002F4B81">
        <w:rPr>
          <w:rFonts w:ascii="Calibri" w:eastAsia="Times New Roman" w:hAnsi="Calibri" w:cs="Times New Roman"/>
        </w:rPr>
        <w:t>Two factors consistent with relapse would be a fall in Hb or platelets so this may additionally be assessed. We may also carry out exploratory analyses to examine whether a rise in neutrophils and WBC is associated with relapse as these markers of infection may reflect a trigger for relapse.</w:t>
      </w:r>
    </w:p>
    <w:p w14:paraId="2D1C590E" w14:textId="77777777" w:rsidR="002F4B81" w:rsidRPr="002F4B81" w:rsidRDefault="002F4B81" w:rsidP="002F4B81">
      <w:pPr>
        <w:spacing w:after="0" w:line="240" w:lineRule="auto"/>
        <w:rPr>
          <w:rFonts w:ascii="Calibri" w:eastAsia="Times New Roman" w:hAnsi="Calibri" w:cs="Times New Roman"/>
          <w:szCs w:val="20"/>
        </w:rPr>
      </w:pPr>
    </w:p>
    <w:p w14:paraId="3391460E" w14:textId="77777777" w:rsidR="002F4B81" w:rsidRPr="002F4B81" w:rsidRDefault="002F4B81" w:rsidP="002F4B81">
      <w:pPr>
        <w:keepNext/>
        <w:tabs>
          <w:tab w:val="num" w:pos="567"/>
        </w:tabs>
        <w:spacing w:after="0" w:line="360" w:lineRule="auto"/>
        <w:ind w:left="567" w:right="-154" w:hanging="567"/>
        <w:outlineLvl w:val="0"/>
        <w:rPr>
          <w:rFonts w:ascii="Calibri" w:eastAsia="Times New Roman" w:hAnsi="Calibri" w:cs="Times New Roman"/>
          <w:b/>
          <w:caps/>
          <w:sz w:val="36"/>
          <w:szCs w:val="20"/>
        </w:rPr>
      </w:pPr>
      <w:bookmarkStart w:id="123" w:name="_Toc7082751"/>
      <w:bookmarkStart w:id="124" w:name="_Toc83029374"/>
      <w:r w:rsidRPr="002F4B81">
        <w:rPr>
          <w:rFonts w:ascii="Calibri" w:eastAsia="Times New Roman" w:hAnsi="Calibri" w:cs="Times New Roman"/>
          <w:b/>
          <w:caps/>
          <w:sz w:val="36"/>
          <w:szCs w:val="20"/>
        </w:rPr>
        <w:t>St</w:t>
      </w:r>
      <w:bookmarkEnd w:id="120"/>
      <w:r w:rsidRPr="002F4B81">
        <w:rPr>
          <w:rFonts w:ascii="Calibri" w:eastAsia="Times New Roman" w:hAnsi="Calibri" w:cs="Times New Roman"/>
          <w:b/>
          <w:caps/>
          <w:sz w:val="36"/>
          <w:szCs w:val="20"/>
        </w:rPr>
        <w:t>ORAGE AND ARCHIVING</w:t>
      </w:r>
      <w:bookmarkEnd w:id="123"/>
      <w:bookmarkEnd w:id="124"/>
    </w:p>
    <w:p w14:paraId="67394400" w14:textId="77777777" w:rsidR="002F4B81" w:rsidRPr="002F4B81" w:rsidRDefault="002F4B81" w:rsidP="002F4B81">
      <w:pPr>
        <w:spacing w:after="0" w:line="240" w:lineRule="auto"/>
        <w:rPr>
          <w:rFonts w:ascii="Calibri" w:eastAsia="Times New Roman" w:hAnsi="Calibri" w:cs="Times New Roman"/>
        </w:rPr>
      </w:pPr>
      <w:r w:rsidRPr="002F4B81">
        <w:rPr>
          <w:rFonts w:ascii="Calibri" w:eastAsia="Times New Roman" w:hAnsi="Calibri" w:cs="Times New Roman"/>
        </w:rPr>
        <w:t xml:space="preserve">All the data required will be recorded in clinical notes as part of routine clinical procedures. Data for individual patients will be transferred by each PI or his/her delegated nominee to the eCRFs (the secure, validated clinical data management system, (CDMS), Elsevier’s, MACRO) as soon as possible following each procedure (see Appendix 1 below). Similarly, data will be entered into the eCRFs following any non-scheduled visits. Patients will record results of urinalysis in a patient-held diary which will be reviewed. The data from the diary will not be entered into MACRO. The Clinician will confirm that the diary has been reviewed only). Patient identification on the eCRF will be via a unique study identifier number assigned to the patient at site once the patient has consented. A record linking the patient’s name to the unique study identifier number will be held only in a locked room at the study </w:t>
      </w:r>
      <w:proofErr w:type="gramStart"/>
      <w:r w:rsidRPr="002F4B81">
        <w:rPr>
          <w:rFonts w:ascii="Calibri" w:eastAsia="Times New Roman" w:hAnsi="Calibri" w:cs="Times New Roman"/>
        </w:rPr>
        <w:t>site, and</w:t>
      </w:r>
      <w:proofErr w:type="gramEnd"/>
      <w:r w:rsidRPr="002F4B81">
        <w:rPr>
          <w:rFonts w:ascii="Calibri" w:eastAsia="Times New Roman" w:hAnsi="Calibri" w:cs="Times New Roman"/>
        </w:rPr>
        <w:t xml:space="preserve"> is the responsibility of the PI.  As such, patients cannot be identified from eCRFs. The CI, or nominated designee, will continually monitor completeness and quality of data recording in CRFs and will correspond regularly with site PIs (or their delegated assistants) to capture any missing data where possible, and ensure continuous high-quality data. </w:t>
      </w:r>
    </w:p>
    <w:p w14:paraId="1AF2A7B1" w14:textId="77777777" w:rsidR="002F4B81" w:rsidRPr="002F4B81" w:rsidRDefault="002F4B81" w:rsidP="002F4B81">
      <w:pPr>
        <w:spacing w:after="0" w:line="240" w:lineRule="auto"/>
        <w:jc w:val="both"/>
        <w:rPr>
          <w:rFonts w:ascii="Calibri" w:eastAsia="Times New Roman" w:hAnsi="Calibri" w:cs="Arial"/>
          <w:szCs w:val="20"/>
        </w:rPr>
      </w:pPr>
    </w:p>
    <w:p w14:paraId="6A17F628" w14:textId="77777777" w:rsidR="002F4B81" w:rsidRPr="002F4B81" w:rsidRDefault="002F4B81" w:rsidP="002F4B81">
      <w:pPr>
        <w:spacing w:after="0" w:line="240" w:lineRule="auto"/>
        <w:jc w:val="both"/>
        <w:rPr>
          <w:rFonts w:ascii="Calibri" w:eastAsia="Times New Roman" w:hAnsi="Calibri" w:cs="Arial"/>
          <w:szCs w:val="20"/>
        </w:rPr>
      </w:pPr>
      <w:r w:rsidRPr="002F4B81">
        <w:rPr>
          <w:rFonts w:ascii="Calibri" w:eastAsia="Times New Roman" w:hAnsi="Calibri" w:cs="Arial"/>
          <w:szCs w:val="20"/>
        </w:rPr>
        <w:t xml:space="preserve">The CDMS (Elsevier’s MACRO) used for this trial is fully compliant with all regulatory frameworks for research of this nature.  It uses a secure web-based interface for data entry; no data are stored on computers at site. MACRO users are assigned </w:t>
      </w:r>
      <w:proofErr w:type="gramStart"/>
      <w:r w:rsidRPr="002F4B81">
        <w:rPr>
          <w:rFonts w:ascii="Calibri" w:eastAsia="Times New Roman" w:hAnsi="Calibri" w:cs="Arial"/>
          <w:szCs w:val="20"/>
        </w:rPr>
        <w:t>role based</w:t>
      </w:r>
      <w:proofErr w:type="gramEnd"/>
      <w:r w:rsidRPr="002F4B81">
        <w:rPr>
          <w:rFonts w:ascii="Calibri" w:eastAsia="Times New Roman" w:hAnsi="Calibri" w:cs="Arial"/>
          <w:szCs w:val="20"/>
        </w:rPr>
        <w:t xml:space="preserve"> permissions specific to their site and role. The system has an inbuilt back-up facility, through Elsevier’s hosting partner </w:t>
      </w:r>
      <w:proofErr w:type="spellStart"/>
      <w:r w:rsidRPr="002F4B81">
        <w:rPr>
          <w:rFonts w:ascii="Calibri" w:eastAsia="Times New Roman" w:hAnsi="Calibri" w:cs="Arial"/>
          <w:szCs w:val="20"/>
        </w:rPr>
        <w:t>Rackspace’s</w:t>
      </w:r>
      <w:proofErr w:type="spellEnd"/>
      <w:r w:rsidRPr="002F4B81">
        <w:rPr>
          <w:rFonts w:ascii="Calibri" w:eastAsia="Times New Roman" w:hAnsi="Calibri" w:cs="Arial"/>
          <w:szCs w:val="20"/>
        </w:rPr>
        <w:t xml:space="preserve"> secure premises in London, and is managed and supported by the </w:t>
      </w:r>
      <w:proofErr w:type="spellStart"/>
      <w:r w:rsidRPr="002F4B81">
        <w:rPr>
          <w:rFonts w:ascii="Calibri" w:eastAsia="Times New Roman" w:hAnsi="Calibri" w:cs="Arial"/>
          <w:szCs w:val="20"/>
        </w:rPr>
        <w:t>Rackspace</w:t>
      </w:r>
      <w:proofErr w:type="spellEnd"/>
      <w:r w:rsidRPr="002F4B81">
        <w:rPr>
          <w:rFonts w:ascii="Calibri" w:eastAsia="Times New Roman" w:hAnsi="Calibri" w:cs="Arial"/>
          <w:szCs w:val="20"/>
        </w:rPr>
        <w:t xml:space="preserve"> team.</w:t>
      </w:r>
    </w:p>
    <w:p w14:paraId="344B59F6" w14:textId="77777777" w:rsidR="002F4B81" w:rsidRPr="002F4B81" w:rsidRDefault="002F4B81" w:rsidP="002F4B81">
      <w:pPr>
        <w:spacing w:after="0" w:line="240" w:lineRule="auto"/>
        <w:rPr>
          <w:rFonts w:ascii="Calibri" w:eastAsia="Times New Roman" w:hAnsi="Calibri" w:cs="Times New Roman"/>
          <w:szCs w:val="20"/>
        </w:rPr>
      </w:pPr>
    </w:p>
    <w:p w14:paraId="49C70EC1" w14:textId="77777777" w:rsidR="002F4B81" w:rsidRPr="002F4B81" w:rsidRDefault="002F4B81" w:rsidP="002F4B81">
      <w:pPr>
        <w:keepNext/>
        <w:tabs>
          <w:tab w:val="left" w:pos="1701"/>
        </w:tabs>
        <w:spacing w:after="0" w:line="240" w:lineRule="auto"/>
        <w:ind w:left="567" w:hanging="567"/>
        <w:outlineLvl w:val="1"/>
        <w:rPr>
          <w:rFonts w:ascii="Calibri" w:eastAsia="Times New Roman" w:hAnsi="Calibri" w:cs="Times New Roman"/>
          <w:b/>
          <w:sz w:val="26"/>
          <w:szCs w:val="20"/>
        </w:rPr>
      </w:pPr>
      <w:bookmarkStart w:id="125" w:name="_Toc506216377"/>
      <w:bookmarkStart w:id="126" w:name="_Toc506299610"/>
      <w:bookmarkStart w:id="127" w:name="_Toc514079564"/>
      <w:bookmarkStart w:id="128" w:name="_Toc7082752"/>
      <w:bookmarkStart w:id="129" w:name="_Toc83029375"/>
      <w:r w:rsidRPr="002F4B81">
        <w:rPr>
          <w:rFonts w:ascii="Calibri" w:eastAsia="Times New Roman" w:hAnsi="Calibri" w:cs="Times New Roman"/>
          <w:b/>
          <w:sz w:val="26"/>
          <w:szCs w:val="20"/>
        </w:rPr>
        <w:t>Access to the Final Trial Dataset</w:t>
      </w:r>
      <w:bookmarkEnd w:id="125"/>
      <w:bookmarkEnd w:id="126"/>
      <w:bookmarkEnd w:id="127"/>
      <w:bookmarkEnd w:id="128"/>
      <w:bookmarkEnd w:id="129"/>
    </w:p>
    <w:p w14:paraId="748DDA87" w14:textId="77777777" w:rsidR="002F4B81" w:rsidRPr="002F4B81" w:rsidRDefault="002F4B81" w:rsidP="002F4B81">
      <w:pPr>
        <w:spacing w:after="0" w:line="240" w:lineRule="auto"/>
        <w:rPr>
          <w:rFonts w:ascii="Calibri" w:eastAsia="Times New Roman" w:hAnsi="Calibri" w:cs="Times New Roman"/>
          <w:szCs w:val="20"/>
        </w:rPr>
      </w:pPr>
    </w:p>
    <w:p w14:paraId="010553C6" w14:textId="77777777" w:rsidR="002F4B81" w:rsidRPr="002F4B81" w:rsidRDefault="002F4B81" w:rsidP="002F4B81">
      <w:pPr>
        <w:spacing w:after="0" w:line="240" w:lineRule="auto"/>
        <w:rPr>
          <w:rFonts w:ascii="Calibri" w:eastAsia="Times New Roman" w:hAnsi="Calibri" w:cs="Times New Roman"/>
          <w:szCs w:val="20"/>
        </w:rPr>
      </w:pPr>
      <w:r w:rsidRPr="002F4B81">
        <w:rPr>
          <w:rFonts w:ascii="Calibri" w:eastAsia="Times New Roman" w:hAnsi="Calibri" w:cs="Times New Roman"/>
          <w:szCs w:val="20"/>
        </w:rPr>
        <w:t>Until publication of the Trial results, access to the full dataset will be limited to the Project Management Group and to authors of the publication. If not co-authors, the leads for clinical sites will be given access to the full dataset from all participating Centres (anonymised) that is included in the Trial publication.</w:t>
      </w:r>
    </w:p>
    <w:p w14:paraId="446B879B" w14:textId="77777777" w:rsidR="002F4B81" w:rsidRPr="002F4B81" w:rsidRDefault="002F4B81" w:rsidP="002F4B81">
      <w:pPr>
        <w:spacing w:after="0" w:line="240" w:lineRule="auto"/>
        <w:rPr>
          <w:rFonts w:ascii="Calibri" w:eastAsia="Times New Roman" w:hAnsi="Calibri" w:cs="Times New Roman"/>
          <w:szCs w:val="20"/>
        </w:rPr>
      </w:pPr>
    </w:p>
    <w:p w14:paraId="6C3E1362" w14:textId="77777777" w:rsidR="002F4B81" w:rsidRPr="002F4B81" w:rsidRDefault="002F4B81" w:rsidP="002F4B81">
      <w:pPr>
        <w:keepNext/>
        <w:spacing w:after="0" w:line="240" w:lineRule="auto"/>
        <w:ind w:left="567" w:hanging="567"/>
        <w:jc w:val="both"/>
        <w:outlineLvl w:val="1"/>
        <w:rPr>
          <w:rFonts w:ascii="Calibri" w:eastAsia="Times New Roman" w:hAnsi="Calibri" w:cs="Times New Roman"/>
          <w:b/>
          <w:sz w:val="26"/>
          <w:szCs w:val="20"/>
        </w:rPr>
      </w:pPr>
      <w:bookmarkStart w:id="130" w:name="_Toc506216378"/>
      <w:bookmarkStart w:id="131" w:name="_Toc506299611"/>
      <w:bookmarkStart w:id="132" w:name="_Toc514079565"/>
      <w:bookmarkStart w:id="133" w:name="_Toc7082753"/>
      <w:bookmarkStart w:id="134" w:name="_Toc83029376"/>
      <w:r w:rsidRPr="002F4B81">
        <w:rPr>
          <w:rFonts w:ascii="Calibri" w:eastAsia="Times New Roman" w:hAnsi="Calibri" w:cs="Times New Roman"/>
          <w:b/>
          <w:sz w:val="26"/>
          <w:szCs w:val="20"/>
        </w:rPr>
        <w:lastRenderedPageBreak/>
        <w:t>Archiving</w:t>
      </w:r>
      <w:bookmarkEnd w:id="130"/>
      <w:bookmarkEnd w:id="131"/>
      <w:bookmarkEnd w:id="132"/>
      <w:bookmarkEnd w:id="133"/>
      <w:bookmarkEnd w:id="134"/>
    </w:p>
    <w:p w14:paraId="247A863F" w14:textId="77777777" w:rsidR="002F4B81" w:rsidRPr="002F4B81" w:rsidRDefault="002F4B81" w:rsidP="002F4B81">
      <w:pPr>
        <w:spacing w:after="0" w:line="240" w:lineRule="auto"/>
        <w:rPr>
          <w:rFonts w:ascii="Calibri" w:eastAsia="Times New Roman" w:hAnsi="Calibri" w:cs="Times New Roman"/>
          <w:szCs w:val="20"/>
        </w:rPr>
      </w:pPr>
    </w:p>
    <w:p w14:paraId="0B7CEB3E"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 New Roman"/>
          <w:szCs w:val="20"/>
        </w:rPr>
      </w:pPr>
      <w:r w:rsidRPr="002F4B81">
        <w:rPr>
          <w:rFonts w:ascii="Calibri" w:eastAsia="Times New Roman" w:hAnsi="Calibri" w:cs="Times New Roman"/>
          <w:szCs w:val="20"/>
        </w:rPr>
        <w:t>Archiving of trial data transferred by eCRFs will be carried out according to NCTU and Sponsor SOPs. Routine clinical notes will be archived according to NHS Trust regulations at each site. All data will be retained for 5 years.</w:t>
      </w:r>
      <w:bookmarkStart w:id="135" w:name="_bookmark29"/>
      <w:bookmarkStart w:id="136" w:name="_bookmark30"/>
      <w:bookmarkStart w:id="137" w:name="_bookmark31"/>
      <w:bookmarkStart w:id="138" w:name="_bookmark37"/>
      <w:bookmarkStart w:id="139" w:name="_bookmark43"/>
      <w:bookmarkStart w:id="140" w:name="_bookmark54"/>
      <w:bookmarkStart w:id="141" w:name="_bookmark71"/>
      <w:bookmarkStart w:id="142" w:name="_bookmark72"/>
      <w:bookmarkStart w:id="143" w:name="_bookmark73"/>
      <w:bookmarkStart w:id="144" w:name="_bookmark74"/>
      <w:bookmarkStart w:id="145" w:name="_bookmark75"/>
      <w:bookmarkStart w:id="146" w:name="_bookmark76"/>
      <w:bookmarkStart w:id="147" w:name="_bookmark77"/>
      <w:bookmarkStart w:id="148" w:name="_bookmark78"/>
      <w:bookmarkStart w:id="149" w:name="_bookmark79"/>
      <w:bookmarkStart w:id="150" w:name="_bookmark80"/>
      <w:bookmarkStart w:id="151" w:name="_bookmark81"/>
      <w:bookmarkStart w:id="152" w:name="_bookmark82"/>
      <w:bookmarkStart w:id="153" w:name="_bookmark83"/>
      <w:bookmarkStart w:id="154" w:name="_bookmark84"/>
      <w:bookmarkStart w:id="155" w:name="_bookmark85"/>
      <w:bookmarkStart w:id="156" w:name="_bookmark86"/>
      <w:bookmarkStart w:id="157" w:name="_bookmark87"/>
      <w:bookmarkStart w:id="158" w:name="_bookmark88"/>
      <w:bookmarkStart w:id="159" w:name="_bookmark89"/>
      <w:bookmarkStart w:id="160" w:name="_bookmark90"/>
      <w:bookmarkStart w:id="161" w:name="_bookmark91"/>
      <w:bookmarkStart w:id="162" w:name="_bookmark92"/>
      <w:bookmarkStart w:id="163" w:name="_bookmark93"/>
      <w:bookmarkStart w:id="164" w:name="_bookmark94"/>
      <w:bookmarkStart w:id="165" w:name="_bookmark95"/>
      <w:bookmarkStart w:id="166" w:name="_bookmark96"/>
      <w:bookmarkStart w:id="167" w:name="_bookmark97"/>
      <w:bookmarkStart w:id="168" w:name="_bookmark98"/>
      <w:bookmarkStart w:id="169" w:name="_bookmark99"/>
      <w:bookmarkStart w:id="170" w:name="_bookmark100"/>
      <w:bookmarkStart w:id="171" w:name="_bookmark101"/>
      <w:bookmarkStart w:id="172" w:name="_bookmark102"/>
      <w:bookmarkStart w:id="173" w:name="_bookmark103"/>
      <w:bookmarkStart w:id="174" w:name="_bookmark104"/>
      <w:bookmarkStart w:id="175" w:name="_bookmark105"/>
      <w:bookmarkStart w:id="176" w:name="_bookmark106"/>
      <w:bookmarkStart w:id="177" w:name="_bookmark107"/>
      <w:bookmarkStart w:id="178" w:name="_bookmark108"/>
      <w:bookmarkStart w:id="179" w:name="_bookmark109"/>
      <w:bookmarkStart w:id="180" w:name="_bookmark110"/>
      <w:bookmarkStart w:id="181" w:name="_bookmark111"/>
      <w:bookmarkStart w:id="182" w:name="_bookmark112"/>
      <w:bookmarkStart w:id="183" w:name="_bookmark113"/>
      <w:bookmarkStart w:id="184" w:name="_bookmark114"/>
      <w:bookmarkStart w:id="185" w:name="_bookmark115"/>
      <w:bookmarkStart w:id="186" w:name="_bookmark116"/>
      <w:bookmarkStart w:id="187" w:name="_bookmark117"/>
      <w:bookmarkStart w:id="188" w:name="_bookmark118"/>
      <w:bookmarkStart w:id="189" w:name="_bookmark119"/>
      <w:bookmarkStart w:id="190" w:name="_bookmark120"/>
      <w:bookmarkStart w:id="191" w:name="_bookmark121"/>
      <w:bookmarkStart w:id="192" w:name="_bookmark122"/>
      <w:bookmarkStart w:id="193" w:name="_bookmark123"/>
      <w:bookmarkStart w:id="194" w:name="_bookmark124"/>
      <w:bookmarkStart w:id="195" w:name="_bookmark125"/>
      <w:bookmarkStart w:id="196" w:name="_bookmark126"/>
      <w:bookmarkStart w:id="197" w:name="_Toc347762801"/>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52596085" w14:textId="77777777" w:rsidR="002F4B81" w:rsidRPr="002F4B81" w:rsidRDefault="002F4B81" w:rsidP="002F4B81">
      <w:pPr>
        <w:spacing w:after="0" w:line="240" w:lineRule="auto"/>
        <w:rPr>
          <w:rFonts w:ascii="Tahoma" w:eastAsia="Times New Roman" w:hAnsi="Tahoma" w:cs="Times New Roman"/>
          <w:szCs w:val="20"/>
        </w:rPr>
      </w:pPr>
    </w:p>
    <w:p w14:paraId="49D8B498" w14:textId="77777777" w:rsidR="002F4B81" w:rsidRPr="002F4B81" w:rsidRDefault="002F4B81" w:rsidP="002F4B81">
      <w:pPr>
        <w:spacing w:after="0" w:line="240" w:lineRule="auto"/>
        <w:rPr>
          <w:rFonts w:ascii="Tahoma" w:eastAsia="Times New Roman" w:hAnsi="Tahoma" w:cs="Times New Roman"/>
          <w:szCs w:val="20"/>
        </w:rPr>
      </w:pPr>
    </w:p>
    <w:p w14:paraId="199502BD" w14:textId="77777777" w:rsidR="002F4B81" w:rsidRPr="002F4B81" w:rsidRDefault="002F4B81" w:rsidP="002F4B81">
      <w:pPr>
        <w:spacing w:after="0" w:line="240" w:lineRule="auto"/>
        <w:rPr>
          <w:rFonts w:ascii="Tahoma" w:eastAsia="Times New Roman" w:hAnsi="Tahoma" w:cs="Times New Roman"/>
          <w:szCs w:val="20"/>
        </w:rPr>
      </w:pPr>
    </w:p>
    <w:p w14:paraId="0496C622" w14:textId="77777777" w:rsidR="002F4B81" w:rsidRPr="002F4B81" w:rsidRDefault="002F4B81" w:rsidP="002F4B81">
      <w:pPr>
        <w:spacing w:after="0" w:line="240" w:lineRule="auto"/>
        <w:rPr>
          <w:rFonts w:ascii="Tahoma" w:eastAsia="Times New Roman" w:hAnsi="Tahoma" w:cs="Times New Roman"/>
          <w:szCs w:val="20"/>
        </w:rPr>
      </w:pPr>
    </w:p>
    <w:p w14:paraId="273BC60B" w14:textId="77777777" w:rsidR="002F4B81" w:rsidRPr="002F4B81" w:rsidRDefault="002F4B81" w:rsidP="002F4B81">
      <w:pPr>
        <w:spacing w:after="0" w:line="240" w:lineRule="auto"/>
        <w:rPr>
          <w:rFonts w:ascii="Tahoma" w:eastAsia="Times New Roman" w:hAnsi="Tahoma" w:cs="Times New Roman"/>
          <w:szCs w:val="20"/>
        </w:rPr>
      </w:pPr>
    </w:p>
    <w:p w14:paraId="3B29569C" w14:textId="77777777" w:rsidR="002F4B81" w:rsidRPr="002F4B81" w:rsidRDefault="002F4B81" w:rsidP="002F4B81">
      <w:pPr>
        <w:keepNext/>
        <w:tabs>
          <w:tab w:val="num" w:pos="567"/>
        </w:tabs>
        <w:spacing w:after="0" w:line="360" w:lineRule="auto"/>
        <w:ind w:left="567" w:right="-154" w:hanging="567"/>
        <w:outlineLvl w:val="0"/>
        <w:rPr>
          <w:rFonts w:ascii="Calibri" w:eastAsia="Times New Roman" w:hAnsi="Calibri" w:cs="Times New Roman"/>
          <w:b/>
          <w:caps/>
          <w:sz w:val="36"/>
          <w:szCs w:val="20"/>
        </w:rPr>
      </w:pPr>
      <w:bookmarkStart w:id="198" w:name="_Toc83029377"/>
      <w:bookmarkEnd w:id="197"/>
      <w:r w:rsidRPr="002F4B81">
        <w:rPr>
          <w:rFonts w:ascii="Calibri" w:eastAsia="Times New Roman" w:hAnsi="Calibri" w:cs="Times New Roman"/>
          <w:b/>
          <w:caps/>
          <w:sz w:val="36"/>
          <w:szCs w:val="20"/>
        </w:rPr>
        <w:t>References</w:t>
      </w:r>
      <w:bookmarkEnd w:id="198"/>
    </w:p>
    <w:p w14:paraId="3BEC6481" w14:textId="77777777" w:rsidR="002F4B81" w:rsidRPr="002F4B81" w:rsidRDefault="002F4B81" w:rsidP="002F4B81">
      <w:pPr>
        <w:spacing w:after="0" w:line="240" w:lineRule="auto"/>
        <w:rPr>
          <w:rFonts w:ascii="Calibri" w:eastAsia="Times New Roman" w:hAnsi="Calibri" w:cs="Segoe UI"/>
          <w:color w:val="212121"/>
          <w:shd w:val="clear" w:color="auto" w:fill="FFFFFF"/>
        </w:rPr>
      </w:pPr>
      <w:r w:rsidRPr="002F4B81">
        <w:rPr>
          <w:rFonts w:ascii="Calibri" w:eastAsia="Times New Roman" w:hAnsi="Calibri" w:cs="Segoe UI"/>
          <w:color w:val="212121"/>
          <w:shd w:val="clear" w:color="auto" w:fill="FFFFFF"/>
        </w:rPr>
        <w:t xml:space="preserve">Levey AS, Stevens LA, Schmid CH, Zhang YL, Castro AF 3rd, Feldman HI, </w:t>
      </w:r>
      <w:proofErr w:type="spellStart"/>
      <w:r w:rsidRPr="002F4B81">
        <w:rPr>
          <w:rFonts w:ascii="Calibri" w:eastAsia="Times New Roman" w:hAnsi="Calibri" w:cs="Segoe UI"/>
          <w:color w:val="212121"/>
          <w:shd w:val="clear" w:color="auto" w:fill="FFFFFF"/>
        </w:rPr>
        <w:t>Kusek</w:t>
      </w:r>
      <w:proofErr w:type="spellEnd"/>
      <w:r w:rsidRPr="002F4B81">
        <w:rPr>
          <w:rFonts w:ascii="Calibri" w:eastAsia="Times New Roman" w:hAnsi="Calibri" w:cs="Segoe UI"/>
          <w:color w:val="212121"/>
          <w:shd w:val="clear" w:color="auto" w:fill="FFFFFF"/>
        </w:rPr>
        <w:t xml:space="preserve"> JW, Eggers P, Van Lente F, Greene T, Coresh J; CKD-EPI (Chronic Kidney Disease Epidemiology Collaboration). A new equation to estimate glomerular filtration rate. Ann Intern Med. 2009 May 5;150(9):604-12. doi: 10.7326/0003-4819-150-9-200905050-00006. Erratum in: Ann Intern Med. 2011 Sep 20;155(6):408. PMID: 19414839; PMCID: PMC2763564.</w:t>
      </w:r>
    </w:p>
    <w:p w14:paraId="76D88DCA" w14:textId="77777777" w:rsidR="002F4B81" w:rsidRPr="002F4B81" w:rsidRDefault="002F4B81" w:rsidP="002F4B81">
      <w:pPr>
        <w:spacing w:after="0" w:line="240" w:lineRule="auto"/>
        <w:rPr>
          <w:rFonts w:ascii="Calibri" w:eastAsia="Times New Roman" w:hAnsi="Calibri" w:cs="Segoe UI"/>
          <w:color w:val="212121"/>
          <w:shd w:val="clear" w:color="auto" w:fill="FFFFFF"/>
        </w:rPr>
      </w:pPr>
    </w:p>
    <w:p w14:paraId="6CC471EB" w14:textId="77777777" w:rsidR="002F4B81" w:rsidRPr="002F4B81" w:rsidRDefault="002F4B81" w:rsidP="002F4B81">
      <w:pPr>
        <w:spacing w:after="0" w:line="240" w:lineRule="auto"/>
        <w:rPr>
          <w:rFonts w:ascii="Tahoma" w:eastAsia="Times New Roman" w:hAnsi="Tahoma" w:cs="Times New Roman"/>
          <w:szCs w:val="20"/>
        </w:rPr>
      </w:pPr>
      <w:r w:rsidRPr="002F4B81">
        <w:rPr>
          <w:rFonts w:ascii="Calibri" w:eastAsia="Times New Roman" w:hAnsi="Calibri" w:cs="Segoe UI"/>
          <w:color w:val="212121"/>
          <w:shd w:val="clear" w:color="auto" w:fill="FFFFFF"/>
        </w:rPr>
        <w:t>https://www.niddk.nih.gov/health-information/professionals/clinical-tools-patient-management/kidney-disease/laboratory-evaluation/glomerular-filtration-rate-calculators/ckd-epi-adults-si-units</w:t>
      </w:r>
      <w:bookmarkStart w:id="199" w:name="_Toc7082754"/>
    </w:p>
    <w:p w14:paraId="4753482B" w14:textId="77777777" w:rsidR="002F4B81" w:rsidRPr="002F4B81" w:rsidRDefault="002F4B81" w:rsidP="002F4B81">
      <w:pPr>
        <w:keepNext/>
        <w:tabs>
          <w:tab w:val="num" w:pos="567"/>
        </w:tabs>
        <w:spacing w:after="0" w:line="360" w:lineRule="auto"/>
        <w:ind w:left="567" w:right="-154" w:hanging="567"/>
        <w:outlineLvl w:val="0"/>
        <w:rPr>
          <w:rFonts w:ascii="Calibri" w:eastAsia="Times New Roman" w:hAnsi="Calibri" w:cs="Times New Roman"/>
          <w:b/>
          <w:caps/>
          <w:sz w:val="36"/>
          <w:szCs w:val="20"/>
        </w:rPr>
      </w:pPr>
      <w:bookmarkStart w:id="200" w:name="_Toc83029378"/>
      <w:r w:rsidRPr="002F4B81">
        <w:rPr>
          <w:rFonts w:ascii="Calibri" w:eastAsia="Times New Roman" w:hAnsi="Calibri" w:cs="Times New Roman"/>
          <w:b/>
          <w:caps/>
          <w:sz w:val="36"/>
          <w:szCs w:val="20"/>
        </w:rPr>
        <w:t>APPENDIX 1</w:t>
      </w:r>
      <w:bookmarkEnd w:id="199"/>
      <w:bookmarkEnd w:id="200"/>
    </w:p>
    <w:p w14:paraId="610486F1" w14:textId="77777777" w:rsidR="002F4B81" w:rsidRPr="002F4B81" w:rsidRDefault="002F4B81" w:rsidP="002F4B81">
      <w:pPr>
        <w:keepNext/>
        <w:spacing w:after="0" w:line="240" w:lineRule="auto"/>
        <w:ind w:left="567" w:right="-154" w:hanging="567"/>
        <w:outlineLvl w:val="1"/>
        <w:rPr>
          <w:rFonts w:ascii="Calibri" w:eastAsia="Times New Roman" w:hAnsi="Calibri" w:cs="Times New Roman"/>
          <w:b/>
          <w:sz w:val="26"/>
          <w:szCs w:val="20"/>
        </w:rPr>
      </w:pPr>
      <w:bookmarkStart w:id="201" w:name="_Toc506216380"/>
      <w:bookmarkStart w:id="202" w:name="_Toc506299613"/>
      <w:bookmarkStart w:id="203" w:name="_Toc514079567"/>
      <w:bookmarkStart w:id="204" w:name="_Toc7082755"/>
      <w:bookmarkStart w:id="205" w:name="_Toc83029379"/>
      <w:r w:rsidRPr="002F4B81">
        <w:rPr>
          <w:rFonts w:ascii="Calibri" w:eastAsia="Times New Roman" w:hAnsi="Calibri" w:cs="Times New Roman"/>
          <w:b/>
          <w:sz w:val="26"/>
          <w:szCs w:val="20"/>
        </w:rPr>
        <w:t>Trial Assessments</w:t>
      </w:r>
      <w:bookmarkEnd w:id="201"/>
      <w:bookmarkEnd w:id="202"/>
      <w:bookmarkEnd w:id="203"/>
      <w:bookmarkEnd w:id="204"/>
      <w:bookmarkEnd w:id="205"/>
    </w:p>
    <w:p w14:paraId="05B9A5EB" w14:textId="77777777" w:rsidR="002F4B81" w:rsidRPr="002F4B81" w:rsidRDefault="002F4B81" w:rsidP="002F4B81">
      <w:pPr>
        <w:spacing w:before="120" w:after="0" w:line="240" w:lineRule="auto"/>
        <w:jc w:val="both"/>
        <w:rPr>
          <w:rFonts w:ascii="Calibri" w:eastAsia="Times New Roman" w:hAnsi="Calibri" w:cs="Times New Roman"/>
          <w:szCs w:val="20"/>
        </w:rPr>
      </w:pPr>
      <w:r w:rsidRPr="002F4B81">
        <w:rPr>
          <w:rFonts w:ascii="Calibri" w:eastAsia="Times New Roman" w:hAnsi="Calibri" w:cs="Times New Roman"/>
          <w:szCs w:val="20"/>
        </w:rPr>
        <w:t>The schedule of events in trial are shown in Table 1 above in section 7.2 of SAP. Additional details of assessment visits are given below:</w:t>
      </w:r>
    </w:p>
    <w:p w14:paraId="3E1EDE18" w14:textId="77777777" w:rsidR="002F4B81" w:rsidRPr="002F4B81" w:rsidRDefault="002F4B81" w:rsidP="002F4B81">
      <w:pPr>
        <w:keepNext/>
        <w:spacing w:after="0" w:line="240" w:lineRule="auto"/>
        <w:ind w:left="567" w:right="-154" w:hanging="567"/>
        <w:outlineLvl w:val="1"/>
        <w:rPr>
          <w:rFonts w:ascii="Calibri" w:eastAsia="Times New Roman" w:hAnsi="Calibri" w:cs="Times New Roman"/>
          <w:b/>
          <w:sz w:val="26"/>
          <w:szCs w:val="20"/>
        </w:rPr>
      </w:pPr>
      <w:bookmarkStart w:id="206" w:name="_Toc506216381"/>
      <w:bookmarkStart w:id="207" w:name="_Toc506299614"/>
      <w:bookmarkStart w:id="208" w:name="_Toc514079568"/>
    </w:p>
    <w:p w14:paraId="413B21A0" w14:textId="77777777" w:rsidR="002F4B81" w:rsidRPr="002F4B81" w:rsidRDefault="002F4B81" w:rsidP="002F4B81">
      <w:pPr>
        <w:keepNext/>
        <w:spacing w:after="0" w:line="240" w:lineRule="auto"/>
        <w:ind w:left="567" w:right="-154" w:hanging="567"/>
        <w:outlineLvl w:val="1"/>
        <w:rPr>
          <w:rFonts w:ascii="Calibri" w:eastAsia="Times New Roman" w:hAnsi="Calibri" w:cs="Times New Roman"/>
          <w:b/>
          <w:sz w:val="26"/>
          <w:szCs w:val="20"/>
        </w:rPr>
      </w:pPr>
      <w:bookmarkStart w:id="209" w:name="_Toc7082756"/>
      <w:bookmarkStart w:id="210" w:name="_Toc83029380"/>
      <w:r w:rsidRPr="002F4B81">
        <w:rPr>
          <w:rFonts w:ascii="Calibri" w:eastAsia="Times New Roman" w:hAnsi="Calibri" w:cs="Times New Roman"/>
          <w:b/>
          <w:sz w:val="26"/>
          <w:szCs w:val="20"/>
        </w:rPr>
        <w:t>Baseline Assessments &amp; Data (Visit 2, Day 0)</w:t>
      </w:r>
      <w:bookmarkEnd w:id="206"/>
      <w:bookmarkEnd w:id="207"/>
      <w:bookmarkEnd w:id="208"/>
      <w:bookmarkEnd w:id="209"/>
      <w:bookmarkEnd w:id="210"/>
    </w:p>
    <w:p w14:paraId="1485C7FA" w14:textId="77777777" w:rsidR="002F4B81" w:rsidRPr="002F4B81" w:rsidRDefault="002F4B81" w:rsidP="002F4B81">
      <w:pPr>
        <w:spacing w:after="0" w:line="240" w:lineRule="auto"/>
        <w:ind w:left="1701"/>
        <w:jc w:val="both"/>
        <w:rPr>
          <w:rFonts w:ascii="Calibri" w:eastAsia="Times New Roman" w:hAnsi="Calibri" w:cs="Times New Roman"/>
          <w:szCs w:val="20"/>
        </w:rPr>
      </w:pPr>
    </w:p>
    <w:p w14:paraId="6B5574EB" w14:textId="77777777" w:rsidR="002F4B81" w:rsidRPr="002F4B81" w:rsidRDefault="002F4B81" w:rsidP="002F4B81">
      <w:pPr>
        <w:spacing w:after="0" w:line="240" w:lineRule="auto"/>
        <w:jc w:val="both"/>
        <w:rPr>
          <w:rFonts w:ascii="Calibri" w:eastAsia="Times New Roman" w:hAnsi="Calibri" w:cs="Times New Roman"/>
          <w:szCs w:val="20"/>
        </w:rPr>
      </w:pPr>
      <w:r w:rsidRPr="002F4B81">
        <w:rPr>
          <w:rFonts w:ascii="Calibri" w:eastAsia="Times New Roman" w:hAnsi="Calibri" w:cs="TimesNewRomanPSMT"/>
          <w:szCs w:val="20"/>
        </w:rPr>
        <w:t>Study day 0 will be the day that the patients would usually receive their next dose of Eculizumab based on standard dosing schedules.</w:t>
      </w:r>
      <w:r w:rsidRPr="002F4B81">
        <w:rPr>
          <w:rFonts w:ascii="Calibri" w:eastAsia="Times New Roman" w:hAnsi="Calibri" w:cs="Times New Roman"/>
          <w:szCs w:val="20"/>
        </w:rPr>
        <w:t xml:space="preserve"> The Eculizumab will not be administered however the meningococcal prophylaxis will be continued for a further 2 weeks after day 0 to reduce risk of meningococcal infection. Patients will be trained at site to complete home urinalysis. This training must be documented in the patient notes.</w:t>
      </w:r>
    </w:p>
    <w:p w14:paraId="487356ED" w14:textId="77777777" w:rsidR="002F4B81" w:rsidRPr="002F4B81" w:rsidRDefault="002F4B81" w:rsidP="002F4B81">
      <w:pPr>
        <w:autoSpaceDE w:val="0"/>
        <w:autoSpaceDN w:val="0"/>
        <w:adjustRightInd w:val="0"/>
        <w:spacing w:after="0" w:line="240" w:lineRule="auto"/>
        <w:ind w:left="272"/>
        <w:rPr>
          <w:rFonts w:ascii="Calibri" w:eastAsia="Times New Roman" w:hAnsi="Calibri" w:cs="TimesNewRomanPSMT"/>
          <w:szCs w:val="20"/>
        </w:rPr>
      </w:pPr>
    </w:p>
    <w:p w14:paraId="0BDAB02C"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At day 0 of the study (Visit 2), Eculizumab will not be administered. Patients will undergo the following assessments:</w:t>
      </w:r>
    </w:p>
    <w:p w14:paraId="5FA534F1" w14:textId="77777777" w:rsidR="002F4B81" w:rsidRPr="002F4B81" w:rsidRDefault="002F4B81" w:rsidP="002F4B81">
      <w:pPr>
        <w:numPr>
          <w:ilvl w:val="0"/>
          <w:numId w:val="41"/>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Physical Examination</w:t>
      </w:r>
    </w:p>
    <w:p w14:paraId="5FECDACA" w14:textId="77777777" w:rsidR="002F4B81" w:rsidRPr="002F4B81" w:rsidRDefault="002F4B81" w:rsidP="002F4B81">
      <w:pPr>
        <w:numPr>
          <w:ilvl w:val="0"/>
          <w:numId w:val="41"/>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 xml:space="preserve">Vital signs (temperature, </w:t>
      </w:r>
      <w:proofErr w:type="gramStart"/>
      <w:r w:rsidRPr="002F4B81">
        <w:rPr>
          <w:rFonts w:ascii="Calibri" w:eastAsia="Calibri" w:hAnsi="Calibri" w:cs="TimesNewRomanPSMT"/>
        </w:rPr>
        <w:t>pulse</w:t>
      </w:r>
      <w:proofErr w:type="gramEnd"/>
      <w:r w:rsidRPr="002F4B81">
        <w:rPr>
          <w:rFonts w:ascii="Calibri" w:eastAsia="Calibri" w:hAnsi="Calibri" w:cs="TimesNewRomanPSMT"/>
        </w:rPr>
        <w:t xml:space="preserve"> and Blood pressure) </w:t>
      </w:r>
    </w:p>
    <w:p w14:paraId="1C925E09" w14:textId="77777777" w:rsidR="002F4B81" w:rsidRPr="002F4B81" w:rsidRDefault="002F4B81" w:rsidP="002F4B81">
      <w:pPr>
        <w:numPr>
          <w:ilvl w:val="0"/>
          <w:numId w:val="41"/>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Height &amp; weight</w:t>
      </w:r>
    </w:p>
    <w:p w14:paraId="362E5344" w14:textId="77777777" w:rsidR="002F4B81" w:rsidRPr="002F4B81" w:rsidRDefault="002F4B81" w:rsidP="002F4B81">
      <w:pPr>
        <w:numPr>
          <w:ilvl w:val="0"/>
          <w:numId w:val="41"/>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Assessment of renal function (creatinine and estimated GFR).</w:t>
      </w:r>
    </w:p>
    <w:p w14:paraId="2A3D22EF" w14:textId="77777777" w:rsidR="002F4B81" w:rsidRPr="002F4B81" w:rsidRDefault="002F4B81" w:rsidP="002F4B81">
      <w:pPr>
        <w:numPr>
          <w:ilvl w:val="0"/>
          <w:numId w:val="41"/>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 xml:space="preserve">Urinalysis and urine protein/creatinine ratio </w:t>
      </w:r>
    </w:p>
    <w:p w14:paraId="0671EC64" w14:textId="77777777" w:rsidR="002F4B81" w:rsidRPr="002F4B81" w:rsidRDefault="002F4B81" w:rsidP="002F4B81">
      <w:pPr>
        <w:numPr>
          <w:ilvl w:val="0"/>
          <w:numId w:val="41"/>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 xml:space="preserve">Haemolysis markers including platelet count, haemoglobin, </w:t>
      </w:r>
      <w:proofErr w:type="gramStart"/>
      <w:r w:rsidRPr="002F4B81">
        <w:rPr>
          <w:rFonts w:ascii="Calibri" w:eastAsia="Calibri" w:hAnsi="Calibri" w:cs="TimesNewRomanPSMT"/>
        </w:rPr>
        <w:t>LDH</w:t>
      </w:r>
      <w:proofErr w:type="gramEnd"/>
    </w:p>
    <w:p w14:paraId="5B866954" w14:textId="77777777" w:rsidR="002F4B81" w:rsidRPr="002F4B81" w:rsidRDefault="002F4B81" w:rsidP="002F4B81">
      <w:pPr>
        <w:numPr>
          <w:ilvl w:val="0"/>
          <w:numId w:val="41"/>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Electrolyte Profile (U&amp;Es)</w:t>
      </w:r>
    </w:p>
    <w:p w14:paraId="4E83B3C6" w14:textId="77777777" w:rsidR="002F4B81" w:rsidRPr="002F4B81" w:rsidRDefault="002F4B81" w:rsidP="002F4B81">
      <w:pPr>
        <w:numPr>
          <w:ilvl w:val="0"/>
          <w:numId w:val="41"/>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Liver Function (Bilirubin, ALT/AST &amp; Alkaline Phosphatase)</w:t>
      </w:r>
    </w:p>
    <w:p w14:paraId="2D94A13A" w14:textId="77777777" w:rsidR="002F4B81" w:rsidRPr="002F4B81" w:rsidRDefault="002F4B81" w:rsidP="002F4B81">
      <w:pPr>
        <w:numPr>
          <w:ilvl w:val="0"/>
          <w:numId w:val="41"/>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Haptoglobin and blood film</w:t>
      </w:r>
    </w:p>
    <w:p w14:paraId="39F9EFEF" w14:textId="77777777" w:rsidR="002F4B81" w:rsidRPr="002F4B81" w:rsidRDefault="002F4B81" w:rsidP="002F4B81">
      <w:pPr>
        <w:numPr>
          <w:ilvl w:val="0"/>
          <w:numId w:val="41"/>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Health-related quality of life questionnaires (EQ-5D-5L and SF-36) (Health economist will analyse these questionnaires)</w:t>
      </w:r>
    </w:p>
    <w:p w14:paraId="447670B3" w14:textId="77777777" w:rsidR="002F4B81" w:rsidRPr="002F4B81" w:rsidRDefault="002F4B81" w:rsidP="002F4B81">
      <w:pPr>
        <w:numPr>
          <w:ilvl w:val="0"/>
          <w:numId w:val="41"/>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Health care utilisation questionnaire (Health economist will analyse these questionnaires)</w:t>
      </w:r>
    </w:p>
    <w:p w14:paraId="0ECE6ACE" w14:textId="77777777" w:rsidR="002F4B81" w:rsidRPr="002F4B81" w:rsidRDefault="002F4B81" w:rsidP="002F4B81">
      <w:pPr>
        <w:numPr>
          <w:ilvl w:val="0"/>
          <w:numId w:val="41"/>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lastRenderedPageBreak/>
        <w:t>Biomarkers and complement activation sample – Sample to be taken and stored at site before transfer to Newcastle University for analysis.</w:t>
      </w:r>
    </w:p>
    <w:p w14:paraId="1FE42A45" w14:textId="77777777" w:rsidR="002F4B81" w:rsidRPr="002F4B81" w:rsidRDefault="002F4B81" w:rsidP="002F4B81">
      <w:pPr>
        <w:autoSpaceDE w:val="0"/>
        <w:autoSpaceDN w:val="0"/>
        <w:adjustRightInd w:val="0"/>
        <w:spacing w:after="0" w:line="240" w:lineRule="auto"/>
        <w:ind w:left="1440"/>
        <w:contextualSpacing/>
        <w:rPr>
          <w:rFonts w:ascii="Calibri" w:eastAsia="Calibri" w:hAnsi="Calibri" w:cs="TimesNewRomanPSMT"/>
        </w:rPr>
      </w:pPr>
    </w:p>
    <w:p w14:paraId="0F364CD8" w14:textId="77777777" w:rsidR="002F4B81" w:rsidRPr="002F4B81" w:rsidRDefault="002F4B81" w:rsidP="002F4B81">
      <w:pPr>
        <w:keepNext/>
        <w:spacing w:after="0" w:line="240" w:lineRule="auto"/>
        <w:ind w:left="567" w:right="-154" w:hanging="567"/>
        <w:outlineLvl w:val="1"/>
        <w:rPr>
          <w:rFonts w:ascii="Calibri" w:eastAsia="Times New Roman" w:hAnsi="Calibri" w:cs="Times New Roman"/>
          <w:b/>
          <w:sz w:val="26"/>
          <w:szCs w:val="20"/>
        </w:rPr>
      </w:pPr>
      <w:bookmarkStart w:id="211" w:name="_Toc506216382"/>
      <w:bookmarkStart w:id="212" w:name="_Toc506299615"/>
      <w:bookmarkStart w:id="213" w:name="_Toc514079569"/>
      <w:bookmarkStart w:id="214" w:name="_Toc7082757"/>
      <w:bookmarkStart w:id="215" w:name="_Toc83029381"/>
      <w:r w:rsidRPr="002F4B81">
        <w:rPr>
          <w:rFonts w:ascii="Calibri" w:eastAsia="Times New Roman" w:hAnsi="Calibri" w:cs="Times New Roman"/>
          <w:b/>
          <w:sz w:val="26"/>
          <w:szCs w:val="20"/>
        </w:rPr>
        <w:t>Study Visits (Visits 3-34)</w:t>
      </w:r>
      <w:bookmarkEnd w:id="211"/>
      <w:bookmarkEnd w:id="212"/>
      <w:bookmarkEnd w:id="213"/>
      <w:bookmarkEnd w:id="214"/>
      <w:bookmarkEnd w:id="215"/>
    </w:p>
    <w:p w14:paraId="312EC1A7" w14:textId="77777777" w:rsidR="002F4B81" w:rsidRPr="002F4B81" w:rsidRDefault="002F4B81" w:rsidP="002F4B81">
      <w:pPr>
        <w:autoSpaceDE w:val="0"/>
        <w:autoSpaceDN w:val="0"/>
        <w:adjustRightInd w:val="0"/>
        <w:spacing w:after="0" w:line="240" w:lineRule="auto"/>
        <w:ind w:left="2880"/>
        <w:rPr>
          <w:rFonts w:ascii="Calibri" w:eastAsia="Times New Roman" w:hAnsi="Calibri" w:cs="TimesNewRomanPSMT"/>
          <w:szCs w:val="20"/>
        </w:rPr>
      </w:pPr>
    </w:p>
    <w:p w14:paraId="69C7EC92"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b/>
          <w:szCs w:val="20"/>
        </w:rPr>
      </w:pPr>
      <w:r w:rsidRPr="002F4B81">
        <w:rPr>
          <w:rFonts w:ascii="Calibri" w:eastAsia="Times New Roman" w:hAnsi="Calibri" w:cs="TimesNewRomanPSMT"/>
          <w:b/>
          <w:szCs w:val="20"/>
        </w:rPr>
        <w:t>Clinical Assessments</w:t>
      </w:r>
    </w:p>
    <w:p w14:paraId="35CB9321"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szCs w:val="20"/>
        </w:rPr>
      </w:pPr>
      <w:r w:rsidRPr="002F4B81">
        <w:rPr>
          <w:rFonts w:ascii="Calibri" w:eastAsia="Times New Roman" w:hAnsi="Calibri" w:cs="TimesNewRomanPSMT"/>
          <w:szCs w:val="20"/>
        </w:rPr>
        <w:t xml:space="preserve">Patients will be assessed regularly for evidence of disease relapse for the </w:t>
      </w:r>
      <w:proofErr w:type="gramStart"/>
      <w:r w:rsidRPr="002F4B81">
        <w:rPr>
          <w:rFonts w:ascii="Calibri" w:eastAsia="Times New Roman" w:hAnsi="Calibri" w:cs="TimesNewRomanPSMT"/>
          <w:szCs w:val="20"/>
        </w:rPr>
        <w:t>2 year</w:t>
      </w:r>
      <w:proofErr w:type="gramEnd"/>
      <w:r w:rsidRPr="002F4B81">
        <w:rPr>
          <w:rFonts w:ascii="Calibri" w:eastAsia="Times New Roman" w:hAnsi="Calibri" w:cs="TimesNewRomanPSMT"/>
          <w:szCs w:val="20"/>
        </w:rPr>
        <w:t xml:space="preserve"> duration of the study. The patients will attend a total of 34 visits over the </w:t>
      </w:r>
      <w:proofErr w:type="gramStart"/>
      <w:r w:rsidRPr="002F4B81">
        <w:rPr>
          <w:rFonts w:ascii="Calibri" w:eastAsia="Times New Roman" w:hAnsi="Calibri" w:cs="TimesNewRomanPSMT"/>
          <w:szCs w:val="20"/>
        </w:rPr>
        <w:t>2 year</w:t>
      </w:r>
      <w:proofErr w:type="gramEnd"/>
      <w:r w:rsidRPr="002F4B81">
        <w:rPr>
          <w:rFonts w:ascii="Calibri" w:eastAsia="Times New Roman" w:hAnsi="Calibri" w:cs="TimesNewRomanPSMT"/>
          <w:szCs w:val="20"/>
        </w:rPr>
        <w:t xml:space="preserve"> withdrawal follow-up period. Please see schedule of events (Section 7.2 in SAP). </w:t>
      </w:r>
    </w:p>
    <w:p w14:paraId="5DD816A7" w14:textId="77777777" w:rsidR="002F4B81" w:rsidRPr="002F4B81" w:rsidRDefault="002F4B81" w:rsidP="002F4B81">
      <w:pPr>
        <w:autoSpaceDE w:val="0"/>
        <w:autoSpaceDN w:val="0"/>
        <w:adjustRightInd w:val="0"/>
        <w:spacing w:after="0" w:line="240" w:lineRule="auto"/>
        <w:ind w:left="1701"/>
        <w:rPr>
          <w:rFonts w:ascii="Calibri" w:eastAsia="Times New Roman" w:hAnsi="Calibri" w:cs="TimesNewRomanPSMT"/>
          <w:szCs w:val="20"/>
        </w:rPr>
      </w:pPr>
    </w:p>
    <w:p w14:paraId="45E9F150" w14:textId="77777777" w:rsidR="002F4B81" w:rsidRPr="002F4B81" w:rsidRDefault="002F4B81" w:rsidP="002F4B81">
      <w:pPr>
        <w:autoSpaceDE w:val="0"/>
        <w:autoSpaceDN w:val="0"/>
        <w:adjustRightInd w:val="0"/>
        <w:spacing w:after="0" w:line="240" w:lineRule="auto"/>
        <w:jc w:val="both"/>
        <w:rPr>
          <w:rFonts w:ascii="Calibri" w:eastAsia="Times New Roman" w:hAnsi="Calibri" w:cs="TimesNewRomanPSMT"/>
          <w:szCs w:val="20"/>
        </w:rPr>
      </w:pPr>
      <w:r w:rsidRPr="002F4B81">
        <w:rPr>
          <w:rFonts w:ascii="Calibri" w:eastAsia="Times New Roman" w:hAnsi="Calibri" w:cs="TimesNewRomanPSMT"/>
          <w:szCs w:val="20"/>
        </w:rPr>
        <w:t xml:space="preserve">Study participants will be reviewed at the study site weekly (+/- 2 days) for the first month then alternate weeks (+/-2 days) until month 6, then monthly (+/- 7 days) thereafter until the end of the study period (month 24). </w:t>
      </w:r>
    </w:p>
    <w:p w14:paraId="3ADB7270"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At each study visit, patients will undergo the following assessments:</w:t>
      </w:r>
    </w:p>
    <w:p w14:paraId="0FC20D81" w14:textId="77777777" w:rsidR="002F4B81" w:rsidRPr="002F4B81" w:rsidRDefault="002F4B81" w:rsidP="002F4B81">
      <w:pPr>
        <w:autoSpaceDE w:val="0"/>
        <w:autoSpaceDN w:val="0"/>
        <w:adjustRightInd w:val="0"/>
        <w:spacing w:after="0" w:line="240" w:lineRule="auto"/>
        <w:ind w:left="2160"/>
        <w:rPr>
          <w:rFonts w:ascii="Calibri" w:eastAsia="Times New Roman" w:hAnsi="Calibri" w:cs="TimesNewRomanPSMT"/>
          <w:szCs w:val="20"/>
        </w:rPr>
      </w:pPr>
    </w:p>
    <w:p w14:paraId="228CC709"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Vital signs</w:t>
      </w:r>
    </w:p>
    <w:p w14:paraId="0DBC6E74"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Renal function (creatinine GFR)</w:t>
      </w:r>
    </w:p>
    <w:p w14:paraId="10E604E0"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Urinalysis and urine protein/creatinine ratio</w:t>
      </w:r>
    </w:p>
    <w:p w14:paraId="6355C9B5"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 xml:space="preserve">Haemolysis markers including platelet count, haemoglobin and </w:t>
      </w:r>
      <w:proofErr w:type="gramStart"/>
      <w:r w:rsidRPr="002F4B81">
        <w:rPr>
          <w:rFonts w:ascii="Calibri" w:eastAsia="Calibri" w:hAnsi="Calibri" w:cs="TimesNewRomanPSMT"/>
        </w:rPr>
        <w:t>LDH</w:t>
      </w:r>
      <w:proofErr w:type="gramEnd"/>
    </w:p>
    <w:p w14:paraId="6D2817C4"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Electrolyte Profile (U&amp;Es)</w:t>
      </w:r>
    </w:p>
    <w:p w14:paraId="3624B370"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 xml:space="preserve">Liver function (Bilirubin, ALT/AST &amp; Alkaline phosphatase) </w:t>
      </w:r>
    </w:p>
    <w:p w14:paraId="3904A5A2" w14:textId="77777777" w:rsidR="002F4B81" w:rsidRPr="002F4B81" w:rsidRDefault="002F4B81" w:rsidP="002F4B81">
      <w:pPr>
        <w:numPr>
          <w:ilvl w:val="0"/>
          <w:numId w:val="40"/>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Adverse Events</w:t>
      </w:r>
    </w:p>
    <w:p w14:paraId="0252F872"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p>
    <w:p w14:paraId="4411D08E"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 xml:space="preserve">Participants will provide the following at visits 1, </w:t>
      </w:r>
      <w:r w:rsidRPr="002F4B81">
        <w:rPr>
          <w:rFonts w:ascii="Calibri" w:eastAsia="Times New Roman" w:hAnsi="Calibri" w:cs="Times New Roman"/>
          <w:szCs w:val="20"/>
        </w:rPr>
        <w:t>2, 3, 4, 6, 8, 10, 16, 19, 22, 28 and 34.</w:t>
      </w:r>
    </w:p>
    <w:p w14:paraId="7A7AB8B1" w14:textId="77777777" w:rsidR="002F4B81" w:rsidRPr="002F4B81" w:rsidRDefault="002F4B81" w:rsidP="002F4B81">
      <w:pPr>
        <w:numPr>
          <w:ilvl w:val="0"/>
          <w:numId w:val="42"/>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 xml:space="preserve">Biomarkers and complement activation </w:t>
      </w:r>
      <w:proofErr w:type="gramStart"/>
      <w:r w:rsidRPr="002F4B81">
        <w:rPr>
          <w:rFonts w:ascii="Calibri" w:eastAsia="Calibri" w:hAnsi="Calibri" w:cs="TimesNewRomanPSMT"/>
        </w:rPr>
        <w:t>samples</w:t>
      </w:r>
      <w:proofErr w:type="gramEnd"/>
    </w:p>
    <w:p w14:paraId="510C5EBA" w14:textId="77777777" w:rsidR="002F4B81" w:rsidRPr="002F4B81" w:rsidRDefault="002F4B81" w:rsidP="002F4B81">
      <w:pPr>
        <w:autoSpaceDE w:val="0"/>
        <w:autoSpaceDN w:val="0"/>
        <w:adjustRightInd w:val="0"/>
        <w:spacing w:after="0" w:line="240" w:lineRule="auto"/>
        <w:ind w:left="2160"/>
        <w:rPr>
          <w:rFonts w:ascii="Calibri" w:eastAsia="Times New Roman" w:hAnsi="Calibri" w:cs="TimesNewRomanPSMT"/>
          <w:szCs w:val="20"/>
        </w:rPr>
      </w:pPr>
    </w:p>
    <w:p w14:paraId="629AEC4C"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 xml:space="preserve">Participants will undergo the following assessments at study visits 1, 2, 6, 10, 16, 22, 28 and 34: </w:t>
      </w:r>
    </w:p>
    <w:p w14:paraId="6C67FA92" w14:textId="77777777" w:rsidR="002F4B81" w:rsidRPr="002F4B81" w:rsidRDefault="002F4B81" w:rsidP="002F4B81">
      <w:pPr>
        <w:numPr>
          <w:ilvl w:val="0"/>
          <w:numId w:val="42"/>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haptoglobin and blood film</w:t>
      </w:r>
    </w:p>
    <w:p w14:paraId="6C04A082" w14:textId="77777777" w:rsidR="002F4B81" w:rsidRPr="002F4B81" w:rsidRDefault="002F4B81" w:rsidP="002F4B81">
      <w:pPr>
        <w:numPr>
          <w:ilvl w:val="0"/>
          <w:numId w:val="42"/>
        </w:numPr>
        <w:autoSpaceDE w:val="0"/>
        <w:autoSpaceDN w:val="0"/>
        <w:adjustRightInd w:val="0"/>
        <w:spacing w:after="0" w:line="240" w:lineRule="auto"/>
        <w:contextualSpacing/>
        <w:rPr>
          <w:rFonts w:ascii="Calibri" w:eastAsia="Calibri" w:hAnsi="Calibri" w:cs="TimesNewRomanPSMT"/>
        </w:rPr>
      </w:pPr>
      <w:r w:rsidRPr="002F4B81">
        <w:rPr>
          <w:rFonts w:ascii="Calibri" w:eastAsia="Calibri" w:hAnsi="Calibri" w:cs="TimesNewRomanPSMT"/>
        </w:rPr>
        <w:t>Urine PCR</w:t>
      </w:r>
    </w:p>
    <w:p w14:paraId="088E839B" w14:textId="77777777" w:rsidR="002F4B81" w:rsidRPr="002F4B81" w:rsidRDefault="002F4B81" w:rsidP="002F4B81">
      <w:pPr>
        <w:autoSpaceDE w:val="0"/>
        <w:autoSpaceDN w:val="0"/>
        <w:adjustRightInd w:val="0"/>
        <w:spacing w:after="0" w:line="240" w:lineRule="auto"/>
        <w:ind w:left="2160"/>
        <w:rPr>
          <w:rFonts w:ascii="Calibri" w:eastAsia="Times New Roman" w:hAnsi="Calibri" w:cs="TimesNewRomanPSMT"/>
          <w:szCs w:val="20"/>
        </w:rPr>
      </w:pPr>
    </w:p>
    <w:p w14:paraId="5E5B85D5" w14:textId="77777777" w:rsidR="002F4B81" w:rsidRPr="002F4B81" w:rsidRDefault="002F4B81" w:rsidP="002F4B81">
      <w:pPr>
        <w:autoSpaceDE w:val="0"/>
        <w:autoSpaceDN w:val="0"/>
        <w:adjustRightInd w:val="0"/>
        <w:spacing w:after="0" w:line="240" w:lineRule="auto"/>
        <w:rPr>
          <w:rFonts w:ascii="Calibri" w:eastAsia="Times New Roman" w:hAnsi="Calibri" w:cs="TimesNewRomanPSMT"/>
          <w:szCs w:val="20"/>
        </w:rPr>
      </w:pPr>
      <w:r w:rsidRPr="002F4B81">
        <w:rPr>
          <w:rFonts w:ascii="Calibri" w:eastAsia="Times New Roman" w:hAnsi="Calibri" w:cs="TimesNewRomanPSMT"/>
          <w:szCs w:val="20"/>
        </w:rPr>
        <w:t>Following each patient’s visit the test results and assessment data collected should be entered into the MACRO database in a timely manner and before the patient’s next scheduled visit.</w:t>
      </w:r>
    </w:p>
    <w:p w14:paraId="542D1BEF" w14:textId="77777777" w:rsidR="00E819B5" w:rsidRDefault="00E819B5" w:rsidP="006510E9">
      <w:pPr>
        <w:pStyle w:val="Heading2"/>
      </w:pPr>
    </w:p>
    <w:p w14:paraId="2F023F03" w14:textId="5D1DE6D1" w:rsidR="00327A03" w:rsidRDefault="00327A03" w:rsidP="00BD65D2">
      <w:pPr>
        <w:pStyle w:val="Heading2"/>
      </w:pPr>
    </w:p>
    <w:sectPr w:rsidR="00327A03" w:rsidSect="00BD65D2">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FB951" w14:textId="77777777" w:rsidR="00DA2113" w:rsidRDefault="00DA2113" w:rsidP="008C3ED8">
      <w:pPr>
        <w:spacing w:after="0" w:line="240" w:lineRule="auto"/>
      </w:pPr>
      <w:r>
        <w:separator/>
      </w:r>
    </w:p>
  </w:endnote>
  <w:endnote w:type="continuationSeparator" w:id="0">
    <w:p w14:paraId="1E67B211" w14:textId="77777777" w:rsidR="00DA2113" w:rsidRDefault="00DA2113" w:rsidP="008C3ED8">
      <w:pPr>
        <w:spacing w:after="0" w:line="240" w:lineRule="auto"/>
      </w:pPr>
      <w:r>
        <w:continuationSeparator/>
      </w:r>
    </w:p>
  </w:endnote>
  <w:endnote w:type="continuationNotice" w:id="1">
    <w:p w14:paraId="72FA8E01" w14:textId="77777777" w:rsidR="00DA2113" w:rsidRDefault="00DA21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variable"/>
    <w:sig w:usb0="00000000"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inherit">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73CD5" w14:textId="77777777" w:rsidR="002F4B81" w:rsidRDefault="002F4B8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1591AC" w14:textId="77777777" w:rsidR="002F4B81" w:rsidRDefault="002F4B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86531" w14:textId="77777777" w:rsidR="002F4B81" w:rsidRDefault="002F4B81">
    <w:pPr>
      <w:pStyle w:val="Footer"/>
      <w:tabs>
        <w:tab w:val="left" w:pos="360"/>
      </w:tabs>
    </w:pPr>
    <w:r>
      <w:tab/>
    </w:r>
    <w:r>
      <w:tab/>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31</w:t>
    </w:r>
    <w:r>
      <w:rPr>
        <w:b/>
        <w:bCs/>
        <w:sz w:val="24"/>
        <w:szCs w:val="24"/>
      </w:rPr>
      <w:fldChar w:fldCharType="end"/>
    </w:r>
  </w:p>
  <w:p w14:paraId="1BFEB2EA" w14:textId="77777777" w:rsidR="002F4B81" w:rsidRDefault="002F4B8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7BB6D" w14:textId="77777777" w:rsidR="002F4B81" w:rsidRDefault="002F4B81">
    <w:pPr>
      <w:pStyle w:val="Footer"/>
      <w:tabs>
        <w:tab w:val="left" w:pos="7710"/>
      </w:tabs>
    </w:pPr>
    <w:r>
      <w:tab/>
    </w:r>
    <w:r>
      <w:tab/>
      <w:t xml:space="preserve"> </w:t>
    </w:r>
  </w:p>
  <w:p w14:paraId="2C6E47E0" w14:textId="77777777" w:rsidR="002F4B81" w:rsidRDefault="002F4B81">
    <w:pPr>
      <w:pStyle w:val="Footer"/>
      <w:tabs>
        <w:tab w:val="left" w:pos="7710"/>
      </w:tabs>
    </w:pPr>
    <w:r>
      <w:t xml:space="preserve">Page </w:t>
    </w:r>
    <w:r>
      <w:rPr>
        <w:b/>
        <w:bCs/>
      </w:rPr>
      <w:fldChar w:fldCharType="begin"/>
    </w:r>
    <w:r>
      <w:rPr>
        <w:b/>
        <w:bCs/>
      </w:rPr>
      <w:instrText xml:space="preserve"> PAGE  \* Arabic  \* MERGEFORMAT </w:instrText>
    </w:r>
    <w:r>
      <w:rPr>
        <w:b/>
        <w:bCs/>
      </w:rPr>
      <w:fldChar w:fldCharType="separate"/>
    </w:r>
    <w:r>
      <w:rPr>
        <w:b/>
        <w:bCs/>
        <w:noProof/>
      </w:rPr>
      <w:t>16</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31</w:t>
    </w:r>
    <w:r>
      <w:rPr>
        <w:b/>
        <w:bCs/>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0D9F9" w14:textId="0CAF49AA" w:rsidR="00AF1BCC" w:rsidRDefault="00AF1BCC" w:rsidP="00AF1BCC">
    <w:pPr>
      <w:pStyle w:val="Footer"/>
    </w:pPr>
    <w:r>
      <w:t xml:space="preserve">15-130-94 –Supp </w:t>
    </w:r>
    <w:r>
      <w:t>9</w:t>
    </w:r>
    <w:r>
      <w:t xml:space="preserve"> – Final Report Synopsis – Version 1.0 dated 14 MAY 2024</w:t>
    </w:r>
  </w:p>
  <w:p w14:paraId="206DE05A" w14:textId="77777777" w:rsidR="002F4B81" w:rsidRDefault="002F4B81" w:rsidP="00AF1BC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31</w:t>
    </w:r>
    <w:r>
      <w:rPr>
        <w:b/>
        <w:bCs/>
        <w:sz w:val="24"/>
        <w:szCs w:val="24"/>
      </w:rPr>
      <w:fldChar w:fldCharType="end"/>
    </w:r>
  </w:p>
  <w:p w14:paraId="324493EB" w14:textId="77777777" w:rsidR="002F4B81" w:rsidRDefault="002F4B81">
    <w:pPr>
      <w:pStyle w:val="BodyText"/>
      <w:spacing w:line="14" w:lineRule="auto"/>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E4F01" w14:textId="77777777" w:rsidR="00DA2113" w:rsidRDefault="00DA2113" w:rsidP="008C3ED8">
      <w:pPr>
        <w:spacing w:after="0" w:line="240" w:lineRule="auto"/>
      </w:pPr>
      <w:r>
        <w:separator/>
      </w:r>
    </w:p>
  </w:footnote>
  <w:footnote w:type="continuationSeparator" w:id="0">
    <w:p w14:paraId="3CFC4E71" w14:textId="77777777" w:rsidR="00DA2113" w:rsidRDefault="00DA2113" w:rsidP="008C3ED8">
      <w:pPr>
        <w:spacing w:after="0" w:line="240" w:lineRule="auto"/>
      </w:pPr>
      <w:r>
        <w:continuationSeparator/>
      </w:r>
    </w:p>
  </w:footnote>
  <w:footnote w:type="continuationNotice" w:id="1">
    <w:p w14:paraId="3B70F637" w14:textId="77777777" w:rsidR="00DA2113" w:rsidRDefault="00DA21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A22E1" w14:textId="77777777" w:rsidR="002F4B81" w:rsidRDefault="002F4B81">
    <w:pPr>
      <w:pStyle w:val="Header"/>
      <w:tabs>
        <w:tab w:val="left" w:pos="2610"/>
      </w:tabs>
      <w:rPr>
        <w:rFonts w:ascii="Calibri" w:hAnsi="Calibri"/>
        <w:sz w:val="24"/>
        <w:szCs w:val="24"/>
      </w:rPr>
    </w:pPr>
    <w:r>
      <w:rPr>
        <w:rFonts w:ascii="Calibri" w:hAnsi="Calibri"/>
        <w:b/>
        <w:sz w:val="24"/>
        <w:szCs w:val="24"/>
      </w:rPr>
      <w:t>SETS aHUS</w:t>
    </w:r>
    <w:r>
      <w:rPr>
        <w:rFonts w:ascii="Calibri" w:hAnsi="Calibri"/>
        <w:sz w:val="24"/>
        <w:szCs w:val="24"/>
      </w:rPr>
      <w:tab/>
      <w:t>V1.4</w:t>
    </w:r>
    <w:r>
      <w:rPr>
        <w:rFonts w:ascii="Calibri" w:hAnsi="Calibri"/>
        <w:sz w:val="24"/>
        <w:szCs w:val="24"/>
      </w:rPr>
      <w:tab/>
    </w:r>
    <w:r>
      <w:rPr>
        <w:rFonts w:ascii="Calibri" w:hAnsi="Calibri"/>
        <w:sz w:val="24"/>
        <w:szCs w:val="24"/>
      </w:rPr>
      <w:tab/>
      <w:t xml:space="preserve"> Statistical Analysis Plan </w:t>
    </w:r>
  </w:p>
  <w:p w14:paraId="0388FE2A" w14:textId="77777777" w:rsidR="002F4B81" w:rsidRDefault="002F4B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E1749" w14:textId="77777777" w:rsidR="002F4B81" w:rsidRDefault="002F4B81">
    <w:pPr>
      <w:pStyle w:val="Header"/>
      <w:tabs>
        <w:tab w:val="left" w:pos="2610"/>
      </w:tabs>
      <w:rPr>
        <w:sz w:val="18"/>
        <w:szCs w:val="18"/>
      </w:rPr>
    </w:pPr>
    <w:r>
      <w:rPr>
        <w:rFonts w:ascii="Calibri" w:hAnsi="Calibri"/>
        <w:b/>
        <w:sz w:val="24"/>
      </w:rPr>
      <w:t>SETS aHUS</w:t>
    </w:r>
    <w:r>
      <w:rPr>
        <w:sz w:val="18"/>
        <w:szCs w:val="18"/>
      </w:rPr>
      <w:tab/>
    </w:r>
    <w:r>
      <w:rPr>
        <w:rFonts w:ascii="Calibri" w:hAnsi="Calibri"/>
      </w:rPr>
      <w:t>V1.4</w:t>
    </w:r>
    <w:r>
      <w:rPr>
        <w:rFonts w:ascii="Calibri" w:hAnsi="Calibri"/>
      </w:rPr>
      <w:tab/>
    </w:r>
    <w:r>
      <w:rPr>
        <w:rFonts w:ascii="Calibri" w:hAnsi="Calibri"/>
      </w:rPr>
      <w:tab/>
      <w:t xml:space="preserve"> Statistical Analysis Plan</w:t>
    </w:r>
    <w:r>
      <w:rPr>
        <w:sz w:val="18"/>
        <w:szCs w:val="18"/>
      </w:rPr>
      <w:t xml:space="preserve"> </w:t>
    </w:r>
  </w:p>
  <w:p w14:paraId="4B8037A4" w14:textId="77777777" w:rsidR="002F4B81" w:rsidRDefault="002F4B81">
    <w:pPr>
      <w:pStyle w:val="Header"/>
      <w:rPr>
        <w:sz w:val="24"/>
        <w:szCs w:val="24"/>
      </w:rPr>
    </w:pPr>
    <w:r>
      <w:rPr>
        <w:sz w:val="24"/>
        <w:szCs w:val="24"/>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76326" w14:textId="1D6E8A83" w:rsidR="002F4B81" w:rsidRDefault="002F4B81" w:rsidP="002F4B81">
    <w:pPr>
      <w:pStyle w:val="Header"/>
      <w:tabs>
        <w:tab w:val="left" w:pos="2610"/>
      </w:tabs>
      <w:rPr>
        <w:rFonts w:ascii="Calibri" w:hAnsi="Calibri"/>
        <w:sz w:val="24"/>
        <w:szCs w:val="24"/>
      </w:rPr>
    </w:pPr>
    <w:r>
      <w:rPr>
        <w:rFonts w:ascii="Calibri" w:hAnsi="Calibri"/>
        <w:b/>
        <w:sz w:val="24"/>
        <w:szCs w:val="24"/>
      </w:rPr>
      <w:t>SETS aHUS</w:t>
    </w:r>
    <w:r>
      <w:rPr>
        <w:rFonts w:ascii="Calibri" w:hAnsi="Calibri"/>
        <w:sz w:val="24"/>
        <w:szCs w:val="24"/>
      </w:rPr>
      <w:tab/>
      <w:t>V1.4</w:t>
    </w:r>
    <w:r>
      <w:rPr>
        <w:rFonts w:ascii="Calibri" w:hAnsi="Calibri"/>
        <w:sz w:val="24"/>
        <w:szCs w:val="24"/>
      </w:rPr>
      <w:tab/>
    </w:r>
    <w:r>
      <w:rPr>
        <w:rFonts w:ascii="Calibri" w:hAnsi="Calibri"/>
        <w:sz w:val="24"/>
        <w:szCs w:val="24"/>
      </w:rPr>
      <w:tab/>
      <w:t xml:space="preserve"> Statistical Analysis Plan </w:t>
    </w:r>
  </w:p>
  <w:p w14:paraId="28EE419E" w14:textId="5B13B0B2" w:rsidR="002F4B81" w:rsidRDefault="002F4B81">
    <w:pPr>
      <w:pStyle w:val="Header"/>
    </w:pPr>
  </w:p>
  <w:p w14:paraId="5758207D" w14:textId="77777777" w:rsidR="002F4B81" w:rsidRDefault="002F4B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25BB"/>
    <w:multiLevelType w:val="hybridMultilevel"/>
    <w:tmpl w:val="C1AC99CA"/>
    <w:lvl w:ilvl="0" w:tplc="0809000F">
      <w:start w:val="1"/>
      <w:numFmt w:val="decimal"/>
      <w:lvlText w:val="%1."/>
      <w:lvlJc w:val="left"/>
      <w:pPr>
        <w:ind w:left="1222" w:hanging="360"/>
      </w:pPr>
      <w:rPr>
        <w:rFonts w:hint="default"/>
      </w:rPr>
    </w:lvl>
    <w:lvl w:ilvl="1" w:tplc="08090019">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1" w15:restartNumberingAfterBreak="0">
    <w:nsid w:val="04F9071B"/>
    <w:multiLevelType w:val="hybridMultilevel"/>
    <w:tmpl w:val="8B107900"/>
    <w:lvl w:ilvl="0" w:tplc="2736AAD4">
      <w:start w:val="3"/>
      <w:numFmt w:val="bullet"/>
      <w:lvlText w:val="-"/>
      <w:lvlJc w:val="left"/>
      <w:pPr>
        <w:ind w:left="1080" w:hanging="360"/>
      </w:pPr>
      <w:rPr>
        <w:rFonts w:ascii="Calibri" w:eastAsiaTheme="minorHAnsi" w:hAnsi="Calibri" w:cs="TimesNewRomanPSM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580E57"/>
    <w:multiLevelType w:val="multilevel"/>
    <w:tmpl w:val="CF4E96D6"/>
    <w:lvl w:ilvl="0">
      <w:start w:val="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6843194"/>
    <w:multiLevelType w:val="hybridMultilevel"/>
    <w:tmpl w:val="775C7A88"/>
    <w:lvl w:ilvl="0" w:tplc="08090001">
      <w:start w:val="1"/>
      <w:numFmt w:val="bullet"/>
      <w:lvlText w:val=""/>
      <w:lvlJc w:val="left"/>
      <w:pPr>
        <w:ind w:left="1797" w:hanging="360"/>
      </w:pPr>
      <w:rPr>
        <w:rFonts w:ascii="Symbol" w:hAnsi="Symbol" w:hint="default"/>
      </w:rPr>
    </w:lvl>
    <w:lvl w:ilvl="1" w:tplc="08090003">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4" w15:restartNumberingAfterBreak="0">
    <w:nsid w:val="089D15D5"/>
    <w:multiLevelType w:val="hybridMultilevel"/>
    <w:tmpl w:val="A6884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4F46"/>
    <w:multiLevelType w:val="hybridMultilevel"/>
    <w:tmpl w:val="D36692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6408E6"/>
    <w:multiLevelType w:val="hybridMultilevel"/>
    <w:tmpl w:val="64D24E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BA0F19"/>
    <w:multiLevelType w:val="hybridMultilevel"/>
    <w:tmpl w:val="582265E8"/>
    <w:lvl w:ilvl="0" w:tplc="D8CC954A">
      <w:start w:val="1"/>
      <w:numFmt w:val="bullet"/>
      <w:pStyle w:val="TableBullet"/>
      <w:lvlText w:val=""/>
      <w:lvlJc w:val="left"/>
      <w:pPr>
        <w:ind w:left="720" w:hanging="360"/>
      </w:pPr>
      <w:rPr>
        <w:rFonts w:ascii="Symbol" w:hAnsi="Symbol" w:hint="default"/>
        <w:color w:val="00529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87F0A"/>
    <w:multiLevelType w:val="hybridMultilevel"/>
    <w:tmpl w:val="C9E4ED8C"/>
    <w:lvl w:ilvl="0" w:tplc="66F2B712">
      <w:start w:val="7"/>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F4793B"/>
    <w:multiLevelType w:val="hybridMultilevel"/>
    <w:tmpl w:val="3D08C93A"/>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2BD6470"/>
    <w:multiLevelType w:val="hybridMultilevel"/>
    <w:tmpl w:val="F0406690"/>
    <w:lvl w:ilvl="0" w:tplc="F6E6737E">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E20296"/>
    <w:multiLevelType w:val="hybridMultilevel"/>
    <w:tmpl w:val="C3041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343167"/>
    <w:multiLevelType w:val="hybridMultilevel"/>
    <w:tmpl w:val="F0AC81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2267C"/>
    <w:multiLevelType w:val="multilevel"/>
    <w:tmpl w:val="72B28544"/>
    <w:lvl w:ilvl="0">
      <w:start w:val="1"/>
      <w:numFmt w:val="decimal"/>
      <w:pStyle w:val="BMSHeadingAppendix"/>
      <w:lvlText w:val="APPENDIX %1"/>
      <w:lvlJc w:val="left"/>
      <w:pPr>
        <w:tabs>
          <w:tab w:val="num" w:pos="3217"/>
        </w:tabs>
        <w:ind w:left="1849" w:hanging="432"/>
      </w:pPr>
    </w:lvl>
    <w:lvl w:ilvl="1">
      <w:start w:val="1"/>
      <w:numFmt w:val="decimal"/>
      <w:lvlText w:val="%1.%2"/>
      <w:lvlJc w:val="left"/>
      <w:pPr>
        <w:tabs>
          <w:tab w:val="num" w:pos="-842"/>
        </w:tabs>
        <w:ind w:left="-842" w:hanging="576"/>
      </w:pPr>
    </w:lvl>
    <w:lvl w:ilvl="2">
      <w:start w:val="1"/>
      <w:numFmt w:val="decimal"/>
      <w:lvlText w:val="%1.%2.%3"/>
      <w:lvlJc w:val="left"/>
      <w:pPr>
        <w:tabs>
          <w:tab w:val="num" w:pos="-698"/>
        </w:tabs>
        <w:ind w:left="-698" w:hanging="720"/>
      </w:pPr>
    </w:lvl>
    <w:lvl w:ilvl="3">
      <w:start w:val="1"/>
      <w:numFmt w:val="decimal"/>
      <w:lvlText w:val="%1.%2.%3.%4"/>
      <w:lvlJc w:val="left"/>
      <w:pPr>
        <w:tabs>
          <w:tab w:val="num" w:pos="-554"/>
        </w:tabs>
        <w:ind w:left="-554" w:hanging="864"/>
      </w:pPr>
    </w:lvl>
    <w:lvl w:ilvl="4">
      <w:start w:val="1"/>
      <w:numFmt w:val="decimal"/>
      <w:lvlText w:val="%1.%2.%3.%4.%5"/>
      <w:lvlJc w:val="left"/>
      <w:pPr>
        <w:tabs>
          <w:tab w:val="num" w:pos="-410"/>
        </w:tabs>
        <w:ind w:left="-410" w:hanging="1008"/>
      </w:pPr>
    </w:lvl>
    <w:lvl w:ilvl="5">
      <w:start w:val="1"/>
      <w:numFmt w:val="decimal"/>
      <w:lvlText w:val="%1.%2.%3.%4.%5.%6"/>
      <w:lvlJc w:val="left"/>
      <w:pPr>
        <w:tabs>
          <w:tab w:val="num" w:pos="-266"/>
        </w:tabs>
        <w:ind w:left="-266" w:hanging="1152"/>
      </w:pPr>
    </w:lvl>
    <w:lvl w:ilvl="6">
      <w:start w:val="1"/>
      <w:numFmt w:val="decimal"/>
      <w:lvlText w:val="%1.%2.%3.%4.%5.%6.%7"/>
      <w:lvlJc w:val="left"/>
      <w:pPr>
        <w:tabs>
          <w:tab w:val="num" w:pos="-122"/>
        </w:tabs>
        <w:ind w:left="-122" w:hanging="1296"/>
      </w:pPr>
    </w:lvl>
    <w:lvl w:ilvl="7">
      <w:start w:val="1"/>
      <w:numFmt w:val="decimal"/>
      <w:lvlText w:val="%1.%2.%3.%4.%5.%6.%7.%8"/>
      <w:lvlJc w:val="left"/>
      <w:pPr>
        <w:tabs>
          <w:tab w:val="num" w:pos="22"/>
        </w:tabs>
        <w:ind w:left="22" w:hanging="1440"/>
      </w:pPr>
    </w:lvl>
    <w:lvl w:ilvl="8">
      <w:start w:val="1"/>
      <w:numFmt w:val="decimal"/>
      <w:lvlText w:val="%1.%2.%3.%4.%5.%6.%7.%8.%9"/>
      <w:lvlJc w:val="left"/>
      <w:pPr>
        <w:tabs>
          <w:tab w:val="num" w:pos="166"/>
        </w:tabs>
        <w:ind w:left="166" w:hanging="1584"/>
      </w:pPr>
    </w:lvl>
  </w:abstractNum>
  <w:abstractNum w:abstractNumId="14" w15:restartNumberingAfterBreak="0">
    <w:nsid w:val="2D1C4671"/>
    <w:multiLevelType w:val="hybridMultilevel"/>
    <w:tmpl w:val="23444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841131"/>
    <w:multiLevelType w:val="multilevel"/>
    <w:tmpl w:val="2BF024D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2FB327E8"/>
    <w:multiLevelType w:val="hybridMultilevel"/>
    <w:tmpl w:val="67824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5946DF"/>
    <w:multiLevelType w:val="hybridMultilevel"/>
    <w:tmpl w:val="1AF0E93A"/>
    <w:lvl w:ilvl="0" w:tplc="FFFFFFFF">
      <w:start w:val="1"/>
      <w:numFmt w:val="decimal"/>
      <w:pStyle w:val="Figurelabel"/>
      <w:lvlText w:val="Figure %1: "/>
      <w:lvlJc w:val="left"/>
      <w:pPr>
        <w:tabs>
          <w:tab w:val="num" w:pos="1440"/>
        </w:tabs>
        <w:ind w:left="0" w:firstLine="0"/>
      </w:pPr>
      <w:rPr>
        <w:rFonts w:ascii="Tahoma" w:hAnsi="Tahoma" w:cs="Times New Roman" w:hint="default"/>
        <w:b/>
        <w:i w:val="0"/>
        <w:color w:val="000000"/>
        <w:sz w:val="22"/>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341F535C"/>
    <w:multiLevelType w:val="hybridMultilevel"/>
    <w:tmpl w:val="6C30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2C0989"/>
    <w:multiLevelType w:val="hybridMultilevel"/>
    <w:tmpl w:val="1F1A69F0"/>
    <w:lvl w:ilvl="0" w:tplc="431E328A">
      <w:start w:val="1"/>
      <w:numFmt w:val="bullet"/>
      <w:pStyle w:val="Summary-Bullet-H47"/>
      <w:lvlText w:val=""/>
      <w:lvlJc w:val="left"/>
      <w:pPr>
        <w:ind w:left="1211" w:hanging="360"/>
      </w:pPr>
      <w:rPr>
        <w:rFonts w:ascii="Symbol" w:hAnsi="Symbol" w:hint="default"/>
        <w:color w:val="FFFFFF" w:themeColor="background1"/>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35401357"/>
    <w:multiLevelType w:val="hybridMultilevel"/>
    <w:tmpl w:val="3FFE4C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58A2ABD"/>
    <w:multiLevelType w:val="hybridMultilevel"/>
    <w:tmpl w:val="94C256D6"/>
    <w:lvl w:ilvl="0" w:tplc="F6E6737E">
      <w:start w:val="1"/>
      <w:numFmt w:val="decimal"/>
      <w:lvlText w:val="%1."/>
      <w:lvlJc w:val="center"/>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9A35E01"/>
    <w:multiLevelType w:val="hybridMultilevel"/>
    <w:tmpl w:val="4B36EC74"/>
    <w:lvl w:ilvl="0" w:tplc="F6E6737E">
      <w:start w:val="1"/>
      <w:numFmt w:val="decimal"/>
      <w:lvlText w:val="%1."/>
      <w:lvlJc w:val="center"/>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BBC640F"/>
    <w:multiLevelType w:val="hybridMultilevel"/>
    <w:tmpl w:val="C70A74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C1777CA"/>
    <w:multiLevelType w:val="hybridMultilevel"/>
    <w:tmpl w:val="C6B24A6A"/>
    <w:lvl w:ilvl="0" w:tplc="04090001">
      <w:start w:val="1"/>
      <w:numFmt w:val="bullet"/>
      <w:pStyle w:val="ListBullet-Tex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BD5946"/>
    <w:multiLevelType w:val="hybridMultilevel"/>
    <w:tmpl w:val="3222CAA6"/>
    <w:lvl w:ilvl="0" w:tplc="2736AAD4">
      <w:start w:val="3"/>
      <w:numFmt w:val="bullet"/>
      <w:lvlText w:val="-"/>
      <w:lvlJc w:val="left"/>
      <w:pPr>
        <w:ind w:left="2770" w:hanging="360"/>
      </w:pPr>
      <w:rPr>
        <w:rFonts w:ascii="Calibri" w:eastAsiaTheme="minorHAnsi" w:hAnsi="Calibri" w:cs="TimesNewRomanPSM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DD14482"/>
    <w:multiLevelType w:val="hybridMultilevel"/>
    <w:tmpl w:val="83CE1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E124FC"/>
    <w:multiLevelType w:val="hybridMultilevel"/>
    <w:tmpl w:val="69D2010E"/>
    <w:lvl w:ilvl="0" w:tplc="0809000F">
      <w:start w:val="1"/>
      <w:numFmt w:val="decimal"/>
      <w:lvlText w:val="%1."/>
      <w:lvlJc w:val="left"/>
      <w:pPr>
        <w:ind w:left="720" w:hanging="360"/>
      </w:pPr>
      <w:rPr>
        <w:rFonts w:hint="default"/>
      </w:rPr>
    </w:lvl>
    <w:lvl w:ilvl="1" w:tplc="245A0B2E">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EB55D90"/>
    <w:multiLevelType w:val="hybridMultilevel"/>
    <w:tmpl w:val="6FF0B7CC"/>
    <w:lvl w:ilvl="0" w:tplc="08090001">
      <w:start w:val="1"/>
      <w:numFmt w:val="bullet"/>
      <w:lvlText w:val=""/>
      <w:lvlJc w:val="left"/>
      <w:pPr>
        <w:ind w:left="1779" w:hanging="360"/>
      </w:pPr>
      <w:rPr>
        <w:rFonts w:ascii="Symbol" w:hAnsi="Symbol" w:hint="default"/>
      </w:rPr>
    </w:lvl>
    <w:lvl w:ilvl="1" w:tplc="08090003" w:tentative="1">
      <w:start w:val="1"/>
      <w:numFmt w:val="bullet"/>
      <w:lvlText w:val="o"/>
      <w:lvlJc w:val="left"/>
      <w:pPr>
        <w:ind w:left="2499" w:hanging="360"/>
      </w:pPr>
      <w:rPr>
        <w:rFonts w:ascii="Courier New" w:hAnsi="Courier New" w:cs="Courier New" w:hint="default"/>
      </w:rPr>
    </w:lvl>
    <w:lvl w:ilvl="2" w:tplc="08090005" w:tentative="1">
      <w:start w:val="1"/>
      <w:numFmt w:val="bullet"/>
      <w:lvlText w:val=""/>
      <w:lvlJc w:val="left"/>
      <w:pPr>
        <w:ind w:left="3219" w:hanging="360"/>
      </w:pPr>
      <w:rPr>
        <w:rFonts w:ascii="Wingdings" w:hAnsi="Wingdings" w:hint="default"/>
      </w:rPr>
    </w:lvl>
    <w:lvl w:ilvl="3" w:tplc="08090001" w:tentative="1">
      <w:start w:val="1"/>
      <w:numFmt w:val="bullet"/>
      <w:lvlText w:val=""/>
      <w:lvlJc w:val="left"/>
      <w:pPr>
        <w:ind w:left="3939" w:hanging="360"/>
      </w:pPr>
      <w:rPr>
        <w:rFonts w:ascii="Symbol" w:hAnsi="Symbol" w:hint="default"/>
      </w:rPr>
    </w:lvl>
    <w:lvl w:ilvl="4" w:tplc="08090003" w:tentative="1">
      <w:start w:val="1"/>
      <w:numFmt w:val="bullet"/>
      <w:lvlText w:val="o"/>
      <w:lvlJc w:val="left"/>
      <w:pPr>
        <w:ind w:left="4659" w:hanging="360"/>
      </w:pPr>
      <w:rPr>
        <w:rFonts w:ascii="Courier New" w:hAnsi="Courier New" w:cs="Courier New" w:hint="default"/>
      </w:rPr>
    </w:lvl>
    <w:lvl w:ilvl="5" w:tplc="08090005" w:tentative="1">
      <w:start w:val="1"/>
      <w:numFmt w:val="bullet"/>
      <w:lvlText w:val=""/>
      <w:lvlJc w:val="left"/>
      <w:pPr>
        <w:ind w:left="5379" w:hanging="360"/>
      </w:pPr>
      <w:rPr>
        <w:rFonts w:ascii="Wingdings" w:hAnsi="Wingdings" w:hint="default"/>
      </w:rPr>
    </w:lvl>
    <w:lvl w:ilvl="6" w:tplc="08090001" w:tentative="1">
      <w:start w:val="1"/>
      <w:numFmt w:val="bullet"/>
      <w:lvlText w:val=""/>
      <w:lvlJc w:val="left"/>
      <w:pPr>
        <w:ind w:left="6099" w:hanging="360"/>
      </w:pPr>
      <w:rPr>
        <w:rFonts w:ascii="Symbol" w:hAnsi="Symbol" w:hint="default"/>
      </w:rPr>
    </w:lvl>
    <w:lvl w:ilvl="7" w:tplc="08090003" w:tentative="1">
      <w:start w:val="1"/>
      <w:numFmt w:val="bullet"/>
      <w:lvlText w:val="o"/>
      <w:lvlJc w:val="left"/>
      <w:pPr>
        <w:ind w:left="6819" w:hanging="360"/>
      </w:pPr>
      <w:rPr>
        <w:rFonts w:ascii="Courier New" w:hAnsi="Courier New" w:cs="Courier New" w:hint="default"/>
      </w:rPr>
    </w:lvl>
    <w:lvl w:ilvl="8" w:tplc="08090005" w:tentative="1">
      <w:start w:val="1"/>
      <w:numFmt w:val="bullet"/>
      <w:lvlText w:val=""/>
      <w:lvlJc w:val="left"/>
      <w:pPr>
        <w:ind w:left="7539" w:hanging="360"/>
      </w:pPr>
      <w:rPr>
        <w:rFonts w:ascii="Wingdings" w:hAnsi="Wingdings" w:hint="default"/>
      </w:rPr>
    </w:lvl>
  </w:abstractNum>
  <w:abstractNum w:abstractNumId="29" w15:restartNumberingAfterBreak="0">
    <w:nsid w:val="45E46DD6"/>
    <w:multiLevelType w:val="hybridMultilevel"/>
    <w:tmpl w:val="F3FCC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9B6E2A"/>
    <w:multiLevelType w:val="hybridMultilevel"/>
    <w:tmpl w:val="1FDE1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AF43BA"/>
    <w:multiLevelType w:val="hybridMultilevel"/>
    <w:tmpl w:val="EF7AC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8582BB1"/>
    <w:multiLevelType w:val="hybridMultilevel"/>
    <w:tmpl w:val="C870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2C5D02"/>
    <w:multiLevelType w:val="hybridMultilevel"/>
    <w:tmpl w:val="DE20E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0849B3"/>
    <w:multiLevelType w:val="hybridMultilevel"/>
    <w:tmpl w:val="EFE614C4"/>
    <w:lvl w:ilvl="0" w:tplc="F89AF7FE">
      <w:start w:val="1"/>
      <w:numFmt w:val="bullet"/>
      <w:pStyle w:val="ListBullet-Bullet"/>
      <w:lvlText w:val=""/>
      <w:lvlJc w:val="left"/>
      <w:pPr>
        <w:ind w:left="720" w:hanging="360"/>
      </w:pPr>
      <w:rPr>
        <w:rFonts w:ascii="Symbol" w:hAnsi="Symbol" w:hint="default"/>
        <w:color w:val="00529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86708E"/>
    <w:multiLevelType w:val="hybridMultilevel"/>
    <w:tmpl w:val="AFC0D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D47AB8"/>
    <w:multiLevelType w:val="multilevel"/>
    <w:tmpl w:val="6C487C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3453655"/>
    <w:multiLevelType w:val="multilevel"/>
    <w:tmpl w:val="59D244C4"/>
    <w:lvl w:ilvl="0">
      <w:start w:val="1"/>
      <w:numFmt w:val="bullet"/>
      <w:pStyle w:val="bullet1"/>
      <w:lvlText w:val=""/>
      <w:lvlJc w:val="left"/>
      <w:pPr>
        <w:tabs>
          <w:tab w:val="num" w:pos="567"/>
        </w:tabs>
        <w:ind w:left="567" w:hanging="567"/>
      </w:pPr>
      <w:rPr>
        <w:rFonts w:ascii="Symbol" w:hAnsi="Symbol" w:hint="default"/>
        <w:sz w:val="22"/>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34D58BD"/>
    <w:multiLevelType w:val="hybridMultilevel"/>
    <w:tmpl w:val="41DC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12774D"/>
    <w:multiLevelType w:val="hybridMultilevel"/>
    <w:tmpl w:val="440E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0F6E10"/>
    <w:multiLevelType w:val="hybridMultilevel"/>
    <w:tmpl w:val="353C9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F23B2C"/>
    <w:multiLevelType w:val="hybridMultilevel"/>
    <w:tmpl w:val="A1F260AA"/>
    <w:lvl w:ilvl="0" w:tplc="EA1CBC94">
      <w:start w:val="1"/>
      <w:numFmt w:val="bullet"/>
      <w:lvlText w:val=""/>
      <w:lvlJc w:val="left"/>
      <w:pPr>
        <w:ind w:left="1440" w:hanging="360"/>
      </w:pPr>
      <w:rPr>
        <w:rFonts w:ascii="Symbol" w:hAnsi="Symbol"/>
      </w:rPr>
    </w:lvl>
    <w:lvl w:ilvl="1" w:tplc="14A0B63E">
      <w:start w:val="1"/>
      <w:numFmt w:val="bullet"/>
      <w:lvlText w:val=""/>
      <w:lvlJc w:val="left"/>
      <w:pPr>
        <w:ind w:left="1440" w:hanging="360"/>
      </w:pPr>
      <w:rPr>
        <w:rFonts w:ascii="Symbol" w:hAnsi="Symbol"/>
      </w:rPr>
    </w:lvl>
    <w:lvl w:ilvl="2" w:tplc="E8BE3CF2">
      <w:start w:val="1"/>
      <w:numFmt w:val="bullet"/>
      <w:lvlText w:val=""/>
      <w:lvlJc w:val="left"/>
      <w:pPr>
        <w:ind w:left="1440" w:hanging="360"/>
      </w:pPr>
      <w:rPr>
        <w:rFonts w:ascii="Symbol" w:hAnsi="Symbol"/>
      </w:rPr>
    </w:lvl>
    <w:lvl w:ilvl="3" w:tplc="5B14A79E">
      <w:start w:val="1"/>
      <w:numFmt w:val="bullet"/>
      <w:lvlText w:val=""/>
      <w:lvlJc w:val="left"/>
      <w:pPr>
        <w:ind w:left="1440" w:hanging="360"/>
      </w:pPr>
      <w:rPr>
        <w:rFonts w:ascii="Symbol" w:hAnsi="Symbol"/>
      </w:rPr>
    </w:lvl>
    <w:lvl w:ilvl="4" w:tplc="08FE7650">
      <w:start w:val="1"/>
      <w:numFmt w:val="bullet"/>
      <w:lvlText w:val=""/>
      <w:lvlJc w:val="left"/>
      <w:pPr>
        <w:ind w:left="1440" w:hanging="360"/>
      </w:pPr>
      <w:rPr>
        <w:rFonts w:ascii="Symbol" w:hAnsi="Symbol"/>
      </w:rPr>
    </w:lvl>
    <w:lvl w:ilvl="5" w:tplc="79CC16E8">
      <w:start w:val="1"/>
      <w:numFmt w:val="bullet"/>
      <w:lvlText w:val=""/>
      <w:lvlJc w:val="left"/>
      <w:pPr>
        <w:ind w:left="1440" w:hanging="360"/>
      </w:pPr>
      <w:rPr>
        <w:rFonts w:ascii="Symbol" w:hAnsi="Symbol"/>
      </w:rPr>
    </w:lvl>
    <w:lvl w:ilvl="6" w:tplc="12744888">
      <w:start w:val="1"/>
      <w:numFmt w:val="bullet"/>
      <w:lvlText w:val=""/>
      <w:lvlJc w:val="left"/>
      <w:pPr>
        <w:ind w:left="1440" w:hanging="360"/>
      </w:pPr>
      <w:rPr>
        <w:rFonts w:ascii="Symbol" w:hAnsi="Symbol"/>
      </w:rPr>
    </w:lvl>
    <w:lvl w:ilvl="7" w:tplc="011CE4A6">
      <w:start w:val="1"/>
      <w:numFmt w:val="bullet"/>
      <w:lvlText w:val=""/>
      <w:lvlJc w:val="left"/>
      <w:pPr>
        <w:ind w:left="1440" w:hanging="360"/>
      </w:pPr>
      <w:rPr>
        <w:rFonts w:ascii="Symbol" w:hAnsi="Symbol"/>
      </w:rPr>
    </w:lvl>
    <w:lvl w:ilvl="8" w:tplc="48544376">
      <w:start w:val="1"/>
      <w:numFmt w:val="bullet"/>
      <w:lvlText w:val=""/>
      <w:lvlJc w:val="left"/>
      <w:pPr>
        <w:ind w:left="1440" w:hanging="360"/>
      </w:pPr>
      <w:rPr>
        <w:rFonts w:ascii="Symbol" w:hAnsi="Symbol"/>
      </w:rPr>
    </w:lvl>
  </w:abstractNum>
  <w:abstractNum w:abstractNumId="42" w15:restartNumberingAfterBreak="0">
    <w:nsid w:val="6FE1640E"/>
    <w:multiLevelType w:val="hybridMultilevel"/>
    <w:tmpl w:val="A5ECC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E81601"/>
    <w:multiLevelType w:val="multilevel"/>
    <w:tmpl w:val="CF4E96D6"/>
    <w:lvl w:ilvl="0">
      <w:start w:val="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7E026D2"/>
    <w:multiLevelType w:val="hybridMultilevel"/>
    <w:tmpl w:val="93522E06"/>
    <w:lvl w:ilvl="0" w:tplc="E132C4E0">
      <w:start w:val="1"/>
      <w:numFmt w:val="lowerRoman"/>
      <w:pStyle w:val="ListRomanNumerals-H43"/>
      <w:lvlText w:val="%1."/>
      <w:lvlJc w:val="right"/>
      <w:pPr>
        <w:ind w:left="2781" w:hanging="360"/>
      </w:pPr>
    </w:lvl>
    <w:lvl w:ilvl="1" w:tplc="08090019">
      <w:start w:val="1"/>
      <w:numFmt w:val="lowerLetter"/>
      <w:lvlText w:val="%2."/>
      <w:lvlJc w:val="left"/>
      <w:pPr>
        <w:ind w:left="3501" w:hanging="360"/>
      </w:pPr>
    </w:lvl>
    <w:lvl w:ilvl="2" w:tplc="0809001B" w:tentative="1">
      <w:start w:val="1"/>
      <w:numFmt w:val="lowerRoman"/>
      <w:lvlText w:val="%3."/>
      <w:lvlJc w:val="right"/>
      <w:pPr>
        <w:ind w:left="4221" w:hanging="180"/>
      </w:pPr>
    </w:lvl>
    <w:lvl w:ilvl="3" w:tplc="0809000F" w:tentative="1">
      <w:start w:val="1"/>
      <w:numFmt w:val="decimal"/>
      <w:lvlText w:val="%4."/>
      <w:lvlJc w:val="left"/>
      <w:pPr>
        <w:ind w:left="4941" w:hanging="360"/>
      </w:pPr>
    </w:lvl>
    <w:lvl w:ilvl="4" w:tplc="08090019" w:tentative="1">
      <w:start w:val="1"/>
      <w:numFmt w:val="lowerLetter"/>
      <w:lvlText w:val="%5."/>
      <w:lvlJc w:val="left"/>
      <w:pPr>
        <w:ind w:left="5661" w:hanging="360"/>
      </w:pPr>
    </w:lvl>
    <w:lvl w:ilvl="5" w:tplc="0809001B" w:tentative="1">
      <w:start w:val="1"/>
      <w:numFmt w:val="lowerRoman"/>
      <w:lvlText w:val="%6."/>
      <w:lvlJc w:val="right"/>
      <w:pPr>
        <w:ind w:left="6381" w:hanging="180"/>
      </w:pPr>
    </w:lvl>
    <w:lvl w:ilvl="6" w:tplc="0809000F" w:tentative="1">
      <w:start w:val="1"/>
      <w:numFmt w:val="decimal"/>
      <w:lvlText w:val="%7."/>
      <w:lvlJc w:val="left"/>
      <w:pPr>
        <w:ind w:left="7101" w:hanging="360"/>
      </w:pPr>
    </w:lvl>
    <w:lvl w:ilvl="7" w:tplc="08090019" w:tentative="1">
      <w:start w:val="1"/>
      <w:numFmt w:val="lowerLetter"/>
      <w:lvlText w:val="%8."/>
      <w:lvlJc w:val="left"/>
      <w:pPr>
        <w:ind w:left="7821" w:hanging="360"/>
      </w:pPr>
    </w:lvl>
    <w:lvl w:ilvl="8" w:tplc="0809001B" w:tentative="1">
      <w:start w:val="1"/>
      <w:numFmt w:val="lowerRoman"/>
      <w:lvlText w:val="%9."/>
      <w:lvlJc w:val="right"/>
      <w:pPr>
        <w:ind w:left="8541" w:hanging="180"/>
      </w:pPr>
    </w:lvl>
  </w:abstractNum>
  <w:abstractNum w:abstractNumId="45" w15:restartNumberingAfterBreak="0">
    <w:nsid w:val="78C31AC4"/>
    <w:multiLevelType w:val="hybridMultilevel"/>
    <w:tmpl w:val="1C8A2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D30130"/>
    <w:multiLevelType w:val="multilevel"/>
    <w:tmpl w:val="895CED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7A073948"/>
    <w:multiLevelType w:val="hybridMultilevel"/>
    <w:tmpl w:val="B3927FB6"/>
    <w:lvl w:ilvl="0" w:tplc="282EE5CC">
      <w:start w:val="1"/>
      <w:numFmt w:val="bullet"/>
      <w:pStyle w:val="TableBullet-H55"/>
      <w:lvlText w:val=""/>
      <w:lvlJc w:val="left"/>
      <w:pPr>
        <w:ind w:left="360" w:hanging="360"/>
      </w:pPr>
      <w:rPr>
        <w:rFonts w:ascii="Symbol" w:hAnsi="Symbol" w:hint="default"/>
        <w:color w:val="44546A" w:themeColor="text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D644727"/>
    <w:multiLevelType w:val="hybridMultilevel"/>
    <w:tmpl w:val="D096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066749">
    <w:abstractNumId w:val="36"/>
  </w:num>
  <w:num w:numId="2" w16cid:durableId="1253314092">
    <w:abstractNumId w:val="42"/>
  </w:num>
  <w:num w:numId="3" w16cid:durableId="2094357323">
    <w:abstractNumId w:val="25"/>
  </w:num>
  <w:num w:numId="4" w16cid:durableId="242684954">
    <w:abstractNumId w:val="38"/>
  </w:num>
  <w:num w:numId="5" w16cid:durableId="1429734260">
    <w:abstractNumId w:val="35"/>
  </w:num>
  <w:num w:numId="6" w16cid:durableId="853302185">
    <w:abstractNumId w:val="5"/>
  </w:num>
  <w:num w:numId="7" w16cid:durableId="563952027">
    <w:abstractNumId w:val="29"/>
  </w:num>
  <w:num w:numId="8" w16cid:durableId="610818382">
    <w:abstractNumId w:val="4"/>
  </w:num>
  <w:num w:numId="9" w16cid:durableId="1029184033">
    <w:abstractNumId w:val="1"/>
  </w:num>
  <w:num w:numId="10" w16cid:durableId="1743485221">
    <w:abstractNumId w:val="32"/>
  </w:num>
  <w:num w:numId="11" w16cid:durableId="2066030386">
    <w:abstractNumId w:val="39"/>
  </w:num>
  <w:num w:numId="12" w16cid:durableId="1506479346">
    <w:abstractNumId w:val="30"/>
  </w:num>
  <w:num w:numId="13" w16cid:durableId="1287394268">
    <w:abstractNumId w:val="41"/>
  </w:num>
  <w:num w:numId="14" w16cid:durableId="188184067">
    <w:abstractNumId w:val="6"/>
  </w:num>
  <w:num w:numId="15" w16cid:durableId="404378430">
    <w:abstractNumId w:val="34"/>
  </w:num>
  <w:num w:numId="16" w16cid:durableId="947155432">
    <w:abstractNumId w:val="24"/>
  </w:num>
  <w:num w:numId="17" w16cid:durableId="854425257">
    <w:abstractNumId w:val="7"/>
  </w:num>
  <w:num w:numId="18" w16cid:durableId="1776245990">
    <w:abstractNumId w:val="47"/>
  </w:num>
  <w:num w:numId="19" w16cid:durableId="657686328">
    <w:abstractNumId w:val="19"/>
  </w:num>
  <w:num w:numId="20" w16cid:durableId="1713381639">
    <w:abstractNumId w:val="13"/>
  </w:num>
  <w:num w:numId="21" w16cid:durableId="1231430368">
    <w:abstractNumId w:val="44"/>
  </w:num>
  <w:num w:numId="22" w16cid:durableId="148714491">
    <w:abstractNumId w:val="46"/>
  </w:num>
  <w:num w:numId="23" w16cid:durableId="1217350218">
    <w:abstractNumId w:val="10"/>
  </w:num>
  <w:num w:numId="24" w16cid:durableId="739182771">
    <w:abstractNumId w:val="11"/>
  </w:num>
  <w:num w:numId="25" w16cid:durableId="1834877140">
    <w:abstractNumId w:val="12"/>
  </w:num>
  <w:num w:numId="26" w16cid:durableId="1040787974">
    <w:abstractNumId w:val="22"/>
  </w:num>
  <w:num w:numId="27" w16cid:durableId="1458335797">
    <w:abstractNumId w:val="21"/>
  </w:num>
  <w:num w:numId="28" w16cid:durableId="1679038273">
    <w:abstractNumId w:val="31"/>
  </w:num>
  <w:num w:numId="29" w16cid:durableId="987127744">
    <w:abstractNumId w:val="16"/>
  </w:num>
  <w:num w:numId="30" w16cid:durableId="1687512761">
    <w:abstractNumId w:val="43"/>
  </w:num>
  <w:num w:numId="31" w16cid:durableId="239802005">
    <w:abstractNumId w:val="2"/>
  </w:num>
  <w:num w:numId="32" w16cid:durableId="1541504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3218391">
    <w:abstractNumId w:val="37"/>
  </w:num>
  <w:num w:numId="34" w16cid:durableId="409693755">
    <w:abstractNumId w:val="15"/>
  </w:num>
  <w:num w:numId="35" w16cid:durableId="619266347">
    <w:abstractNumId w:val="48"/>
  </w:num>
  <w:num w:numId="36" w16cid:durableId="1780490220">
    <w:abstractNumId w:val="14"/>
  </w:num>
  <w:num w:numId="37" w16cid:durableId="1268998173">
    <w:abstractNumId w:val="3"/>
  </w:num>
  <w:num w:numId="38" w16cid:durableId="596519232">
    <w:abstractNumId w:val="28"/>
  </w:num>
  <w:num w:numId="39" w16cid:durableId="1031956763">
    <w:abstractNumId w:val="27"/>
  </w:num>
  <w:num w:numId="40" w16cid:durableId="23412981">
    <w:abstractNumId w:val="45"/>
  </w:num>
  <w:num w:numId="41" w16cid:durableId="1269893845">
    <w:abstractNumId w:val="40"/>
  </w:num>
  <w:num w:numId="42" w16cid:durableId="1199856060">
    <w:abstractNumId w:val="26"/>
  </w:num>
  <w:num w:numId="43" w16cid:durableId="201331805">
    <w:abstractNumId w:val="33"/>
  </w:num>
  <w:num w:numId="44" w16cid:durableId="1547256408">
    <w:abstractNumId w:val="20"/>
  </w:num>
  <w:num w:numId="45" w16cid:durableId="707951332">
    <w:abstractNumId w:val="23"/>
  </w:num>
  <w:num w:numId="46" w16cid:durableId="1144615568">
    <w:abstractNumId w:val="18"/>
  </w:num>
  <w:num w:numId="47" w16cid:durableId="1228805694">
    <w:abstractNumId w:val="8"/>
  </w:num>
  <w:num w:numId="48" w16cid:durableId="1991399815">
    <w:abstractNumId w:val="0"/>
  </w:num>
  <w:num w:numId="49" w16cid:durableId="1790974053">
    <w:abstractNumId w:val="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8E6CC5"/>
    <w:rsid w:val="00001353"/>
    <w:rsid w:val="000018E5"/>
    <w:rsid w:val="00001FB6"/>
    <w:rsid w:val="00002CA3"/>
    <w:rsid w:val="00002E60"/>
    <w:rsid w:val="00004441"/>
    <w:rsid w:val="00004C9D"/>
    <w:rsid w:val="0000512C"/>
    <w:rsid w:val="00005543"/>
    <w:rsid w:val="000073AC"/>
    <w:rsid w:val="00007A82"/>
    <w:rsid w:val="00013FA9"/>
    <w:rsid w:val="000146CA"/>
    <w:rsid w:val="000162F8"/>
    <w:rsid w:val="00020552"/>
    <w:rsid w:val="00022003"/>
    <w:rsid w:val="0002551F"/>
    <w:rsid w:val="0002584F"/>
    <w:rsid w:val="00025E82"/>
    <w:rsid w:val="00030C1A"/>
    <w:rsid w:val="000321C5"/>
    <w:rsid w:val="00033A9B"/>
    <w:rsid w:val="0003473B"/>
    <w:rsid w:val="00037BB0"/>
    <w:rsid w:val="000407EE"/>
    <w:rsid w:val="00040900"/>
    <w:rsid w:val="00041E1B"/>
    <w:rsid w:val="00042BD1"/>
    <w:rsid w:val="00042D47"/>
    <w:rsid w:val="0004374E"/>
    <w:rsid w:val="00043ED8"/>
    <w:rsid w:val="00044714"/>
    <w:rsid w:val="00044EC4"/>
    <w:rsid w:val="00045B83"/>
    <w:rsid w:val="00045D9E"/>
    <w:rsid w:val="0004692F"/>
    <w:rsid w:val="000472C7"/>
    <w:rsid w:val="00052A1C"/>
    <w:rsid w:val="000534F2"/>
    <w:rsid w:val="000537E1"/>
    <w:rsid w:val="000557FD"/>
    <w:rsid w:val="0005591D"/>
    <w:rsid w:val="00055CA1"/>
    <w:rsid w:val="00056A13"/>
    <w:rsid w:val="000624E5"/>
    <w:rsid w:val="000645C1"/>
    <w:rsid w:val="00065090"/>
    <w:rsid w:val="000650BA"/>
    <w:rsid w:val="00065375"/>
    <w:rsid w:val="000663C8"/>
    <w:rsid w:val="000663DE"/>
    <w:rsid w:val="00066654"/>
    <w:rsid w:val="00066F55"/>
    <w:rsid w:val="00067319"/>
    <w:rsid w:val="00070AE4"/>
    <w:rsid w:val="00070C00"/>
    <w:rsid w:val="00071E55"/>
    <w:rsid w:val="00073393"/>
    <w:rsid w:val="00073589"/>
    <w:rsid w:val="00074589"/>
    <w:rsid w:val="00075F20"/>
    <w:rsid w:val="00076C96"/>
    <w:rsid w:val="00081127"/>
    <w:rsid w:val="000817D1"/>
    <w:rsid w:val="00083C90"/>
    <w:rsid w:val="00085C9A"/>
    <w:rsid w:val="00085CB7"/>
    <w:rsid w:val="000865F6"/>
    <w:rsid w:val="00086787"/>
    <w:rsid w:val="00086B90"/>
    <w:rsid w:val="0009100D"/>
    <w:rsid w:val="00091B2B"/>
    <w:rsid w:val="00095C7F"/>
    <w:rsid w:val="00096949"/>
    <w:rsid w:val="000A50EC"/>
    <w:rsid w:val="000A5D32"/>
    <w:rsid w:val="000A7904"/>
    <w:rsid w:val="000A7F1B"/>
    <w:rsid w:val="000B007B"/>
    <w:rsid w:val="000B1C06"/>
    <w:rsid w:val="000B4516"/>
    <w:rsid w:val="000B56A8"/>
    <w:rsid w:val="000B578B"/>
    <w:rsid w:val="000B6B12"/>
    <w:rsid w:val="000B7587"/>
    <w:rsid w:val="000B76AA"/>
    <w:rsid w:val="000C4038"/>
    <w:rsid w:val="000C62E1"/>
    <w:rsid w:val="000C64C5"/>
    <w:rsid w:val="000C7459"/>
    <w:rsid w:val="000C7EC4"/>
    <w:rsid w:val="000D26EA"/>
    <w:rsid w:val="000D280E"/>
    <w:rsid w:val="000D2931"/>
    <w:rsid w:val="000D2ACF"/>
    <w:rsid w:val="000D3C16"/>
    <w:rsid w:val="000D3E27"/>
    <w:rsid w:val="000D65CB"/>
    <w:rsid w:val="000D6FF0"/>
    <w:rsid w:val="000D7413"/>
    <w:rsid w:val="000E097B"/>
    <w:rsid w:val="000E19A1"/>
    <w:rsid w:val="000E3AD1"/>
    <w:rsid w:val="000E4C30"/>
    <w:rsid w:val="000E4C79"/>
    <w:rsid w:val="000E6AE7"/>
    <w:rsid w:val="000F14D4"/>
    <w:rsid w:val="000F16B7"/>
    <w:rsid w:val="000F1714"/>
    <w:rsid w:val="000F3372"/>
    <w:rsid w:val="000F5CC9"/>
    <w:rsid w:val="000F619D"/>
    <w:rsid w:val="000F6C77"/>
    <w:rsid w:val="000F6D36"/>
    <w:rsid w:val="000F706B"/>
    <w:rsid w:val="000F7A8A"/>
    <w:rsid w:val="000F7AC6"/>
    <w:rsid w:val="000F7B9D"/>
    <w:rsid w:val="001012EB"/>
    <w:rsid w:val="00101A79"/>
    <w:rsid w:val="00102F54"/>
    <w:rsid w:val="00104A3D"/>
    <w:rsid w:val="0010588C"/>
    <w:rsid w:val="001059AA"/>
    <w:rsid w:val="001060B2"/>
    <w:rsid w:val="00107519"/>
    <w:rsid w:val="00107DA7"/>
    <w:rsid w:val="00110972"/>
    <w:rsid w:val="00111035"/>
    <w:rsid w:val="001114FC"/>
    <w:rsid w:val="001119E8"/>
    <w:rsid w:val="001153C0"/>
    <w:rsid w:val="00115908"/>
    <w:rsid w:val="00115999"/>
    <w:rsid w:val="00117E63"/>
    <w:rsid w:val="00121A6D"/>
    <w:rsid w:val="00122A1C"/>
    <w:rsid w:val="00124B80"/>
    <w:rsid w:val="00125D98"/>
    <w:rsid w:val="00130A0B"/>
    <w:rsid w:val="00131958"/>
    <w:rsid w:val="0013196C"/>
    <w:rsid w:val="00132857"/>
    <w:rsid w:val="0013296D"/>
    <w:rsid w:val="001330D9"/>
    <w:rsid w:val="00133D02"/>
    <w:rsid w:val="00134E53"/>
    <w:rsid w:val="00135982"/>
    <w:rsid w:val="001370AF"/>
    <w:rsid w:val="001374E9"/>
    <w:rsid w:val="001375F2"/>
    <w:rsid w:val="00140655"/>
    <w:rsid w:val="001407FD"/>
    <w:rsid w:val="00140907"/>
    <w:rsid w:val="001432B6"/>
    <w:rsid w:val="00145191"/>
    <w:rsid w:val="00145FC2"/>
    <w:rsid w:val="00146128"/>
    <w:rsid w:val="00150CE3"/>
    <w:rsid w:val="00151089"/>
    <w:rsid w:val="0015390C"/>
    <w:rsid w:val="00154035"/>
    <w:rsid w:val="00154D21"/>
    <w:rsid w:val="00155C9A"/>
    <w:rsid w:val="00156CF3"/>
    <w:rsid w:val="001626D8"/>
    <w:rsid w:val="0016279D"/>
    <w:rsid w:val="001629AD"/>
    <w:rsid w:val="00162C33"/>
    <w:rsid w:val="00163071"/>
    <w:rsid w:val="001632B5"/>
    <w:rsid w:val="001634C1"/>
    <w:rsid w:val="00164ADD"/>
    <w:rsid w:val="00164D2E"/>
    <w:rsid w:val="00164E38"/>
    <w:rsid w:val="00166D58"/>
    <w:rsid w:val="00172118"/>
    <w:rsid w:val="00172F89"/>
    <w:rsid w:val="00173F6E"/>
    <w:rsid w:val="00175B78"/>
    <w:rsid w:val="001806F9"/>
    <w:rsid w:val="00180C26"/>
    <w:rsid w:val="00182D60"/>
    <w:rsid w:val="00183C2D"/>
    <w:rsid w:val="001857F5"/>
    <w:rsid w:val="0018730D"/>
    <w:rsid w:val="00187CC4"/>
    <w:rsid w:val="00187D22"/>
    <w:rsid w:val="00193039"/>
    <w:rsid w:val="00193915"/>
    <w:rsid w:val="00193C98"/>
    <w:rsid w:val="00196505"/>
    <w:rsid w:val="001A0640"/>
    <w:rsid w:val="001A15BC"/>
    <w:rsid w:val="001A1A00"/>
    <w:rsid w:val="001A1FB4"/>
    <w:rsid w:val="001A2AAE"/>
    <w:rsid w:val="001A4A39"/>
    <w:rsid w:val="001A77D9"/>
    <w:rsid w:val="001B1CF4"/>
    <w:rsid w:val="001B4368"/>
    <w:rsid w:val="001B576D"/>
    <w:rsid w:val="001C2C2F"/>
    <w:rsid w:val="001C3BEA"/>
    <w:rsid w:val="001C54CE"/>
    <w:rsid w:val="001D0304"/>
    <w:rsid w:val="001D0651"/>
    <w:rsid w:val="001D1061"/>
    <w:rsid w:val="001D11DD"/>
    <w:rsid w:val="001D1C12"/>
    <w:rsid w:val="001D3306"/>
    <w:rsid w:val="001D42FD"/>
    <w:rsid w:val="001D4B4E"/>
    <w:rsid w:val="001D5065"/>
    <w:rsid w:val="001D5A21"/>
    <w:rsid w:val="001D5D96"/>
    <w:rsid w:val="001D6671"/>
    <w:rsid w:val="001E4510"/>
    <w:rsid w:val="001E52AE"/>
    <w:rsid w:val="001E6076"/>
    <w:rsid w:val="001E61AB"/>
    <w:rsid w:val="001E6DDA"/>
    <w:rsid w:val="001E7131"/>
    <w:rsid w:val="001F08F1"/>
    <w:rsid w:val="001F1A55"/>
    <w:rsid w:val="001F3187"/>
    <w:rsid w:val="001F34EA"/>
    <w:rsid w:val="001F45B5"/>
    <w:rsid w:val="001F45E4"/>
    <w:rsid w:val="001F46B5"/>
    <w:rsid w:val="001F4BC0"/>
    <w:rsid w:val="001F549C"/>
    <w:rsid w:val="001F611C"/>
    <w:rsid w:val="001F6191"/>
    <w:rsid w:val="001F7028"/>
    <w:rsid w:val="001F76BC"/>
    <w:rsid w:val="00200215"/>
    <w:rsid w:val="00200F71"/>
    <w:rsid w:val="00203ABC"/>
    <w:rsid w:val="00203B36"/>
    <w:rsid w:val="00205F08"/>
    <w:rsid w:val="0021069D"/>
    <w:rsid w:val="00212036"/>
    <w:rsid w:val="00213235"/>
    <w:rsid w:val="002135F6"/>
    <w:rsid w:val="00214066"/>
    <w:rsid w:val="00214CAA"/>
    <w:rsid w:val="00216728"/>
    <w:rsid w:val="00217785"/>
    <w:rsid w:val="002178DC"/>
    <w:rsid w:val="00217C5D"/>
    <w:rsid w:val="002211D6"/>
    <w:rsid w:val="00222904"/>
    <w:rsid w:val="002252D7"/>
    <w:rsid w:val="00226A4B"/>
    <w:rsid w:val="00232121"/>
    <w:rsid w:val="0023394D"/>
    <w:rsid w:val="00234332"/>
    <w:rsid w:val="002351B1"/>
    <w:rsid w:val="00235A75"/>
    <w:rsid w:val="00235ADF"/>
    <w:rsid w:val="00235F27"/>
    <w:rsid w:val="002360C4"/>
    <w:rsid w:val="00237158"/>
    <w:rsid w:val="00242BEB"/>
    <w:rsid w:val="00245AB3"/>
    <w:rsid w:val="00246509"/>
    <w:rsid w:val="0024695E"/>
    <w:rsid w:val="00247CFA"/>
    <w:rsid w:val="0025036C"/>
    <w:rsid w:val="00252387"/>
    <w:rsid w:val="002529F3"/>
    <w:rsid w:val="00252B48"/>
    <w:rsid w:val="00253C82"/>
    <w:rsid w:val="00253C88"/>
    <w:rsid w:val="0025648F"/>
    <w:rsid w:val="00257BDB"/>
    <w:rsid w:val="0026125B"/>
    <w:rsid w:val="00261863"/>
    <w:rsid w:val="00261A38"/>
    <w:rsid w:val="00262059"/>
    <w:rsid w:val="00262939"/>
    <w:rsid w:val="00263630"/>
    <w:rsid w:val="002637E2"/>
    <w:rsid w:val="00264DA6"/>
    <w:rsid w:val="0026544F"/>
    <w:rsid w:val="0026556C"/>
    <w:rsid w:val="0026654B"/>
    <w:rsid w:val="00267017"/>
    <w:rsid w:val="00267E0C"/>
    <w:rsid w:val="00270248"/>
    <w:rsid w:val="002717FD"/>
    <w:rsid w:val="002725D2"/>
    <w:rsid w:val="002737FE"/>
    <w:rsid w:val="00274CEA"/>
    <w:rsid w:val="00275045"/>
    <w:rsid w:val="0028052C"/>
    <w:rsid w:val="002809CF"/>
    <w:rsid w:val="0028278E"/>
    <w:rsid w:val="00282CBC"/>
    <w:rsid w:val="0028385B"/>
    <w:rsid w:val="00283FB3"/>
    <w:rsid w:val="0028406D"/>
    <w:rsid w:val="00284534"/>
    <w:rsid w:val="0028454F"/>
    <w:rsid w:val="002909F0"/>
    <w:rsid w:val="00290AF3"/>
    <w:rsid w:val="00291C25"/>
    <w:rsid w:val="00292C8C"/>
    <w:rsid w:val="00292E47"/>
    <w:rsid w:val="00293916"/>
    <w:rsid w:val="00294E43"/>
    <w:rsid w:val="002957F6"/>
    <w:rsid w:val="002959D1"/>
    <w:rsid w:val="00296640"/>
    <w:rsid w:val="002972EA"/>
    <w:rsid w:val="00297439"/>
    <w:rsid w:val="002A1C77"/>
    <w:rsid w:val="002A2D84"/>
    <w:rsid w:val="002A4E49"/>
    <w:rsid w:val="002A54C1"/>
    <w:rsid w:val="002A5784"/>
    <w:rsid w:val="002A66B1"/>
    <w:rsid w:val="002A7261"/>
    <w:rsid w:val="002B2BD7"/>
    <w:rsid w:val="002B57AD"/>
    <w:rsid w:val="002B5A0E"/>
    <w:rsid w:val="002B690E"/>
    <w:rsid w:val="002B7B3E"/>
    <w:rsid w:val="002C022D"/>
    <w:rsid w:val="002C076D"/>
    <w:rsid w:val="002C0BB9"/>
    <w:rsid w:val="002C0CF7"/>
    <w:rsid w:val="002C596B"/>
    <w:rsid w:val="002C5995"/>
    <w:rsid w:val="002C5E50"/>
    <w:rsid w:val="002C6877"/>
    <w:rsid w:val="002C78F2"/>
    <w:rsid w:val="002C79B6"/>
    <w:rsid w:val="002D02E7"/>
    <w:rsid w:val="002D1079"/>
    <w:rsid w:val="002D1D27"/>
    <w:rsid w:val="002D269D"/>
    <w:rsid w:val="002D28C5"/>
    <w:rsid w:val="002D2F15"/>
    <w:rsid w:val="002D4C7D"/>
    <w:rsid w:val="002D4F66"/>
    <w:rsid w:val="002D5321"/>
    <w:rsid w:val="002D5932"/>
    <w:rsid w:val="002E0134"/>
    <w:rsid w:val="002E0188"/>
    <w:rsid w:val="002E0633"/>
    <w:rsid w:val="002E0A93"/>
    <w:rsid w:val="002E1E7D"/>
    <w:rsid w:val="002E5E73"/>
    <w:rsid w:val="002E7E28"/>
    <w:rsid w:val="002E7F57"/>
    <w:rsid w:val="002F0048"/>
    <w:rsid w:val="002F184B"/>
    <w:rsid w:val="002F431F"/>
    <w:rsid w:val="002F4B81"/>
    <w:rsid w:val="002F4F88"/>
    <w:rsid w:val="002F6F2D"/>
    <w:rsid w:val="0030133D"/>
    <w:rsid w:val="003017FF"/>
    <w:rsid w:val="003048BC"/>
    <w:rsid w:val="0030493F"/>
    <w:rsid w:val="00306CC8"/>
    <w:rsid w:val="0030727C"/>
    <w:rsid w:val="00310601"/>
    <w:rsid w:val="00310D92"/>
    <w:rsid w:val="0031127C"/>
    <w:rsid w:val="00313A24"/>
    <w:rsid w:val="00313F23"/>
    <w:rsid w:val="00314B12"/>
    <w:rsid w:val="003150D0"/>
    <w:rsid w:val="003157B6"/>
    <w:rsid w:val="00316696"/>
    <w:rsid w:val="00317BC1"/>
    <w:rsid w:val="00317C74"/>
    <w:rsid w:val="0032037C"/>
    <w:rsid w:val="00320F77"/>
    <w:rsid w:val="00324138"/>
    <w:rsid w:val="00324391"/>
    <w:rsid w:val="003273CB"/>
    <w:rsid w:val="00327A03"/>
    <w:rsid w:val="0033346E"/>
    <w:rsid w:val="003348A5"/>
    <w:rsid w:val="003358C7"/>
    <w:rsid w:val="00340037"/>
    <w:rsid w:val="003401FE"/>
    <w:rsid w:val="00342159"/>
    <w:rsid w:val="0034226B"/>
    <w:rsid w:val="00342F19"/>
    <w:rsid w:val="0034332A"/>
    <w:rsid w:val="003442CD"/>
    <w:rsid w:val="0034470C"/>
    <w:rsid w:val="00345284"/>
    <w:rsid w:val="00345540"/>
    <w:rsid w:val="00350325"/>
    <w:rsid w:val="00350785"/>
    <w:rsid w:val="00350E77"/>
    <w:rsid w:val="003513F2"/>
    <w:rsid w:val="00351CAF"/>
    <w:rsid w:val="003521EC"/>
    <w:rsid w:val="003545C6"/>
    <w:rsid w:val="00355548"/>
    <w:rsid w:val="00355F59"/>
    <w:rsid w:val="00356B97"/>
    <w:rsid w:val="00357E66"/>
    <w:rsid w:val="00360695"/>
    <w:rsid w:val="00361FDE"/>
    <w:rsid w:val="00362B1D"/>
    <w:rsid w:val="0036362E"/>
    <w:rsid w:val="0036400A"/>
    <w:rsid w:val="00366B70"/>
    <w:rsid w:val="00366CEC"/>
    <w:rsid w:val="00367A7D"/>
    <w:rsid w:val="00372174"/>
    <w:rsid w:val="00372214"/>
    <w:rsid w:val="00372A3A"/>
    <w:rsid w:val="00372BE6"/>
    <w:rsid w:val="00373D3E"/>
    <w:rsid w:val="00375CD9"/>
    <w:rsid w:val="00376065"/>
    <w:rsid w:val="0037609E"/>
    <w:rsid w:val="003760F6"/>
    <w:rsid w:val="0038140F"/>
    <w:rsid w:val="003815CF"/>
    <w:rsid w:val="0038310E"/>
    <w:rsid w:val="0038598E"/>
    <w:rsid w:val="00386157"/>
    <w:rsid w:val="00386B4D"/>
    <w:rsid w:val="0038789B"/>
    <w:rsid w:val="00387931"/>
    <w:rsid w:val="00390915"/>
    <w:rsid w:val="00391873"/>
    <w:rsid w:val="00391D4A"/>
    <w:rsid w:val="00392CA4"/>
    <w:rsid w:val="00393665"/>
    <w:rsid w:val="0039623B"/>
    <w:rsid w:val="003A0621"/>
    <w:rsid w:val="003A0A14"/>
    <w:rsid w:val="003A0D0A"/>
    <w:rsid w:val="003A1892"/>
    <w:rsid w:val="003A1C15"/>
    <w:rsid w:val="003A1D9F"/>
    <w:rsid w:val="003A23CE"/>
    <w:rsid w:val="003A23FD"/>
    <w:rsid w:val="003A5F23"/>
    <w:rsid w:val="003B2EEE"/>
    <w:rsid w:val="003B3724"/>
    <w:rsid w:val="003B38DA"/>
    <w:rsid w:val="003B3925"/>
    <w:rsid w:val="003B4BAA"/>
    <w:rsid w:val="003B4DA4"/>
    <w:rsid w:val="003B589C"/>
    <w:rsid w:val="003B5B88"/>
    <w:rsid w:val="003B6717"/>
    <w:rsid w:val="003C038F"/>
    <w:rsid w:val="003C17AA"/>
    <w:rsid w:val="003C230C"/>
    <w:rsid w:val="003C2C2A"/>
    <w:rsid w:val="003C38A8"/>
    <w:rsid w:val="003C59E4"/>
    <w:rsid w:val="003C610E"/>
    <w:rsid w:val="003D0E1C"/>
    <w:rsid w:val="003D4176"/>
    <w:rsid w:val="003D6E9C"/>
    <w:rsid w:val="003D7F1C"/>
    <w:rsid w:val="003E04D8"/>
    <w:rsid w:val="003E7694"/>
    <w:rsid w:val="003F04FE"/>
    <w:rsid w:val="003F174A"/>
    <w:rsid w:val="003F1A1C"/>
    <w:rsid w:val="003F3BD2"/>
    <w:rsid w:val="003F482A"/>
    <w:rsid w:val="003F4AD3"/>
    <w:rsid w:val="003F5C3D"/>
    <w:rsid w:val="003F73BD"/>
    <w:rsid w:val="003F7C0C"/>
    <w:rsid w:val="003F7C6D"/>
    <w:rsid w:val="00400070"/>
    <w:rsid w:val="00401C6D"/>
    <w:rsid w:val="004021F9"/>
    <w:rsid w:val="00402245"/>
    <w:rsid w:val="00403792"/>
    <w:rsid w:val="004054E0"/>
    <w:rsid w:val="00405F40"/>
    <w:rsid w:val="00406E8A"/>
    <w:rsid w:val="00407BFF"/>
    <w:rsid w:val="00410D2D"/>
    <w:rsid w:val="00410E45"/>
    <w:rsid w:val="00410FCD"/>
    <w:rsid w:val="00412525"/>
    <w:rsid w:val="0041275F"/>
    <w:rsid w:val="00412A3F"/>
    <w:rsid w:val="004137B4"/>
    <w:rsid w:val="00413ECE"/>
    <w:rsid w:val="00414A40"/>
    <w:rsid w:val="00417249"/>
    <w:rsid w:val="00420DB2"/>
    <w:rsid w:val="00422C0D"/>
    <w:rsid w:val="00423A34"/>
    <w:rsid w:val="004241B6"/>
    <w:rsid w:val="00424C82"/>
    <w:rsid w:val="004272E7"/>
    <w:rsid w:val="004277E8"/>
    <w:rsid w:val="0043165C"/>
    <w:rsid w:val="0043276D"/>
    <w:rsid w:val="00432CDF"/>
    <w:rsid w:val="00433CC2"/>
    <w:rsid w:val="004345E8"/>
    <w:rsid w:val="00434AD1"/>
    <w:rsid w:val="00434F3C"/>
    <w:rsid w:val="00435063"/>
    <w:rsid w:val="004350DB"/>
    <w:rsid w:val="004376CA"/>
    <w:rsid w:val="00437982"/>
    <w:rsid w:val="00440D2C"/>
    <w:rsid w:val="004420D2"/>
    <w:rsid w:val="00443BB8"/>
    <w:rsid w:val="00444B52"/>
    <w:rsid w:val="00445BF3"/>
    <w:rsid w:val="00447610"/>
    <w:rsid w:val="00452391"/>
    <w:rsid w:val="0045327F"/>
    <w:rsid w:val="0045374A"/>
    <w:rsid w:val="004537AF"/>
    <w:rsid w:val="0045497D"/>
    <w:rsid w:val="004600AB"/>
    <w:rsid w:val="00461770"/>
    <w:rsid w:val="00461F60"/>
    <w:rsid w:val="00462A49"/>
    <w:rsid w:val="004638A0"/>
    <w:rsid w:val="004639D2"/>
    <w:rsid w:val="004668EB"/>
    <w:rsid w:val="00466CE3"/>
    <w:rsid w:val="00467FFC"/>
    <w:rsid w:val="00472A38"/>
    <w:rsid w:val="00472B5F"/>
    <w:rsid w:val="00472DA4"/>
    <w:rsid w:val="00473394"/>
    <w:rsid w:val="00473A9F"/>
    <w:rsid w:val="00474BE2"/>
    <w:rsid w:val="00474CB1"/>
    <w:rsid w:val="004766D7"/>
    <w:rsid w:val="00476C83"/>
    <w:rsid w:val="004770B2"/>
    <w:rsid w:val="0048082B"/>
    <w:rsid w:val="00481BC4"/>
    <w:rsid w:val="00482814"/>
    <w:rsid w:val="00482F3A"/>
    <w:rsid w:val="004835E5"/>
    <w:rsid w:val="00483D5C"/>
    <w:rsid w:val="00484E8A"/>
    <w:rsid w:val="00486588"/>
    <w:rsid w:val="004872AC"/>
    <w:rsid w:val="00487672"/>
    <w:rsid w:val="004926EA"/>
    <w:rsid w:val="00492D0A"/>
    <w:rsid w:val="00492D9B"/>
    <w:rsid w:val="00493EFE"/>
    <w:rsid w:val="004951E6"/>
    <w:rsid w:val="00495337"/>
    <w:rsid w:val="00496F1C"/>
    <w:rsid w:val="00497149"/>
    <w:rsid w:val="00497179"/>
    <w:rsid w:val="00497E40"/>
    <w:rsid w:val="00497E4B"/>
    <w:rsid w:val="004A03B0"/>
    <w:rsid w:val="004A0776"/>
    <w:rsid w:val="004A082A"/>
    <w:rsid w:val="004A0C19"/>
    <w:rsid w:val="004A18A1"/>
    <w:rsid w:val="004A262B"/>
    <w:rsid w:val="004A2A65"/>
    <w:rsid w:val="004A5D89"/>
    <w:rsid w:val="004A7B47"/>
    <w:rsid w:val="004A7B64"/>
    <w:rsid w:val="004B0604"/>
    <w:rsid w:val="004B140E"/>
    <w:rsid w:val="004B1614"/>
    <w:rsid w:val="004B2DC1"/>
    <w:rsid w:val="004B2E4D"/>
    <w:rsid w:val="004B405D"/>
    <w:rsid w:val="004B4137"/>
    <w:rsid w:val="004B4991"/>
    <w:rsid w:val="004B5236"/>
    <w:rsid w:val="004B5AE1"/>
    <w:rsid w:val="004B6470"/>
    <w:rsid w:val="004B6FB1"/>
    <w:rsid w:val="004C0D4A"/>
    <w:rsid w:val="004C1075"/>
    <w:rsid w:val="004C17D4"/>
    <w:rsid w:val="004C37DC"/>
    <w:rsid w:val="004C47AB"/>
    <w:rsid w:val="004C5DB8"/>
    <w:rsid w:val="004C7D51"/>
    <w:rsid w:val="004D3F30"/>
    <w:rsid w:val="004D4DC9"/>
    <w:rsid w:val="004D537D"/>
    <w:rsid w:val="004D7EFC"/>
    <w:rsid w:val="004E09AF"/>
    <w:rsid w:val="004E4AA4"/>
    <w:rsid w:val="004E4D78"/>
    <w:rsid w:val="004E5257"/>
    <w:rsid w:val="004E66E7"/>
    <w:rsid w:val="004E6D0D"/>
    <w:rsid w:val="004F0417"/>
    <w:rsid w:val="004F08A5"/>
    <w:rsid w:val="004F0D3A"/>
    <w:rsid w:val="004F14B2"/>
    <w:rsid w:val="004F2E77"/>
    <w:rsid w:val="004F5D95"/>
    <w:rsid w:val="004F626B"/>
    <w:rsid w:val="004F6E8B"/>
    <w:rsid w:val="004F7FA3"/>
    <w:rsid w:val="0050150D"/>
    <w:rsid w:val="005016CE"/>
    <w:rsid w:val="00504AAE"/>
    <w:rsid w:val="005055F2"/>
    <w:rsid w:val="00505778"/>
    <w:rsid w:val="005058F7"/>
    <w:rsid w:val="00505F5B"/>
    <w:rsid w:val="00506ACC"/>
    <w:rsid w:val="00506E75"/>
    <w:rsid w:val="00507092"/>
    <w:rsid w:val="00510773"/>
    <w:rsid w:val="00511795"/>
    <w:rsid w:val="0051185B"/>
    <w:rsid w:val="0051462B"/>
    <w:rsid w:val="00515279"/>
    <w:rsid w:val="005158E4"/>
    <w:rsid w:val="00515E45"/>
    <w:rsid w:val="00516695"/>
    <w:rsid w:val="00516A5F"/>
    <w:rsid w:val="00517049"/>
    <w:rsid w:val="005178D9"/>
    <w:rsid w:val="005212CB"/>
    <w:rsid w:val="0052152C"/>
    <w:rsid w:val="00522856"/>
    <w:rsid w:val="00522BD3"/>
    <w:rsid w:val="00523A3C"/>
    <w:rsid w:val="00524400"/>
    <w:rsid w:val="0052461E"/>
    <w:rsid w:val="00524FA4"/>
    <w:rsid w:val="005250C2"/>
    <w:rsid w:val="00526159"/>
    <w:rsid w:val="00527D71"/>
    <w:rsid w:val="00527FFD"/>
    <w:rsid w:val="00531684"/>
    <w:rsid w:val="00531757"/>
    <w:rsid w:val="005330FD"/>
    <w:rsid w:val="005371A4"/>
    <w:rsid w:val="00540EA1"/>
    <w:rsid w:val="005419DB"/>
    <w:rsid w:val="00541E7C"/>
    <w:rsid w:val="005425D0"/>
    <w:rsid w:val="00542678"/>
    <w:rsid w:val="00542C72"/>
    <w:rsid w:val="005451F1"/>
    <w:rsid w:val="005452E9"/>
    <w:rsid w:val="00546AFF"/>
    <w:rsid w:val="005510C8"/>
    <w:rsid w:val="005538E9"/>
    <w:rsid w:val="005548E3"/>
    <w:rsid w:val="00554E1F"/>
    <w:rsid w:val="00555B52"/>
    <w:rsid w:val="00556E25"/>
    <w:rsid w:val="0056064D"/>
    <w:rsid w:val="00560FEA"/>
    <w:rsid w:val="005629FB"/>
    <w:rsid w:val="005640AF"/>
    <w:rsid w:val="005643E7"/>
    <w:rsid w:val="00564C39"/>
    <w:rsid w:val="00571516"/>
    <w:rsid w:val="00571F3E"/>
    <w:rsid w:val="005743EA"/>
    <w:rsid w:val="005744D9"/>
    <w:rsid w:val="005751F4"/>
    <w:rsid w:val="00575732"/>
    <w:rsid w:val="00577461"/>
    <w:rsid w:val="00580757"/>
    <w:rsid w:val="0058085E"/>
    <w:rsid w:val="0058091F"/>
    <w:rsid w:val="0058210C"/>
    <w:rsid w:val="005821B9"/>
    <w:rsid w:val="00582F56"/>
    <w:rsid w:val="00583828"/>
    <w:rsid w:val="00583A02"/>
    <w:rsid w:val="00583AD2"/>
    <w:rsid w:val="005867E4"/>
    <w:rsid w:val="005870E1"/>
    <w:rsid w:val="00587568"/>
    <w:rsid w:val="00591100"/>
    <w:rsid w:val="00591D59"/>
    <w:rsid w:val="005938C7"/>
    <w:rsid w:val="00593A32"/>
    <w:rsid w:val="00595545"/>
    <w:rsid w:val="00595FF8"/>
    <w:rsid w:val="005A0A0D"/>
    <w:rsid w:val="005A2A38"/>
    <w:rsid w:val="005A4A6A"/>
    <w:rsid w:val="005A55E5"/>
    <w:rsid w:val="005A6A84"/>
    <w:rsid w:val="005B03B0"/>
    <w:rsid w:val="005B1732"/>
    <w:rsid w:val="005B342B"/>
    <w:rsid w:val="005B529D"/>
    <w:rsid w:val="005B57BE"/>
    <w:rsid w:val="005B5CE3"/>
    <w:rsid w:val="005B6797"/>
    <w:rsid w:val="005B6C01"/>
    <w:rsid w:val="005B78C0"/>
    <w:rsid w:val="005C0C8D"/>
    <w:rsid w:val="005C17E4"/>
    <w:rsid w:val="005C1FA2"/>
    <w:rsid w:val="005C27DE"/>
    <w:rsid w:val="005C2939"/>
    <w:rsid w:val="005C4099"/>
    <w:rsid w:val="005C616B"/>
    <w:rsid w:val="005D0DC9"/>
    <w:rsid w:val="005D0E2F"/>
    <w:rsid w:val="005D134C"/>
    <w:rsid w:val="005D14D1"/>
    <w:rsid w:val="005D3CE3"/>
    <w:rsid w:val="005D3D2F"/>
    <w:rsid w:val="005D5F67"/>
    <w:rsid w:val="005D710F"/>
    <w:rsid w:val="005E0539"/>
    <w:rsid w:val="005E1B76"/>
    <w:rsid w:val="005E450C"/>
    <w:rsid w:val="005E5D4B"/>
    <w:rsid w:val="005E730D"/>
    <w:rsid w:val="005F1621"/>
    <w:rsid w:val="005F28C7"/>
    <w:rsid w:val="005F4EDF"/>
    <w:rsid w:val="005F5A01"/>
    <w:rsid w:val="005F617B"/>
    <w:rsid w:val="005F65A9"/>
    <w:rsid w:val="005F6B73"/>
    <w:rsid w:val="005F77FE"/>
    <w:rsid w:val="0060104F"/>
    <w:rsid w:val="00602B64"/>
    <w:rsid w:val="00602F4D"/>
    <w:rsid w:val="0060379B"/>
    <w:rsid w:val="0060429F"/>
    <w:rsid w:val="006045E2"/>
    <w:rsid w:val="00604A4A"/>
    <w:rsid w:val="0060591B"/>
    <w:rsid w:val="0060650E"/>
    <w:rsid w:val="0060657A"/>
    <w:rsid w:val="0061091A"/>
    <w:rsid w:val="0061240F"/>
    <w:rsid w:val="006124C6"/>
    <w:rsid w:val="00615596"/>
    <w:rsid w:val="0061687B"/>
    <w:rsid w:val="006168AC"/>
    <w:rsid w:val="00623660"/>
    <w:rsid w:val="00624E1C"/>
    <w:rsid w:val="00625712"/>
    <w:rsid w:val="006257E7"/>
    <w:rsid w:val="0062679C"/>
    <w:rsid w:val="006272EC"/>
    <w:rsid w:val="006275BE"/>
    <w:rsid w:val="00633101"/>
    <w:rsid w:val="00633B57"/>
    <w:rsid w:val="00634AA5"/>
    <w:rsid w:val="00637442"/>
    <w:rsid w:val="00637A92"/>
    <w:rsid w:val="00640C1E"/>
    <w:rsid w:val="00641821"/>
    <w:rsid w:val="006439E3"/>
    <w:rsid w:val="00644427"/>
    <w:rsid w:val="00644693"/>
    <w:rsid w:val="00645381"/>
    <w:rsid w:val="00645820"/>
    <w:rsid w:val="0064662B"/>
    <w:rsid w:val="00650500"/>
    <w:rsid w:val="006510E9"/>
    <w:rsid w:val="00651D68"/>
    <w:rsid w:val="006527D4"/>
    <w:rsid w:val="00652E31"/>
    <w:rsid w:val="006541CC"/>
    <w:rsid w:val="00656501"/>
    <w:rsid w:val="00656C51"/>
    <w:rsid w:val="0065706B"/>
    <w:rsid w:val="006636FB"/>
    <w:rsid w:val="00663925"/>
    <w:rsid w:val="00665417"/>
    <w:rsid w:val="00665844"/>
    <w:rsid w:val="00665A18"/>
    <w:rsid w:val="00665CEC"/>
    <w:rsid w:val="00666C8C"/>
    <w:rsid w:val="006700CF"/>
    <w:rsid w:val="006709E7"/>
    <w:rsid w:val="00670A01"/>
    <w:rsid w:val="006728E8"/>
    <w:rsid w:val="006736C8"/>
    <w:rsid w:val="00676567"/>
    <w:rsid w:val="00676F77"/>
    <w:rsid w:val="00677C1F"/>
    <w:rsid w:val="00677CAF"/>
    <w:rsid w:val="00681FB6"/>
    <w:rsid w:val="0068376B"/>
    <w:rsid w:val="00686BE7"/>
    <w:rsid w:val="00691CD1"/>
    <w:rsid w:val="0069325B"/>
    <w:rsid w:val="00693322"/>
    <w:rsid w:val="0069580B"/>
    <w:rsid w:val="0069598F"/>
    <w:rsid w:val="006970FF"/>
    <w:rsid w:val="00697575"/>
    <w:rsid w:val="00697739"/>
    <w:rsid w:val="006A054E"/>
    <w:rsid w:val="006A0C01"/>
    <w:rsid w:val="006A1239"/>
    <w:rsid w:val="006A33D8"/>
    <w:rsid w:val="006A35D4"/>
    <w:rsid w:val="006A3BE1"/>
    <w:rsid w:val="006A4445"/>
    <w:rsid w:val="006A5961"/>
    <w:rsid w:val="006A5E47"/>
    <w:rsid w:val="006A6FED"/>
    <w:rsid w:val="006B01A7"/>
    <w:rsid w:val="006B075D"/>
    <w:rsid w:val="006B1053"/>
    <w:rsid w:val="006B1548"/>
    <w:rsid w:val="006B2242"/>
    <w:rsid w:val="006B61BA"/>
    <w:rsid w:val="006B7E62"/>
    <w:rsid w:val="006C16F6"/>
    <w:rsid w:val="006C1915"/>
    <w:rsid w:val="006C1BE1"/>
    <w:rsid w:val="006C263F"/>
    <w:rsid w:val="006C2E54"/>
    <w:rsid w:val="006C36CF"/>
    <w:rsid w:val="006C5092"/>
    <w:rsid w:val="006C59A6"/>
    <w:rsid w:val="006C637F"/>
    <w:rsid w:val="006C6EB4"/>
    <w:rsid w:val="006D00D2"/>
    <w:rsid w:val="006D0848"/>
    <w:rsid w:val="006D0B1A"/>
    <w:rsid w:val="006D206B"/>
    <w:rsid w:val="006D243F"/>
    <w:rsid w:val="006D2A3D"/>
    <w:rsid w:val="006D31A0"/>
    <w:rsid w:val="006D3DD2"/>
    <w:rsid w:val="006D4399"/>
    <w:rsid w:val="006D4FC2"/>
    <w:rsid w:val="006D71CB"/>
    <w:rsid w:val="006E02E9"/>
    <w:rsid w:val="006E02F6"/>
    <w:rsid w:val="006E09A3"/>
    <w:rsid w:val="006E169B"/>
    <w:rsid w:val="006E18E7"/>
    <w:rsid w:val="006E3DF9"/>
    <w:rsid w:val="006E5279"/>
    <w:rsid w:val="006E5889"/>
    <w:rsid w:val="006E5F9F"/>
    <w:rsid w:val="006F00A3"/>
    <w:rsid w:val="006F0A6B"/>
    <w:rsid w:val="006F0F39"/>
    <w:rsid w:val="006F2338"/>
    <w:rsid w:val="006F2B5D"/>
    <w:rsid w:val="006F4D04"/>
    <w:rsid w:val="006F5DBF"/>
    <w:rsid w:val="006F712B"/>
    <w:rsid w:val="006F78EE"/>
    <w:rsid w:val="00702389"/>
    <w:rsid w:val="00704511"/>
    <w:rsid w:val="00704B3C"/>
    <w:rsid w:val="00705798"/>
    <w:rsid w:val="007060DC"/>
    <w:rsid w:val="00706D4F"/>
    <w:rsid w:val="00707AC2"/>
    <w:rsid w:val="0071346A"/>
    <w:rsid w:val="00714337"/>
    <w:rsid w:val="00714946"/>
    <w:rsid w:val="00715AD8"/>
    <w:rsid w:val="00717239"/>
    <w:rsid w:val="0071797C"/>
    <w:rsid w:val="007204F8"/>
    <w:rsid w:val="00720891"/>
    <w:rsid w:val="007209CC"/>
    <w:rsid w:val="00721D7F"/>
    <w:rsid w:val="00722196"/>
    <w:rsid w:val="00723C57"/>
    <w:rsid w:val="00723CF4"/>
    <w:rsid w:val="007247C5"/>
    <w:rsid w:val="00725E3A"/>
    <w:rsid w:val="00725E7A"/>
    <w:rsid w:val="007268E9"/>
    <w:rsid w:val="00727B4C"/>
    <w:rsid w:val="00730C97"/>
    <w:rsid w:val="00732F77"/>
    <w:rsid w:val="00734D06"/>
    <w:rsid w:val="00735F7D"/>
    <w:rsid w:val="00737AE6"/>
    <w:rsid w:val="00740407"/>
    <w:rsid w:val="00740DC1"/>
    <w:rsid w:val="00741993"/>
    <w:rsid w:val="00746271"/>
    <w:rsid w:val="0074630B"/>
    <w:rsid w:val="0074667C"/>
    <w:rsid w:val="00746CE7"/>
    <w:rsid w:val="00746FB8"/>
    <w:rsid w:val="00747B1E"/>
    <w:rsid w:val="00747F81"/>
    <w:rsid w:val="007509DD"/>
    <w:rsid w:val="00750D4B"/>
    <w:rsid w:val="00752013"/>
    <w:rsid w:val="0075334B"/>
    <w:rsid w:val="00753894"/>
    <w:rsid w:val="0075393A"/>
    <w:rsid w:val="00755F89"/>
    <w:rsid w:val="007579C7"/>
    <w:rsid w:val="00757BB0"/>
    <w:rsid w:val="007626B0"/>
    <w:rsid w:val="0076316B"/>
    <w:rsid w:val="007635AE"/>
    <w:rsid w:val="007641E9"/>
    <w:rsid w:val="00764C18"/>
    <w:rsid w:val="00764C5C"/>
    <w:rsid w:val="00764DA2"/>
    <w:rsid w:val="007659E5"/>
    <w:rsid w:val="0077150E"/>
    <w:rsid w:val="00772964"/>
    <w:rsid w:val="00773EA5"/>
    <w:rsid w:val="0077598B"/>
    <w:rsid w:val="007764C2"/>
    <w:rsid w:val="00777235"/>
    <w:rsid w:val="00780D00"/>
    <w:rsid w:val="00781A9C"/>
    <w:rsid w:val="007822BF"/>
    <w:rsid w:val="00782DBE"/>
    <w:rsid w:val="00787370"/>
    <w:rsid w:val="0079012F"/>
    <w:rsid w:val="007912EE"/>
    <w:rsid w:val="0079149C"/>
    <w:rsid w:val="007928A3"/>
    <w:rsid w:val="00792A80"/>
    <w:rsid w:val="0079369C"/>
    <w:rsid w:val="007955D9"/>
    <w:rsid w:val="007973F1"/>
    <w:rsid w:val="0079745B"/>
    <w:rsid w:val="0079775F"/>
    <w:rsid w:val="007A0336"/>
    <w:rsid w:val="007A1F40"/>
    <w:rsid w:val="007A2F2D"/>
    <w:rsid w:val="007A404A"/>
    <w:rsid w:val="007A7914"/>
    <w:rsid w:val="007A7B8D"/>
    <w:rsid w:val="007B0C7C"/>
    <w:rsid w:val="007B18F3"/>
    <w:rsid w:val="007B3643"/>
    <w:rsid w:val="007B4027"/>
    <w:rsid w:val="007B4652"/>
    <w:rsid w:val="007B5AA3"/>
    <w:rsid w:val="007B61E4"/>
    <w:rsid w:val="007B76A8"/>
    <w:rsid w:val="007C136B"/>
    <w:rsid w:val="007C428C"/>
    <w:rsid w:val="007D6A56"/>
    <w:rsid w:val="007E0EF6"/>
    <w:rsid w:val="007E1BED"/>
    <w:rsid w:val="007E2A51"/>
    <w:rsid w:val="007E330E"/>
    <w:rsid w:val="007E3FAC"/>
    <w:rsid w:val="007E41D5"/>
    <w:rsid w:val="007E4CB1"/>
    <w:rsid w:val="007E5C1E"/>
    <w:rsid w:val="007E7E99"/>
    <w:rsid w:val="007F0115"/>
    <w:rsid w:val="007F1C5D"/>
    <w:rsid w:val="007F3002"/>
    <w:rsid w:val="007F316F"/>
    <w:rsid w:val="007F4761"/>
    <w:rsid w:val="007F49DE"/>
    <w:rsid w:val="007F5657"/>
    <w:rsid w:val="00801116"/>
    <w:rsid w:val="00801579"/>
    <w:rsid w:val="00802DAB"/>
    <w:rsid w:val="00803159"/>
    <w:rsid w:val="008042B2"/>
    <w:rsid w:val="008046FD"/>
    <w:rsid w:val="00807354"/>
    <w:rsid w:val="008073A9"/>
    <w:rsid w:val="00810370"/>
    <w:rsid w:val="00810698"/>
    <w:rsid w:val="00810D94"/>
    <w:rsid w:val="008110F3"/>
    <w:rsid w:val="008112AF"/>
    <w:rsid w:val="00811D58"/>
    <w:rsid w:val="008138B2"/>
    <w:rsid w:val="0081470F"/>
    <w:rsid w:val="008148A9"/>
    <w:rsid w:val="008159F7"/>
    <w:rsid w:val="00817072"/>
    <w:rsid w:val="00820A04"/>
    <w:rsid w:val="00822003"/>
    <w:rsid w:val="00822970"/>
    <w:rsid w:val="008234C0"/>
    <w:rsid w:val="00823C9E"/>
    <w:rsid w:val="00824380"/>
    <w:rsid w:val="0082486A"/>
    <w:rsid w:val="00827152"/>
    <w:rsid w:val="00827374"/>
    <w:rsid w:val="008276FE"/>
    <w:rsid w:val="00832F04"/>
    <w:rsid w:val="00833B8F"/>
    <w:rsid w:val="00834334"/>
    <w:rsid w:val="0083631C"/>
    <w:rsid w:val="00841473"/>
    <w:rsid w:val="008457AF"/>
    <w:rsid w:val="00845D99"/>
    <w:rsid w:val="008502FE"/>
    <w:rsid w:val="00850E64"/>
    <w:rsid w:val="00850F41"/>
    <w:rsid w:val="00851B92"/>
    <w:rsid w:val="00852320"/>
    <w:rsid w:val="0085294B"/>
    <w:rsid w:val="00854F44"/>
    <w:rsid w:val="00856A26"/>
    <w:rsid w:val="00857009"/>
    <w:rsid w:val="00861176"/>
    <w:rsid w:val="008641E2"/>
    <w:rsid w:val="00865811"/>
    <w:rsid w:val="00866409"/>
    <w:rsid w:val="00867360"/>
    <w:rsid w:val="00867D86"/>
    <w:rsid w:val="00870455"/>
    <w:rsid w:val="00871A16"/>
    <w:rsid w:val="0087336F"/>
    <w:rsid w:val="00873811"/>
    <w:rsid w:val="0087454F"/>
    <w:rsid w:val="00875C82"/>
    <w:rsid w:val="0087635B"/>
    <w:rsid w:val="008768C4"/>
    <w:rsid w:val="00877926"/>
    <w:rsid w:val="00880721"/>
    <w:rsid w:val="00881F42"/>
    <w:rsid w:val="00882142"/>
    <w:rsid w:val="00885043"/>
    <w:rsid w:val="00886089"/>
    <w:rsid w:val="0089038A"/>
    <w:rsid w:val="00890C19"/>
    <w:rsid w:val="008911E6"/>
    <w:rsid w:val="008937EB"/>
    <w:rsid w:val="0089459B"/>
    <w:rsid w:val="00896723"/>
    <w:rsid w:val="00896EBD"/>
    <w:rsid w:val="008A21B4"/>
    <w:rsid w:val="008A4E28"/>
    <w:rsid w:val="008A56EB"/>
    <w:rsid w:val="008A6692"/>
    <w:rsid w:val="008A6FBE"/>
    <w:rsid w:val="008B141A"/>
    <w:rsid w:val="008B1ACF"/>
    <w:rsid w:val="008B5AC4"/>
    <w:rsid w:val="008B6592"/>
    <w:rsid w:val="008B6DAD"/>
    <w:rsid w:val="008C11C6"/>
    <w:rsid w:val="008C2AC9"/>
    <w:rsid w:val="008C3ED8"/>
    <w:rsid w:val="008C40ED"/>
    <w:rsid w:val="008C42A6"/>
    <w:rsid w:val="008C4E9C"/>
    <w:rsid w:val="008C6D55"/>
    <w:rsid w:val="008C76B5"/>
    <w:rsid w:val="008D0E36"/>
    <w:rsid w:val="008D26B6"/>
    <w:rsid w:val="008D58FE"/>
    <w:rsid w:val="008D6059"/>
    <w:rsid w:val="008D6C9E"/>
    <w:rsid w:val="008D7949"/>
    <w:rsid w:val="008D7B11"/>
    <w:rsid w:val="008E0A11"/>
    <w:rsid w:val="008E1475"/>
    <w:rsid w:val="008E2CF9"/>
    <w:rsid w:val="008E3736"/>
    <w:rsid w:val="008E42D8"/>
    <w:rsid w:val="008E449B"/>
    <w:rsid w:val="008E4678"/>
    <w:rsid w:val="008E5C7B"/>
    <w:rsid w:val="008E60E8"/>
    <w:rsid w:val="008E6C51"/>
    <w:rsid w:val="008E6CC5"/>
    <w:rsid w:val="008E70BD"/>
    <w:rsid w:val="008E73EC"/>
    <w:rsid w:val="008E7855"/>
    <w:rsid w:val="008F0596"/>
    <w:rsid w:val="008F189C"/>
    <w:rsid w:val="008F1B42"/>
    <w:rsid w:val="008F1BBE"/>
    <w:rsid w:val="008F2B29"/>
    <w:rsid w:val="008F2E41"/>
    <w:rsid w:val="008F3E0A"/>
    <w:rsid w:val="008F450F"/>
    <w:rsid w:val="008F7B28"/>
    <w:rsid w:val="00900AB2"/>
    <w:rsid w:val="00902766"/>
    <w:rsid w:val="00905E38"/>
    <w:rsid w:val="00906246"/>
    <w:rsid w:val="009063FE"/>
    <w:rsid w:val="0090783D"/>
    <w:rsid w:val="00907C3B"/>
    <w:rsid w:val="00907E6B"/>
    <w:rsid w:val="00911E8D"/>
    <w:rsid w:val="00913930"/>
    <w:rsid w:val="009148EF"/>
    <w:rsid w:val="00914B68"/>
    <w:rsid w:val="00916EF2"/>
    <w:rsid w:val="0092121E"/>
    <w:rsid w:val="0092608B"/>
    <w:rsid w:val="009268F6"/>
    <w:rsid w:val="00926C09"/>
    <w:rsid w:val="009272FB"/>
    <w:rsid w:val="00930E40"/>
    <w:rsid w:val="00932A7A"/>
    <w:rsid w:val="009347CB"/>
    <w:rsid w:val="0093645F"/>
    <w:rsid w:val="0093650F"/>
    <w:rsid w:val="00936BA5"/>
    <w:rsid w:val="00936DEB"/>
    <w:rsid w:val="009370E4"/>
    <w:rsid w:val="00940013"/>
    <w:rsid w:val="009406B1"/>
    <w:rsid w:val="00942509"/>
    <w:rsid w:val="0094279A"/>
    <w:rsid w:val="00943362"/>
    <w:rsid w:val="00943C32"/>
    <w:rsid w:val="009443FC"/>
    <w:rsid w:val="00944EA0"/>
    <w:rsid w:val="00944FF8"/>
    <w:rsid w:val="009450C4"/>
    <w:rsid w:val="00945317"/>
    <w:rsid w:val="00945F6E"/>
    <w:rsid w:val="00946818"/>
    <w:rsid w:val="00946F39"/>
    <w:rsid w:val="00947C3C"/>
    <w:rsid w:val="00950A2E"/>
    <w:rsid w:val="00951A69"/>
    <w:rsid w:val="00953045"/>
    <w:rsid w:val="00953214"/>
    <w:rsid w:val="00953DFB"/>
    <w:rsid w:val="00953F1D"/>
    <w:rsid w:val="00954478"/>
    <w:rsid w:val="00954A45"/>
    <w:rsid w:val="009604B6"/>
    <w:rsid w:val="00961E36"/>
    <w:rsid w:val="00962470"/>
    <w:rsid w:val="00962A79"/>
    <w:rsid w:val="00962FF0"/>
    <w:rsid w:val="00964234"/>
    <w:rsid w:val="009650F1"/>
    <w:rsid w:val="009668AF"/>
    <w:rsid w:val="00966DE6"/>
    <w:rsid w:val="00967499"/>
    <w:rsid w:val="00971CC0"/>
    <w:rsid w:val="00971CD5"/>
    <w:rsid w:val="00972E85"/>
    <w:rsid w:val="00972F26"/>
    <w:rsid w:val="00973538"/>
    <w:rsid w:val="00974405"/>
    <w:rsid w:val="00977AED"/>
    <w:rsid w:val="0098063F"/>
    <w:rsid w:val="00980FEB"/>
    <w:rsid w:val="00982997"/>
    <w:rsid w:val="00983480"/>
    <w:rsid w:val="00983CA8"/>
    <w:rsid w:val="00984569"/>
    <w:rsid w:val="009849C2"/>
    <w:rsid w:val="009855D2"/>
    <w:rsid w:val="00986046"/>
    <w:rsid w:val="00991EF5"/>
    <w:rsid w:val="00991FAB"/>
    <w:rsid w:val="00992667"/>
    <w:rsid w:val="00992F0E"/>
    <w:rsid w:val="009934CD"/>
    <w:rsid w:val="009A3A42"/>
    <w:rsid w:val="009A56E3"/>
    <w:rsid w:val="009A6702"/>
    <w:rsid w:val="009A6ACA"/>
    <w:rsid w:val="009A7BB1"/>
    <w:rsid w:val="009B00D5"/>
    <w:rsid w:val="009B05D0"/>
    <w:rsid w:val="009B19AA"/>
    <w:rsid w:val="009B19C9"/>
    <w:rsid w:val="009B42D0"/>
    <w:rsid w:val="009B6AEF"/>
    <w:rsid w:val="009B77B8"/>
    <w:rsid w:val="009C020A"/>
    <w:rsid w:val="009C100D"/>
    <w:rsid w:val="009C2D25"/>
    <w:rsid w:val="009C33BD"/>
    <w:rsid w:val="009C5749"/>
    <w:rsid w:val="009C6E09"/>
    <w:rsid w:val="009D22B9"/>
    <w:rsid w:val="009D3E62"/>
    <w:rsid w:val="009D4223"/>
    <w:rsid w:val="009D5454"/>
    <w:rsid w:val="009D7586"/>
    <w:rsid w:val="009E03E3"/>
    <w:rsid w:val="009E1D34"/>
    <w:rsid w:val="009E371F"/>
    <w:rsid w:val="009F02D5"/>
    <w:rsid w:val="009F1712"/>
    <w:rsid w:val="009F2685"/>
    <w:rsid w:val="009F285D"/>
    <w:rsid w:val="009F4BB3"/>
    <w:rsid w:val="009F656A"/>
    <w:rsid w:val="009F6A16"/>
    <w:rsid w:val="00A0065B"/>
    <w:rsid w:val="00A006CA"/>
    <w:rsid w:val="00A007CD"/>
    <w:rsid w:val="00A01280"/>
    <w:rsid w:val="00A01984"/>
    <w:rsid w:val="00A02257"/>
    <w:rsid w:val="00A023F3"/>
    <w:rsid w:val="00A024D2"/>
    <w:rsid w:val="00A026A8"/>
    <w:rsid w:val="00A037F0"/>
    <w:rsid w:val="00A03BF4"/>
    <w:rsid w:val="00A05B02"/>
    <w:rsid w:val="00A112C8"/>
    <w:rsid w:val="00A11318"/>
    <w:rsid w:val="00A138ED"/>
    <w:rsid w:val="00A13C82"/>
    <w:rsid w:val="00A14BCE"/>
    <w:rsid w:val="00A15A03"/>
    <w:rsid w:val="00A2049F"/>
    <w:rsid w:val="00A26617"/>
    <w:rsid w:val="00A27271"/>
    <w:rsid w:val="00A272BC"/>
    <w:rsid w:val="00A3168F"/>
    <w:rsid w:val="00A34B82"/>
    <w:rsid w:val="00A36B4E"/>
    <w:rsid w:val="00A36E5B"/>
    <w:rsid w:val="00A3767F"/>
    <w:rsid w:val="00A406BE"/>
    <w:rsid w:val="00A41888"/>
    <w:rsid w:val="00A42C17"/>
    <w:rsid w:val="00A42DAE"/>
    <w:rsid w:val="00A438BD"/>
    <w:rsid w:val="00A45B25"/>
    <w:rsid w:val="00A465A1"/>
    <w:rsid w:val="00A46FEE"/>
    <w:rsid w:val="00A501F9"/>
    <w:rsid w:val="00A51A0E"/>
    <w:rsid w:val="00A51A35"/>
    <w:rsid w:val="00A51C6C"/>
    <w:rsid w:val="00A578A6"/>
    <w:rsid w:val="00A61137"/>
    <w:rsid w:val="00A614A3"/>
    <w:rsid w:val="00A61AF8"/>
    <w:rsid w:val="00A62360"/>
    <w:rsid w:val="00A632DD"/>
    <w:rsid w:val="00A633C0"/>
    <w:rsid w:val="00A63AF6"/>
    <w:rsid w:val="00A65995"/>
    <w:rsid w:val="00A66CF8"/>
    <w:rsid w:val="00A71455"/>
    <w:rsid w:val="00A71597"/>
    <w:rsid w:val="00A71F13"/>
    <w:rsid w:val="00A7247D"/>
    <w:rsid w:val="00A737F6"/>
    <w:rsid w:val="00A74AD7"/>
    <w:rsid w:val="00A75043"/>
    <w:rsid w:val="00A7574C"/>
    <w:rsid w:val="00A75A2E"/>
    <w:rsid w:val="00A7668A"/>
    <w:rsid w:val="00A7696C"/>
    <w:rsid w:val="00A7780F"/>
    <w:rsid w:val="00A8280C"/>
    <w:rsid w:val="00A83227"/>
    <w:rsid w:val="00A834AC"/>
    <w:rsid w:val="00A84E49"/>
    <w:rsid w:val="00A8715C"/>
    <w:rsid w:val="00A87FD8"/>
    <w:rsid w:val="00A9039F"/>
    <w:rsid w:val="00A911A4"/>
    <w:rsid w:val="00A9375B"/>
    <w:rsid w:val="00A948BF"/>
    <w:rsid w:val="00A950E5"/>
    <w:rsid w:val="00A95701"/>
    <w:rsid w:val="00A95A8E"/>
    <w:rsid w:val="00A960DF"/>
    <w:rsid w:val="00AA0724"/>
    <w:rsid w:val="00AA0CAA"/>
    <w:rsid w:val="00AA1172"/>
    <w:rsid w:val="00AA323E"/>
    <w:rsid w:val="00AA43FE"/>
    <w:rsid w:val="00AA4559"/>
    <w:rsid w:val="00AB00FD"/>
    <w:rsid w:val="00AB09CF"/>
    <w:rsid w:val="00AB0ACD"/>
    <w:rsid w:val="00AB10CE"/>
    <w:rsid w:val="00AB17AC"/>
    <w:rsid w:val="00AB19DD"/>
    <w:rsid w:val="00AB6132"/>
    <w:rsid w:val="00AB64D1"/>
    <w:rsid w:val="00AB675A"/>
    <w:rsid w:val="00AB6A65"/>
    <w:rsid w:val="00AB7E4A"/>
    <w:rsid w:val="00AC0296"/>
    <w:rsid w:val="00AC063A"/>
    <w:rsid w:val="00AC0AD8"/>
    <w:rsid w:val="00AC2489"/>
    <w:rsid w:val="00AC2BF3"/>
    <w:rsid w:val="00AC336C"/>
    <w:rsid w:val="00AC3CC7"/>
    <w:rsid w:val="00AC6305"/>
    <w:rsid w:val="00AD033D"/>
    <w:rsid w:val="00AD0401"/>
    <w:rsid w:val="00AD07BF"/>
    <w:rsid w:val="00AD1806"/>
    <w:rsid w:val="00AD1B90"/>
    <w:rsid w:val="00AD2CFE"/>
    <w:rsid w:val="00AD2E51"/>
    <w:rsid w:val="00AD41DD"/>
    <w:rsid w:val="00AD56C7"/>
    <w:rsid w:val="00AD6992"/>
    <w:rsid w:val="00AD7109"/>
    <w:rsid w:val="00AD7CA1"/>
    <w:rsid w:val="00AE2F6C"/>
    <w:rsid w:val="00AE395B"/>
    <w:rsid w:val="00AE474D"/>
    <w:rsid w:val="00AE4D0B"/>
    <w:rsid w:val="00AE593A"/>
    <w:rsid w:val="00AE5AB0"/>
    <w:rsid w:val="00AE7694"/>
    <w:rsid w:val="00AF0F72"/>
    <w:rsid w:val="00AF1BCC"/>
    <w:rsid w:val="00AF316F"/>
    <w:rsid w:val="00AF5EBF"/>
    <w:rsid w:val="00AF668C"/>
    <w:rsid w:val="00AF7220"/>
    <w:rsid w:val="00AF7AAF"/>
    <w:rsid w:val="00AF7D36"/>
    <w:rsid w:val="00B002A7"/>
    <w:rsid w:val="00B01276"/>
    <w:rsid w:val="00B02ED9"/>
    <w:rsid w:val="00B0355D"/>
    <w:rsid w:val="00B06080"/>
    <w:rsid w:val="00B06248"/>
    <w:rsid w:val="00B0649A"/>
    <w:rsid w:val="00B067ED"/>
    <w:rsid w:val="00B06DAA"/>
    <w:rsid w:val="00B07D5A"/>
    <w:rsid w:val="00B10B50"/>
    <w:rsid w:val="00B12084"/>
    <w:rsid w:val="00B12BB1"/>
    <w:rsid w:val="00B14679"/>
    <w:rsid w:val="00B146DC"/>
    <w:rsid w:val="00B14BC0"/>
    <w:rsid w:val="00B16027"/>
    <w:rsid w:val="00B16C57"/>
    <w:rsid w:val="00B17302"/>
    <w:rsid w:val="00B17F2D"/>
    <w:rsid w:val="00B20A4F"/>
    <w:rsid w:val="00B20DDB"/>
    <w:rsid w:val="00B222A5"/>
    <w:rsid w:val="00B22784"/>
    <w:rsid w:val="00B230D3"/>
    <w:rsid w:val="00B30797"/>
    <w:rsid w:val="00B31480"/>
    <w:rsid w:val="00B31A73"/>
    <w:rsid w:val="00B3389E"/>
    <w:rsid w:val="00B342AB"/>
    <w:rsid w:val="00B35393"/>
    <w:rsid w:val="00B3692B"/>
    <w:rsid w:val="00B36A6B"/>
    <w:rsid w:val="00B3700C"/>
    <w:rsid w:val="00B37EF5"/>
    <w:rsid w:val="00B42128"/>
    <w:rsid w:val="00B4254D"/>
    <w:rsid w:val="00B459DD"/>
    <w:rsid w:val="00B46AB4"/>
    <w:rsid w:val="00B46E07"/>
    <w:rsid w:val="00B47014"/>
    <w:rsid w:val="00B51ECB"/>
    <w:rsid w:val="00B521DE"/>
    <w:rsid w:val="00B52914"/>
    <w:rsid w:val="00B5378D"/>
    <w:rsid w:val="00B567CE"/>
    <w:rsid w:val="00B57DAA"/>
    <w:rsid w:val="00B60755"/>
    <w:rsid w:val="00B6194E"/>
    <w:rsid w:val="00B62409"/>
    <w:rsid w:val="00B624B8"/>
    <w:rsid w:val="00B63D23"/>
    <w:rsid w:val="00B647D5"/>
    <w:rsid w:val="00B65B9F"/>
    <w:rsid w:val="00B664DD"/>
    <w:rsid w:val="00B67D3C"/>
    <w:rsid w:val="00B71C11"/>
    <w:rsid w:val="00B7322F"/>
    <w:rsid w:val="00B76378"/>
    <w:rsid w:val="00B76736"/>
    <w:rsid w:val="00B77532"/>
    <w:rsid w:val="00B80517"/>
    <w:rsid w:val="00B80E8E"/>
    <w:rsid w:val="00B81D3A"/>
    <w:rsid w:val="00B83250"/>
    <w:rsid w:val="00B86230"/>
    <w:rsid w:val="00B86622"/>
    <w:rsid w:val="00B870C7"/>
    <w:rsid w:val="00B91C12"/>
    <w:rsid w:val="00B9266A"/>
    <w:rsid w:val="00B97B7E"/>
    <w:rsid w:val="00BA2BCB"/>
    <w:rsid w:val="00BA53EF"/>
    <w:rsid w:val="00BA66A0"/>
    <w:rsid w:val="00BA7B94"/>
    <w:rsid w:val="00BB0537"/>
    <w:rsid w:val="00BB0DB6"/>
    <w:rsid w:val="00BB0E0D"/>
    <w:rsid w:val="00BB1977"/>
    <w:rsid w:val="00BB20B2"/>
    <w:rsid w:val="00BB214F"/>
    <w:rsid w:val="00BB3755"/>
    <w:rsid w:val="00BB589A"/>
    <w:rsid w:val="00BB5C0D"/>
    <w:rsid w:val="00BB62BF"/>
    <w:rsid w:val="00BB6450"/>
    <w:rsid w:val="00BB6695"/>
    <w:rsid w:val="00BB7340"/>
    <w:rsid w:val="00BC1AD5"/>
    <w:rsid w:val="00BC1C22"/>
    <w:rsid w:val="00BC5299"/>
    <w:rsid w:val="00BC57F6"/>
    <w:rsid w:val="00BC6CF7"/>
    <w:rsid w:val="00BD07CC"/>
    <w:rsid w:val="00BD1348"/>
    <w:rsid w:val="00BD26AC"/>
    <w:rsid w:val="00BD2B46"/>
    <w:rsid w:val="00BD36BE"/>
    <w:rsid w:val="00BD3F30"/>
    <w:rsid w:val="00BD44FD"/>
    <w:rsid w:val="00BD65D2"/>
    <w:rsid w:val="00BE029C"/>
    <w:rsid w:val="00BE0355"/>
    <w:rsid w:val="00BE123A"/>
    <w:rsid w:val="00BE5451"/>
    <w:rsid w:val="00BE56BF"/>
    <w:rsid w:val="00BE689D"/>
    <w:rsid w:val="00BF020D"/>
    <w:rsid w:val="00BF16B2"/>
    <w:rsid w:val="00BF1841"/>
    <w:rsid w:val="00BF325A"/>
    <w:rsid w:val="00BF54AC"/>
    <w:rsid w:val="00BF6B94"/>
    <w:rsid w:val="00BF7296"/>
    <w:rsid w:val="00BF73E7"/>
    <w:rsid w:val="00C048C6"/>
    <w:rsid w:val="00C04CD7"/>
    <w:rsid w:val="00C05C81"/>
    <w:rsid w:val="00C05DA8"/>
    <w:rsid w:val="00C10AC3"/>
    <w:rsid w:val="00C10C23"/>
    <w:rsid w:val="00C1199A"/>
    <w:rsid w:val="00C11A46"/>
    <w:rsid w:val="00C1404D"/>
    <w:rsid w:val="00C20993"/>
    <w:rsid w:val="00C21107"/>
    <w:rsid w:val="00C21EC3"/>
    <w:rsid w:val="00C22AFD"/>
    <w:rsid w:val="00C230DE"/>
    <w:rsid w:val="00C238C3"/>
    <w:rsid w:val="00C23AD0"/>
    <w:rsid w:val="00C2460B"/>
    <w:rsid w:val="00C261BA"/>
    <w:rsid w:val="00C27310"/>
    <w:rsid w:val="00C27ABB"/>
    <w:rsid w:val="00C27BC7"/>
    <w:rsid w:val="00C3130E"/>
    <w:rsid w:val="00C31AB4"/>
    <w:rsid w:val="00C31D69"/>
    <w:rsid w:val="00C32200"/>
    <w:rsid w:val="00C3338D"/>
    <w:rsid w:val="00C3434A"/>
    <w:rsid w:val="00C349CC"/>
    <w:rsid w:val="00C371B0"/>
    <w:rsid w:val="00C42146"/>
    <w:rsid w:val="00C42676"/>
    <w:rsid w:val="00C4749D"/>
    <w:rsid w:val="00C4771F"/>
    <w:rsid w:val="00C47DE7"/>
    <w:rsid w:val="00C47FFB"/>
    <w:rsid w:val="00C501A8"/>
    <w:rsid w:val="00C501FD"/>
    <w:rsid w:val="00C50A6A"/>
    <w:rsid w:val="00C50ABF"/>
    <w:rsid w:val="00C50AFE"/>
    <w:rsid w:val="00C538B1"/>
    <w:rsid w:val="00C545B5"/>
    <w:rsid w:val="00C54757"/>
    <w:rsid w:val="00C55196"/>
    <w:rsid w:val="00C5546C"/>
    <w:rsid w:val="00C56A12"/>
    <w:rsid w:val="00C57337"/>
    <w:rsid w:val="00C574B9"/>
    <w:rsid w:val="00C57CB5"/>
    <w:rsid w:val="00C57CCD"/>
    <w:rsid w:val="00C6014B"/>
    <w:rsid w:val="00C6029C"/>
    <w:rsid w:val="00C60E8A"/>
    <w:rsid w:val="00C67101"/>
    <w:rsid w:val="00C67CD5"/>
    <w:rsid w:val="00C67D61"/>
    <w:rsid w:val="00C71C43"/>
    <w:rsid w:val="00C73C9D"/>
    <w:rsid w:val="00C74868"/>
    <w:rsid w:val="00C75FA5"/>
    <w:rsid w:val="00C77030"/>
    <w:rsid w:val="00C80CBC"/>
    <w:rsid w:val="00C83C2F"/>
    <w:rsid w:val="00C84345"/>
    <w:rsid w:val="00C848EB"/>
    <w:rsid w:val="00C865D4"/>
    <w:rsid w:val="00C872B3"/>
    <w:rsid w:val="00C9018F"/>
    <w:rsid w:val="00C91076"/>
    <w:rsid w:val="00C9388A"/>
    <w:rsid w:val="00C93D87"/>
    <w:rsid w:val="00CA07B9"/>
    <w:rsid w:val="00CA082A"/>
    <w:rsid w:val="00CA0F2E"/>
    <w:rsid w:val="00CA1C8C"/>
    <w:rsid w:val="00CA2E84"/>
    <w:rsid w:val="00CA3250"/>
    <w:rsid w:val="00CA57EB"/>
    <w:rsid w:val="00CA6057"/>
    <w:rsid w:val="00CA68DB"/>
    <w:rsid w:val="00CA702C"/>
    <w:rsid w:val="00CA76D6"/>
    <w:rsid w:val="00CB1556"/>
    <w:rsid w:val="00CB36FC"/>
    <w:rsid w:val="00CB3A96"/>
    <w:rsid w:val="00CB445A"/>
    <w:rsid w:val="00CB58F2"/>
    <w:rsid w:val="00CB652C"/>
    <w:rsid w:val="00CB73D6"/>
    <w:rsid w:val="00CC011F"/>
    <w:rsid w:val="00CC2FB6"/>
    <w:rsid w:val="00CC4DCF"/>
    <w:rsid w:val="00CC6C30"/>
    <w:rsid w:val="00CD0E3F"/>
    <w:rsid w:val="00CD104D"/>
    <w:rsid w:val="00CD1395"/>
    <w:rsid w:val="00CD22D6"/>
    <w:rsid w:val="00CD2569"/>
    <w:rsid w:val="00CD45F6"/>
    <w:rsid w:val="00CD4A32"/>
    <w:rsid w:val="00CD5E56"/>
    <w:rsid w:val="00CD6DE6"/>
    <w:rsid w:val="00CE2B38"/>
    <w:rsid w:val="00CE5678"/>
    <w:rsid w:val="00CE605C"/>
    <w:rsid w:val="00CE741C"/>
    <w:rsid w:val="00CE74AC"/>
    <w:rsid w:val="00CE787C"/>
    <w:rsid w:val="00CE7D03"/>
    <w:rsid w:val="00CF0517"/>
    <w:rsid w:val="00CF0697"/>
    <w:rsid w:val="00CF094A"/>
    <w:rsid w:val="00CF0A38"/>
    <w:rsid w:val="00CF31D5"/>
    <w:rsid w:val="00CF404D"/>
    <w:rsid w:val="00CF4231"/>
    <w:rsid w:val="00CF4CF7"/>
    <w:rsid w:val="00CF587A"/>
    <w:rsid w:val="00CF5EB9"/>
    <w:rsid w:val="00D00DD1"/>
    <w:rsid w:val="00D033F2"/>
    <w:rsid w:val="00D03A0B"/>
    <w:rsid w:val="00D04F7A"/>
    <w:rsid w:val="00D11671"/>
    <w:rsid w:val="00D13802"/>
    <w:rsid w:val="00D14471"/>
    <w:rsid w:val="00D14683"/>
    <w:rsid w:val="00D1578C"/>
    <w:rsid w:val="00D166E6"/>
    <w:rsid w:val="00D177DF"/>
    <w:rsid w:val="00D2036C"/>
    <w:rsid w:val="00D20C36"/>
    <w:rsid w:val="00D23601"/>
    <w:rsid w:val="00D2556E"/>
    <w:rsid w:val="00D2586D"/>
    <w:rsid w:val="00D27012"/>
    <w:rsid w:val="00D27CA9"/>
    <w:rsid w:val="00D27E71"/>
    <w:rsid w:val="00D30DE7"/>
    <w:rsid w:val="00D31649"/>
    <w:rsid w:val="00D31AC0"/>
    <w:rsid w:val="00D3269A"/>
    <w:rsid w:val="00D33126"/>
    <w:rsid w:val="00D33C0F"/>
    <w:rsid w:val="00D36725"/>
    <w:rsid w:val="00D36AF0"/>
    <w:rsid w:val="00D3707A"/>
    <w:rsid w:val="00D378DC"/>
    <w:rsid w:val="00D4036E"/>
    <w:rsid w:val="00D420FE"/>
    <w:rsid w:val="00D4220F"/>
    <w:rsid w:val="00D42F6E"/>
    <w:rsid w:val="00D47CC7"/>
    <w:rsid w:val="00D5174D"/>
    <w:rsid w:val="00D527D1"/>
    <w:rsid w:val="00D5351A"/>
    <w:rsid w:val="00D5525C"/>
    <w:rsid w:val="00D57359"/>
    <w:rsid w:val="00D60E62"/>
    <w:rsid w:val="00D6161B"/>
    <w:rsid w:val="00D622A6"/>
    <w:rsid w:val="00D62B54"/>
    <w:rsid w:val="00D6453E"/>
    <w:rsid w:val="00D64EC2"/>
    <w:rsid w:val="00D70442"/>
    <w:rsid w:val="00D71C59"/>
    <w:rsid w:val="00D76457"/>
    <w:rsid w:val="00D7652E"/>
    <w:rsid w:val="00D76D8A"/>
    <w:rsid w:val="00D772E3"/>
    <w:rsid w:val="00D77C73"/>
    <w:rsid w:val="00D8024F"/>
    <w:rsid w:val="00D8102D"/>
    <w:rsid w:val="00D8207C"/>
    <w:rsid w:val="00D8441A"/>
    <w:rsid w:val="00D90E91"/>
    <w:rsid w:val="00D9138A"/>
    <w:rsid w:val="00D91BFA"/>
    <w:rsid w:val="00D921DD"/>
    <w:rsid w:val="00D922CA"/>
    <w:rsid w:val="00D92E33"/>
    <w:rsid w:val="00D94C29"/>
    <w:rsid w:val="00D95D91"/>
    <w:rsid w:val="00D96EC2"/>
    <w:rsid w:val="00D97144"/>
    <w:rsid w:val="00D97531"/>
    <w:rsid w:val="00DA2113"/>
    <w:rsid w:val="00DA6D2C"/>
    <w:rsid w:val="00DB0F0E"/>
    <w:rsid w:val="00DB1226"/>
    <w:rsid w:val="00DB3C0B"/>
    <w:rsid w:val="00DB42AA"/>
    <w:rsid w:val="00DB6654"/>
    <w:rsid w:val="00DB6CC1"/>
    <w:rsid w:val="00DC234B"/>
    <w:rsid w:val="00DC25B2"/>
    <w:rsid w:val="00DC4909"/>
    <w:rsid w:val="00DC4ECE"/>
    <w:rsid w:val="00DC6328"/>
    <w:rsid w:val="00DC6334"/>
    <w:rsid w:val="00DC7F14"/>
    <w:rsid w:val="00DD0594"/>
    <w:rsid w:val="00DD27C1"/>
    <w:rsid w:val="00DD37BB"/>
    <w:rsid w:val="00DD584E"/>
    <w:rsid w:val="00DD5B20"/>
    <w:rsid w:val="00DD6040"/>
    <w:rsid w:val="00DE0D26"/>
    <w:rsid w:val="00DE3389"/>
    <w:rsid w:val="00DE3787"/>
    <w:rsid w:val="00DE3FCA"/>
    <w:rsid w:val="00DE40D0"/>
    <w:rsid w:val="00DE4F64"/>
    <w:rsid w:val="00DE7F7B"/>
    <w:rsid w:val="00DF1E4D"/>
    <w:rsid w:val="00DF314A"/>
    <w:rsid w:val="00DF3B27"/>
    <w:rsid w:val="00DF4ABF"/>
    <w:rsid w:val="00DF5436"/>
    <w:rsid w:val="00DF65DC"/>
    <w:rsid w:val="00DF7913"/>
    <w:rsid w:val="00E01689"/>
    <w:rsid w:val="00E0235B"/>
    <w:rsid w:val="00E03575"/>
    <w:rsid w:val="00E03613"/>
    <w:rsid w:val="00E0522A"/>
    <w:rsid w:val="00E0792C"/>
    <w:rsid w:val="00E12597"/>
    <w:rsid w:val="00E12DD3"/>
    <w:rsid w:val="00E145F5"/>
    <w:rsid w:val="00E14A00"/>
    <w:rsid w:val="00E161F0"/>
    <w:rsid w:val="00E162D7"/>
    <w:rsid w:val="00E20324"/>
    <w:rsid w:val="00E21C1A"/>
    <w:rsid w:val="00E21CAB"/>
    <w:rsid w:val="00E230A4"/>
    <w:rsid w:val="00E234ED"/>
    <w:rsid w:val="00E24794"/>
    <w:rsid w:val="00E24C13"/>
    <w:rsid w:val="00E24FB4"/>
    <w:rsid w:val="00E2555A"/>
    <w:rsid w:val="00E26FE0"/>
    <w:rsid w:val="00E27B94"/>
    <w:rsid w:val="00E27DAA"/>
    <w:rsid w:val="00E30A66"/>
    <w:rsid w:val="00E316A2"/>
    <w:rsid w:val="00E32DDD"/>
    <w:rsid w:val="00E33022"/>
    <w:rsid w:val="00E33D91"/>
    <w:rsid w:val="00E34389"/>
    <w:rsid w:val="00E34B99"/>
    <w:rsid w:val="00E34E77"/>
    <w:rsid w:val="00E37A3A"/>
    <w:rsid w:val="00E40058"/>
    <w:rsid w:val="00E4075C"/>
    <w:rsid w:val="00E422D6"/>
    <w:rsid w:val="00E426BA"/>
    <w:rsid w:val="00E42DE0"/>
    <w:rsid w:val="00E43044"/>
    <w:rsid w:val="00E46BB7"/>
    <w:rsid w:val="00E46EEE"/>
    <w:rsid w:val="00E47D88"/>
    <w:rsid w:val="00E50727"/>
    <w:rsid w:val="00E53673"/>
    <w:rsid w:val="00E53C37"/>
    <w:rsid w:val="00E54E57"/>
    <w:rsid w:val="00E555E3"/>
    <w:rsid w:val="00E56306"/>
    <w:rsid w:val="00E56BFC"/>
    <w:rsid w:val="00E5745E"/>
    <w:rsid w:val="00E57B93"/>
    <w:rsid w:val="00E605AD"/>
    <w:rsid w:val="00E617BB"/>
    <w:rsid w:val="00E63143"/>
    <w:rsid w:val="00E6419C"/>
    <w:rsid w:val="00E64764"/>
    <w:rsid w:val="00E64E76"/>
    <w:rsid w:val="00E66AAB"/>
    <w:rsid w:val="00E67C64"/>
    <w:rsid w:val="00E70DF9"/>
    <w:rsid w:val="00E71703"/>
    <w:rsid w:val="00E76ADB"/>
    <w:rsid w:val="00E76C90"/>
    <w:rsid w:val="00E77E9A"/>
    <w:rsid w:val="00E8020C"/>
    <w:rsid w:val="00E80957"/>
    <w:rsid w:val="00E819B5"/>
    <w:rsid w:val="00E82A0A"/>
    <w:rsid w:val="00E84549"/>
    <w:rsid w:val="00E874BA"/>
    <w:rsid w:val="00E90856"/>
    <w:rsid w:val="00E90CFE"/>
    <w:rsid w:val="00E90E28"/>
    <w:rsid w:val="00E93E05"/>
    <w:rsid w:val="00E94A24"/>
    <w:rsid w:val="00E94C35"/>
    <w:rsid w:val="00E953F6"/>
    <w:rsid w:val="00E9567D"/>
    <w:rsid w:val="00E96A57"/>
    <w:rsid w:val="00EA1C4D"/>
    <w:rsid w:val="00EA2A60"/>
    <w:rsid w:val="00EA5C43"/>
    <w:rsid w:val="00EA772B"/>
    <w:rsid w:val="00EA7AF5"/>
    <w:rsid w:val="00EB1D23"/>
    <w:rsid w:val="00EB24F8"/>
    <w:rsid w:val="00EB29DB"/>
    <w:rsid w:val="00EB31D1"/>
    <w:rsid w:val="00EB3C52"/>
    <w:rsid w:val="00EB4F0E"/>
    <w:rsid w:val="00EB54CB"/>
    <w:rsid w:val="00EB61D2"/>
    <w:rsid w:val="00EB702E"/>
    <w:rsid w:val="00EB70C9"/>
    <w:rsid w:val="00EB70DC"/>
    <w:rsid w:val="00EC1C3E"/>
    <w:rsid w:val="00EC32F6"/>
    <w:rsid w:val="00EC4659"/>
    <w:rsid w:val="00EC5354"/>
    <w:rsid w:val="00EC6550"/>
    <w:rsid w:val="00EC7793"/>
    <w:rsid w:val="00EC7F23"/>
    <w:rsid w:val="00ED20BA"/>
    <w:rsid w:val="00ED2756"/>
    <w:rsid w:val="00ED2C42"/>
    <w:rsid w:val="00ED33E9"/>
    <w:rsid w:val="00ED3959"/>
    <w:rsid w:val="00ED548C"/>
    <w:rsid w:val="00ED56C9"/>
    <w:rsid w:val="00ED5BCA"/>
    <w:rsid w:val="00ED69BD"/>
    <w:rsid w:val="00ED7D50"/>
    <w:rsid w:val="00EE0858"/>
    <w:rsid w:val="00EE39B1"/>
    <w:rsid w:val="00EE39E6"/>
    <w:rsid w:val="00EE5076"/>
    <w:rsid w:val="00EE5561"/>
    <w:rsid w:val="00EE6956"/>
    <w:rsid w:val="00EE6B98"/>
    <w:rsid w:val="00EE7A33"/>
    <w:rsid w:val="00EF12C9"/>
    <w:rsid w:val="00EF291D"/>
    <w:rsid w:val="00EF36F5"/>
    <w:rsid w:val="00EF43AA"/>
    <w:rsid w:val="00EF4B7E"/>
    <w:rsid w:val="00EF60D5"/>
    <w:rsid w:val="00EF6343"/>
    <w:rsid w:val="00EF79D2"/>
    <w:rsid w:val="00EF7E86"/>
    <w:rsid w:val="00F00D16"/>
    <w:rsid w:val="00F01540"/>
    <w:rsid w:val="00F02464"/>
    <w:rsid w:val="00F05585"/>
    <w:rsid w:val="00F072D6"/>
    <w:rsid w:val="00F10690"/>
    <w:rsid w:val="00F1197F"/>
    <w:rsid w:val="00F12D2F"/>
    <w:rsid w:val="00F14301"/>
    <w:rsid w:val="00F1478D"/>
    <w:rsid w:val="00F157F4"/>
    <w:rsid w:val="00F16D47"/>
    <w:rsid w:val="00F2245F"/>
    <w:rsid w:val="00F2331D"/>
    <w:rsid w:val="00F23376"/>
    <w:rsid w:val="00F2350D"/>
    <w:rsid w:val="00F23A12"/>
    <w:rsid w:val="00F245E0"/>
    <w:rsid w:val="00F24AB7"/>
    <w:rsid w:val="00F25EDF"/>
    <w:rsid w:val="00F25F45"/>
    <w:rsid w:val="00F2609F"/>
    <w:rsid w:val="00F27D22"/>
    <w:rsid w:val="00F31CA9"/>
    <w:rsid w:val="00F37FB5"/>
    <w:rsid w:val="00F40454"/>
    <w:rsid w:val="00F42022"/>
    <w:rsid w:val="00F42E9F"/>
    <w:rsid w:val="00F4377D"/>
    <w:rsid w:val="00F43C74"/>
    <w:rsid w:val="00F44AC1"/>
    <w:rsid w:val="00F4774F"/>
    <w:rsid w:val="00F51500"/>
    <w:rsid w:val="00F52696"/>
    <w:rsid w:val="00F542A7"/>
    <w:rsid w:val="00F546BB"/>
    <w:rsid w:val="00F55744"/>
    <w:rsid w:val="00F56F48"/>
    <w:rsid w:val="00F607C4"/>
    <w:rsid w:val="00F60C82"/>
    <w:rsid w:val="00F6290F"/>
    <w:rsid w:val="00F632BE"/>
    <w:rsid w:val="00F645E4"/>
    <w:rsid w:val="00F65444"/>
    <w:rsid w:val="00F658F7"/>
    <w:rsid w:val="00F65DBB"/>
    <w:rsid w:val="00F664FA"/>
    <w:rsid w:val="00F66AFC"/>
    <w:rsid w:val="00F6752D"/>
    <w:rsid w:val="00F67BA5"/>
    <w:rsid w:val="00F723F0"/>
    <w:rsid w:val="00F7251F"/>
    <w:rsid w:val="00F741D9"/>
    <w:rsid w:val="00F74F6E"/>
    <w:rsid w:val="00F75E06"/>
    <w:rsid w:val="00F76727"/>
    <w:rsid w:val="00F768FF"/>
    <w:rsid w:val="00F777A1"/>
    <w:rsid w:val="00F80C7D"/>
    <w:rsid w:val="00F842FB"/>
    <w:rsid w:val="00F86D46"/>
    <w:rsid w:val="00F870C7"/>
    <w:rsid w:val="00F91493"/>
    <w:rsid w:val="00F91AC7"/>
    <w:rsid w:val="00F930B4"/>
    <w:rsid w:val="00F9441F"/>
    <w:rsid w:val="00F952EC"/>
    <w:rsid w:val="00F95F76"/>
    <w:rsid w:val="00F96F21"/>
    <w:rsid w:val="00FA073A"/>
    <w:rsid w:val="00FA10A4"/>
    <w:rsid w:val="00FA1729"/>
    <w:rsid w:val="00FA1BC4"/>
    <w:rsid w:val="00FA1F56"/>
    <w:rsid w:val="00FA37D6"/>
    <w:rsid w:val="00FA41BE"/>
    <w:rsid w:val="00FA5609"/>
    <w:rsid w:val="00FA5624"/>
    <w:rsid w:val="00FA63FD"/>
    <w:rsid w:val="00FB1946"/>
    <w:rsid w:val="00FB19F0"/>
    <w:rsid w:val="00FB4530"/>
    <w:rsid w:val="00FB6BC8"/>
    <w:rsid w:val="00FC0771"/>
    <w:rsid w:val="00FC1635"/>
    <w:rsid w:val="00FC1870"/>
    <w:rsid w:val="00FC2C87"/>
    <w:rsid w:val="00FC2FDC"/>
    <w:rsid w:val="00FC3E16"/>
    <w:rsid w:val="00FC6D89"/>
    <w:rsid w:val="00FD00DB"/>
    <w:rsid w:val="00FD0400"/>
    <w:rsid w:val="00FD077A"/>
    <w:rsid w:val="00FD24EA"/>
    <w:rsid w:val="00FD2D3A"/>
    <w:rsid w:val="00FD4E11"/>
    <w:rsid w:val="00FD7B71"/>
    <w:rsid w:val="00FE0399"/>
    <w:rsid w:val="00FE12CF"/>
    <w:rsid w:val="00FE2434"/>
    <w:rsid w:val="00FE2DC2"/>
    <w:rsid w:val="00FE35DF"/>
    <w:rsid w:val="00FE36C4"/>
    <w:rsid w:val="00FE39A9"/>
    <w:rsid w:val="00FE4C40"/>
    <w:rsid w:val="00FE6864"/>
    <w:rsid w:val="00FE6937"/>
    <w:rsid w:val="00FF0D1D"/>
    <w:rsid w:val="00FF0E71"/>
    <w:rsid w:val="00FF0F10"/>
    <w:rsid w:val="00FF1C52"/>
    <w:rsid w:val="00FF322B"/>
    <w:rsid w:val="00FF394F"/>
    <w:rsid w:val="00FF48E3"/>
    <w:rsid w:val="00FF71D1"/>
    <w:rsid w:val="00FF7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1FBCE"/>
  <w15:chartTrackingRefBased/>
  <w15:docId w15:val="{2B496E53-AB97-4D9D-8ABB-7B323E3A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62"/>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Outline1"/>
    <w:basedOn w:val="Normal"/>
    <w:next w:val="Normal"/>
    <w:link w:val="Heading1Char"/>
    <w:uiPriority w:val="9"/>
    <w:qFormat/>
    <w:rsid w:val="00D255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55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D7C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AD7CA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747B1E"/>
    <w:pPr>
      <w:keepNext/>
      <w:tabs>
        <w:tab w:val="num" w:pos="-7923"/>
      </w:tabs>
      <w:spacing w:before="60" w:after="0" w:line="240" w:lineRule="auto"/>
      <w:ind w:left="-7923" w:hanging="1008"/>
      <w:outlineLvl w:val="4"/>
    </w:pPr>
    <w:rPr>
      <w:rFonts w:ascii="Tahoma" w:eastAsia="Times New Roman" w:hAnsi="Tahoma" w:cs="Times New Roman"/>
      <w:b/>
      <w:szCs w:val="20"/>
    </w:rPr>
  </w:style>
  <w:style w:type="paragraph" w:styleId="Heading6">
    <w:name w:val="heading 6"/>
    <w:basedOn w:val="Normal"/>
    <w:next w:val="Normal"/>
    <w:link w:val="Heading6Char"/>
    <w:qFormat/>
    <w:rsid w:val="00747B1E"/>
    <w:pPr>
      <w:keepNext/>
      <w:tabs>
        <w:tab w:val="num" w:pos="-7779"/>
      </w:tabs>
      <w:spacing w:after="0" w:line="240" w:lineRule="auto"/>
      <w:ind w:left="-7779" w:hanging="1152"/>
      <w:jc w:val="center"/>
      <w:outlineLvl w:val="5"/>
    </w:pPr>
    <w:rPr>
      <w:rFonts w:ascii="Tahoma" w:eastAsia="Times New Roman" w:hAnsi="Tahoma" w:cs="Times New Roman"/>
      <w:szCs w:val="20"/>
      <w:u w:val="single"/>
    </w:rPr>
  </w:style>
  <w:style w:type="paragraph" w:styleId="Heading7">
    <w:name w:val="heading 7"/>
    <w:aliases w:val="Heading 7 - DO NOT USE"/>
    <w:basedOn w:val="Normal"/>
    <w:next w:val="Normal"/>
    <w:link w:val="Heading7Char"/>
    <w:qFormat/>
    <w:rsid w:val="00747B1E"/>
    <w:pPr>
      <w:keepNext/>
      <w:tabs>
        <w:tab w:val="num" w:pos="-7635"/>
      </w:tabs>
      <w:spacing w:after="0" w:line="240" w:lineRule="auto"/>
      <w:ind w:left="-7635" w:hanging="1296"/>
      <w:outlineLvl w:val="6"/>
    </w:pPr>
    <w:rPr>
      <w:rFonts w:ascii="Tahoma" w:eastAsia="Times New Roman" w:hAnsi="Tahoma" w:cs="Times New Roman"/>
      <w:sz w:val="32"/>
      <w:szCs w:val="20"/>
    </w:rPr>
  </w:style>
  <w:style w:type="paragraph" w:styleId="Heading8">
    <w:name w:val="heading 8"/>
    <w:aliases w:val="Heading 8 - - DO NOT USE"/>
    <w:basedOn w:val="Normal"/>
    <w:next w:val="Normal"/>
    <w:link w:val="Heading8Char"/>
    <w:qFormat/>
    <w:rsid w:val="00747B1E"/>
    <w:pPr>
      <w:keepNext/>
      <w:tabs>
        <w:tab w:val="num" w:pos="-7491"/>
        <w:tab w:val="center" w:pos="4678"/>
      </w:tabs>
      <w:spacing w:after="0" w:line="360" w:lineRule="auto"/>
      <w:ind w:left="-7491" w:hanging="1440"/>
      <w:jc w:val="center"/>
      <w:outlineLvl w:val="7"/>
    </w:pPr>
    <w:rPr>
      <w:rFonts w:ascii="Tahoma" w:eastAsia="Times New Roman" w:hAnsi="Tahoma" w:cs="Times New Roman"/>
      <w:b/>
      <w:color w:val="FFFFFF"/>
      <w:sz w:val="28"/>
      <w:szCs w:val="20"/>
    </w:rPr>
  </w:style>
  <w:style w:type="paragraph" w:styleId="Heading9">
    <w:name w:val="heading 9"/>
    <w:aliases w:val="Heading 9 - DO NOT USE"/>
    <w:basedOn w:val="Normal"/>
    <w:next w:val="Normal"/>
    <w:link w:val="Heading9Char"/>
    <w:qFormat/>
    <w:rsid w:val="00747B1E"/>
    <w:pPr>
      <w:keepNext/>
      <w:tabs>
        <w:tab w:val="num" w:pos="-7347"/>
      </w:tabs>
      <w:spacing w:after="0" w:line="360" w:lineRule="auto"/>
      <w:ind w:left="-7347" w:hanging="1584"/>
      <w:jc w:val="both"/>
      <w:outlineLvl w:val="8"/>
    </w:pPr>
    <w:rPr>
      <w:rFonts w:ascii="Tahoma" w:eastAsia="Times New Roman" w:hAnsi="Tahoma" w:cs="Times New Roman"/>
      <w:b/>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
    <w:rsid w:val="00D255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556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E39E6"/>
    <w:rPr>
      <w:color w:val="0563C1" w:themeColor="hyperlink"/>
      <w:u w:val="single"/>
    </w:rPr>
  </w:style>
  <w:style w:type="character" w:styleId="UnresolvedMention">
    <w:name w:val="Unresolved Mention"/>
    <w:basedOn w:val="DefaultParagraphFont"/>
    <w:uiPriority w:val="99"/>
    <w:semiHidden/>
    <w:unhideWhenUsed/>
    <w:rsid w:val="00EE39E6"/>
    <w:rPr>
      <w:color w:val="605E5C"/>
      <w:shd w:val="clear" w:color="auto" w:fill="E1DFDD"/>
    </w:rPr>
  </w:style>
  <w:style w:type="paragraph" w:styleId="NormalWeb">
    <w:name w:val="Normal (Web)"/>
    <w:basedOn w:val="Normal"/>
    <w:uiPriority w:val="99"/>
    <w:unhideWhenUsed/>
    <w:rsid w:val="006257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25712"/>
    <w:rPr>
      <w:i/>
      <w:iCs/>
    </w:rPr>
  </w:style>
  <w:style w:type="paragraph" w:styleId="Header">
    <w:name w:val="header"/>
    <w:basedOn w:val="Normal"/>
    <w:link w:val="HeaderChar"/>
    <w:uiPriority w:val="99"/>
    <w:unhideWhenUsed/>
    <w:rsid w:val="008C3E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ED8"/>
  </w:style>
  <w:style w:type="paragraph" w:styleId="Footer">
    <w:name w:val="footer"/>
    <w:basedOn w:val="Normal"/>
    <w:link w:val="FooterChar"/>
    <w:uiPriority w:val="99"/>
    <w:unhideWhenUsed/>
    <w:rsid w:val="008C3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ED8"/>
  </w:style>
  <w:style w:type="paragraph" w:styleId="Revision">
    <w:name w:val="Revision"/>
    <w:hidden/>
    <w:uiPriority w:val="62"/>
    <w:rsid w:val="003521EC"/>
    <w:pPr>
      <w:spacing w:after="0" w:line="240" w:lineRule="auto"/>
    </w:pPr>
  </w:style>
  <w:style w:type="character" w:styleId="CommentReference">
    <w:name w:val="annotation reference"/>
    <w:basedOn w:val="DefaultParagraphFont"/>
    <w:uiPriority w:val="99"/>
    <w:unhideWhenUsed/>
    <w:rsid w:val="00065375"/>
    <w:rPr>
      <w:sz w:val="16"/>
      <w:szCs w:val="16"/>
    </w:rPr>
  </w:style>
  <w:style w:type="paragraph" w:styleId="CommentText">
    <w:name w:val="annotation text"/>
    <w:basedOn w:val="Normal"/>
    <w:link w:val="CommentTextChar"/>
    <w:uiPriority w:val="99"/>
    <w:unhideWhenUsed/>
    <w:rsid w:val="00065375"/>
    <w:pPr>
      <w:spacing w:line="240" w:lineRule="auto"/>
    </w:pPr>
    <w:rPr>
      <w:sz w:val="20"/>
      <w:szCs w:val="20"/>
    </w:rPr>
  </w:style>
  <w:style w:type="character" w:customStyle="1" w:styleId="CommentTextChar">
    <w:name w:val="Comment Text Char"/>
    <w:basedOn w:val="DefaultParagraphFont"/>
    <w:link w:val="CommentText"/>
    <w:uiPriority w:val="99"/>
    <w:rsid w:val="00065375"/>
    <w:rPr>
      <w:sz w:val="20"/>
      <w:szCs w:val="20"/>
    </w:rPr>
  </w:style>
  <w:style w:type="paragraph" w:styleId="CommentSubject">
    <w:name w:val="annotation subject"/>
    <w:basedOn w:val="CommentText"/>
    <w:next w:val="CommentText"/>
    <w:link w:val="CommentSubjectChar"/>
    <w:unhideWhenUsed/>
    <w:rsid w:val="00065375"/>
    <w:rPr>
      <w:b/>
      <w:bCs/>
    </w:rPr>
  </w:style>
  <w:style w:type="character" w:customStyle="1" w:styleId="CommentSubjectChar">
    <w:name w:val="Comment Subject Char"/>
    <w:basedOn w:val="CommentTextChar"/>
    <w:link w:val="CommentSubject"/>
    <w:rsid w:val="00065375"/>
    <w:rPr>
      <w:b/>
      <w:bCs/>
      <w:sz w:val="20"/>
      <w:szCs w:val="20"/>
    </w:rPr>
  </w:style>
  <w:style w:type="character" w:customStyle="1" w:styleId="Heading3Char">
    <w:name w:val="Heading 3 Char"/>
    <w:basedOn w:val="DefaultParagraphFont"/>
    <w:link w:val="Heading3"/>
    <w:uiPriority w:val="9"/>
    <w:rsid w:val="00AD7CA1"/>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AD7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D7CA1"/>
    <w:rPr>
      <w:rFonts w:asciiTheme="majorHAnsi" w:eastAsiaTheme="majorEastAsia" w:hAnsiTheme="majorHAnsi" w:cstheme="majorBidi"/>
      <w:i/>
      <w:iCs/>
      <w:color w:val="2F5496" w:themeColor="accent1" w:themeShade="BF"/>
    </w:rPr>
  </w:style>
  <w:style w:type="paragraph" w:customStyle="1" w:styleId="Normal0">
    <w:name w:val="[Normal]"/>
    <w:qFormat/>
    <w:rsid w:val="00BE5451"/>
    <w:pPr>
      <w:widowControl w:val="0"/>
      <w:autoSpaceDE w:val="0"/>
      <w:autoSpaceDN w:val="0"/>
      <w:adjustRightInd w:val="0"/>
      <w:spacing w:after="0" w:line="240" w:lineRule="auto"/>
    </w:pPr>
    <w:rPr>
      <w:rFonts w:ascii="Arial" w:hAnsi="Arial" w:cs="Arial"/>
      <w:sz w:val="24"/>
      <w:szCs w:val="24"/>
    </w:rPr>
  </w:style>
  <w:style w:type="paragraph" w:customStyle="1" w:styleId="Default">
    <w:name w:val="Default"/>
    <w:rsid w:val="00F952E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link w:val="ListParagraphChar"/>
    <w:uiPriority w:val="34"/>
    <w:qFormat/>
    <w:rsid w:val="00BD07CC"/>
    <w:pPr>
      <w:suppressAutoHyphens/>
      <w:autoSpaceDN w:val="0"/>
      <w:spacing w:line="251" w:lineRule="auto"/>
      <w:ind w:left="720"/>
      <w:contextualSpacing/>
    </w:pPr>
    <w:rPr>
      <w:rFonts w:ascii="Calibri" w:eastAsia="Calibri" w:hAnsi="Calibri" w:cs="Times New Roman"/>
    </w:rPr>
  </w:style>
  <w:style w:type="character" w:customStyle="1" w:styleId="Heading5Char">
    <w:name w:val="Heading 5 Char"/>
    <w:basedOn w:val="DefaultParagraphFont"/>
    <w:link w:val="Heading5"/>
    <w:uiPriority w:val="9"/>
    <w:rsid w:val="00747B1E"/>
    <w:rPr>
      <w:rFonts w:ascii="Tahoma" w:eastAsia="Times New Roman" w:hAnsi="Tahoma" w:cs="Times New Roman"/>
      <w:b/>
      <w:szCs w:val="20"/>
    </w:rPr>
  </w:style>
  <w:style w:type="character" w:customStyle="1" w:styleId="Heading6Char">
    <w:name w:val="Heading 6 Char"/>
    <w:basedOn w:val="DefaultParagraphFont"/>
    <w:link w:val="Heading6"/>
    <w:uiPriority w:val="9"/>
    <w:rsid w:val="00747B1E"/>
    <w:rPr>
      <w:rFonts w:ascii="Tahoma" w:eastAsia="Times New Roman" w:hAnsi="Tahoma" w:cs="Times New Roman"/>
      <w:szCs w:val="20"/>
      <w:u w:val="single"/>
    </w:rPr>
  </w:style>
  <w:style w:type="character" w:customStyle="1" w:styleId="Heading7Char">
    <w:name w:val="Heading 7 Char"/>
    <w:aliases w:val="Heading 7 - DO NOT USE Char"/>
    <w:basedOn w:val="DefaultParagraphFont"/>
    <w:link w:val="Heading7"/>
    <w:uiPriority w:val="99"/>
    <w:rsid w:val="00747B1E"/>
    <w:rPr>
      <w:rFonts w:ascii="Tahoma" w:eastAsia="Times New Roman" w:hAnsi="Tahoma" w:cs="Times New Roman"/>
      <w:sz w:val="32"/>
      <w:szCs w:val="20"/>
    </w:rPr>
  </w:style>
  <w:style w:type="character" w:customStyle="1" w:styleId="Heading8Char">
    <w:name w:val="Heading 8 Char"/>
    <w:aliases w:val="Heading 8 - - DO NOT USE Char"/>
    <w:basedOn w:val="DefaultParagraphFont"/>
    <w:link w:val="Heading8"/>
    <w:uiPriority w:val="99"/>
    <w:rsid w:val="00747B1E"/>
    <w:rPr>
      <w:rFonts w:ascii="Tahoma" w:eastAsia="Times New Roman" w:hAnsi="Tahoma" w:cs="Times New Roman"/>
      <w:b/>
      <w:color w:val="FFFFFF"/>
      <w:sz w:val="28"/>
      <w:szCs w:val="20"/>
    </w:rPr>
  </w:style>
  <w:style w:type="character" w:customStyle="1" w:styleId="Heading9Char">
    <w:name w:val="Heading 9 Char"/>
    <w:aliases w:val="Heading 9 - DO NOT USE Char"/>
    <w:basedOn w:val="DefaultParagraphFont"/>
    <w:link w:val="Heading9"/>
    <w:uiPriority w:val="99"/>
    <w:rsid w:val="00747B1E"/>
    <w:rPr>
      <w:rFonts w:ascii="Tahoma" w:eastAsia="Times New Roman" w:hAnsi="Tahoma" w:cs="Times New Roman"/>
      <w:b/>
      <w:color w:val="000000"/>
      <w:szCs w:val="20"/>
    </w:rPr>
  </w:style>
  <w:style w:type="paragraph" w:styleId="NoSpacing">
    <w:name w:val="No Spacing"/>
    <w:link w:val="NoSpacingChar"/>
    <w:uiPriority w:val="1"/>
    <w:qFormat/>
    <w:rsid w:val="00747B1E"/>
    <w:pPr>
      <w:spacing w:after="0" w:line="240" w:lineRule="auto"/>
    </w:pPr>
    <w:rPr>
      <w:rFonts w:ascii="Tahoma" w:eastAsia="Times New Roman" w:hAnsi="Tahoma" w:cs="Times New Roman"/>
      <w:szCs w:val="20"/>
    </w:rPr>
  </w:style>
  <w:style w:type="paragraph" w:customStyle="1" w:styleId="Exampletext">
    <w:name w:val="Example text"/>
    <w:basedOn w:val="Normal"/>
    <w:rsid w:val="00747B1E"/>
    <w:pPr>
      <w:autoSpaceDE w:val="0"/>
      <w:autoSpaceDN w:val="0"/>
      <w:adjustRightInd w:val="0"/>
      <w:spacing w:before="120" w:after="120" w:line="240" w:lineRule="auto"/>
    </w:pPr>
    <w:rPr>
      <w:rFonts w:ascii="Arial" w:eastAsia="Times New Roman" w:hAnsi="Arial" w:cs="Times New Roman"/>
      <w:bCs/>
      <w:color w:val="000000"/>
      <w:szCs w:val="28"/>
      <w:lang w:eastAsia="en-GB"/>
    </w:rPr>
  </w:style>
  <w:style w:type="paragraph" w:customStyle="1" w:styleId="Style1">
    <w:name w:val="Style1"/>
    <w:basedOn w:val="Normal"/>
    <w:link w:val="Style1Char"/>
    <w:autoRedefine/>
    <w:qFormat/>
    <w:rsid w:val="00747B1E"/>
    <w:pPr>
      <w:spacing w:before="120" w:after="0" w:line="240" w:lineRule="auto"/>
      <w:ind w:right="-154"/>
      <w:jc w:val="both"/>
    </w:pPr>
    <w:rPr>
      <w:rFonts w:ascii="Calibri" w:hAnsi="Calibri"/>
    </w:rPr>
  </w:style>
  <w:style w:type="character" w:customStyle="1" w:styleId="Style1Char">
    <w:name w:val="Style1 Char"/>
    <w:basedOn w:val="DefaultParagraphFont"/>
    <w:link w:val="Style1"/>
    <w:rsid w:val="00747B1E"/>
    <w:rPr>
      <w:rFonts w:ascii="Calibri" w:hAnsi="Calibri"/>
    </w:rPr>
  </w:style>
  <w:style w:type="paragraph" w:styleId="BodyText">
    <w:name w:val="Body Text"/>
    <w:basedOn w:val="Normal"/>
    <w:link w:val="BodyTextChar"/>
    <w:uiPriority w:val="99"/>
    <w:rsid w:val="00747B1E"/>
    <w:pPr>
      <w:tabs>
        <w:tab w:val="left" w:pos="720"/>
      </w:tabs>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uiPriority w:val="99"/>
    <w:rsid w:val="00747B1E"/>
    <w:rPr>
      <w:rFonts w:ascii="Tahoma" w:eastAsia="Times New Roman" w:hAnsi="Tahoma" w:cs="Times New Roman"/>
      <w:szCs w:val="20"/>
    </w:rPr>
  </w:style>
  <w:style w:type="paragraph" w:customStyle="1" w:styleId="WW-PlainText">
    <w:name w:val="WW-Plain Text"/>
    <w:basedOn w:val="Normal"/>
    <w:rsid w:val="00747B1E"/>
    <w:pPr>
      <w:suppressAutoHyphens/>
      <w:spacing w:after="0" w:line="240" w:lineRule="auto"/>
    </w:pPr>
    <w:rPr>
      <w:rFonts w:ascii="Courier New" w:eastAsia="Times New Roman" w:hAnsi="Courier New" w:cs="Times New Roman"/>
      <w:sz w:val="20"/>
      <w:szCs w:val="20"/>
    </w:rPr>
  </w:style>
  <w:style w:type="paragraph" w:styleId="BalloonText">
    <w:name w:val="Balloon Text"/>
    <w:basedOn w:val="Normal"/>
    <w:link w:val="BalloonTextChar"/>
    <w:semiHidden/>
    <w:unhideWhenUsed/>
    <w:rsid w:val="00747B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7B1E"/>
    <w:rPr>
      <w:rFonts w:ascii="Segoe UI" w:hAnsi="Segoe UI" w:cs="Segoe UI"/>
      <w:sz w:val="18"/>
      <w:szCs w:val="18"/>
    </w:rPr>
  </w:style>
  <w:style w:type="paragraph" w:styleId="PlainText">
    <w:name w:val="Plain Text"/>
    <w:basedOn w:val="Normal"/>
    <w:link w:val="PlainTextChar"/>
    <w:uiPriority w:val="99"/>
    <w:unhideWhenUsed/>
    <w:rsid w:val="00747B1E"/>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rsid w:val="00747B1E"/>
    <w:rPr>
      <w:rFonts w:ascii="Calibri" w:hAnsi="Calibri" w:cs="Times New Roman"/>
    </w:rPr>
  </w:style>
  <w:style w:type="character" w:customStyle="1" w:styleId="ListParagraphChar">
    <w:name w:val="List Paragraph Char"/>
    <w:link w:val="ListParagraph"/>
    <w:uiPriority w:val="34"/>
    <w:locked/>
    <w:rsid w:val="00747B1E"/>
    <w:rPr>
      <w:rFonts w:ascii="Calibri" w:eastAsia="Calibri" w:hAnsi="Calibri" w:cs="Times New Roman"/>
    </w:rPr>
  </w:style>
  <w:style w:type="paragraph" w:customStyle="1" w:styleId="Explanatorytext">
    <w:name w:val="Explanatory text"/>
    <w:basedOn w:val="Normal"/>
    <w:rsid w:val="00747B1E"/>
    <w:pPr>
      <w:autoSpaceDE w:val="0"/>
      <w:autoSpaceDN w:val="0"/>
      <w:adjustRightInd w:val="0"/>
      <w:spacing w:before="120" w:after="120" w:line="240" w:lineRule="auto"/>
    </w:pPr>
    <w:rPr>
      <w:rFonts w:ascii="Arial" w:eastAsia="Times New Roman" w:hAnsi="Arial" w:cs="Times New Roman"/>
      <w:bCs/>
      <w:color w:val="FF0000"/>
      <w:szCs w:val="28"/>
      <w:lang w:eastAsia="en-GB"/>
    </w:rPr>
  </w:style>
  <w:style w:type="paragraph" w:styleId="TOC2">
    <w:name w:val="toc 2"/>
    <w:basedOn w:val="Normal"/>
    <w:next w:val="Normal"/>
    <w:autoRedefine/>
    <w:uiPriority w:val="39"/>
    <w:rsid w:val="00BB6695"/>
    <w:pPr>
      <w:tabs>
        <w:tab w:val="left" w:pos="880"/>
        <w:tab w:val="right" w:leader="dot" w:pos="8959"/>
      </w:tabs>
      <w:spacing w:after="0" w:line="240" w:lineRule="auto"/>
      <w:ind w:left="357" w:right="255"/>
    </w:pPr>
    <w:rPr>
      <w:rFonts w:eastAsia="Times New Roman" w:cs="Times New Roman"/>
      <w:szCs w:val="20"/>
    </w:rPr>
  </w:style>
  <w:style w:type="paragraph" w:customStyle="1" w:styleId="Normal1">
    <w:name w:val="Normal1"/>
    <w:basedOn w:val="Normal"/>
    <w:rsid w:val="00747B1E"/>
    <w:pPr>
      <w:spacing w:after="0" w:line="240" w:lineRule="auto"/>
    </w:pPr>
    <w:rPr>
      <w:rFonts w:ascii="Arial" w:eastAsia="Times New Roman" w:hAnsi="Arial" w:cs="Arial"/>
      <w:sz w:val="24"/>
      <w:szCs w:val="24"/>
      <w:lang w:val="en-US"/>
    </w:rPr>
  </w:style>
  <w:style w:type="paragraph" w:styleId="TOCHeading">
    <w:name w:val="TOC Heading"/>
    <w:basedOn w:val="Heading1"/>
    <w:next w:val="Normal"/>
    <w:uiPriority w:val="39"/>
    <w:unhideWhenUsed/>
    <w:qFormat/>
    <w:rsid w:val="00747B1E"/>
    <w:pPr>
      <w:outlineLvl w:val="9"/>
    </w:pPr>
    <w:rPr>
      <w:lang w:val="en-US"/>
    </w:rPr>
  </w:style>
  <w:style w:type="paragraph" w:styleId="TOC1">
    <w:name w:val="toc 1"/>
    <w:basedOn w:val="Normal"/>
    <w:next w:val="Normal"/>
    <w:autoRedefine/>
    <w:uiPriority w:val="39"/>
    <w:unhideWhenUsed/>
    <w:rsid w:val="00747B1E"/>
    <w:pPr>
      <w:tabs>
        <w:tab w:val="left" w:pos="440"/>
        <w:tab w:val="right" w:leader="dot" w:pos="9016"/>
      </w:tabs>
      <w:spacing w:after="100"/>
    </w:pPr>
  </w:style>
  <w:style w:type="paragraph" w:customStyle="1" w:styleId="Header1">
    <w:name w:val="Header1"/>
    <w:basedOn w:val="Heading1"/>
    <w:autoRedefine/>
    <w:rsid w:val="00747B1E"/>
    <w:pPr>
      <w:keepLines w:val="0"/>
      <w:spacing w:before="0" w:line="360" w:lineRule="auto"/>
    </w:pPr>
    <w:rPr>
      <w:rFonts w:ascii="Tahoma" w:eastAsia="Times New Roman" w:hAnsi="Tahoma" w:cs="Times New Roman"/>
      <w:b/>
      <w:color w:val="auto"/>
      <w:sz w:val="36"/>
      <w:szCs w:val="20"/>
    </w:rPr>
  </w:style>
  <w:style w:type="paragraph" w:customStyle="1" w:styleId="H1">
    <w:name w:val="H 1"/>
    <w:aliases w:val="NotIndexed"/>
    <w:next w:val="BodyText"/>
    <w:autoRedefine/>
    <w:rsid w:val="00747B1E"/>
    <w:pPr>
      <w:spacing w:after="0" w:line="360" w:lineRule="auto"/>
    </w:pPr>
    <w:rPr>
      <w:rFonts w:ascii="Tahoma" w:eastAsia="Times New Roman" w:hAnsi="Tahoma" w:cs="Times New Roman"/>
      <w:b/>
      <w:caps/>
      <w:sz w:val="36"/>
      <w:szCs w:val="20"/>
    </w:rPr>
  </w:style>
  <w:style w:type="table" w:customStyle="1" w:styleId="TableGrid1">
    <w:name w:val="Table Grid1"/>
    <w:basedOn w:val="TableNormal"/>
    <w:next w:val="TableGrid"/>
    <w:rsid w:val="00747B1E"/>
    <w:pPr>
      <w:spacing w:after="0" w:line="240" w:lineRule="auto"/>
    </w:pPr>
    <w:rPr>
      <w:rFonts w:eastAsia="MS PGothic"/>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47B1E"/>
    <w:rPr>
      <w:rFonts w:cs="Times New Roman"/>
      <w:b/>
    </w:rPr>
  </w:style>
  <w:style w:type="paragraph" w:customStyle="1" w:styleId="PROMPTtextstyle">
    <w:name w:val="PROMPT text style"/>
    <w:basedOn w:val="Normal"/>
    <w:uiPriority w:val="99"/>
    <w:rsid w:val="00747B1E"/>
    <w:pPr>
      <w:autoSpaceDE w:val="0"/>
      <w:autoSpaceDN w:val="0"/>
      <w:adjustRightInd w:val="0"/>
      <w:spacing w:after="0" w:line="276" w:lineRule="auto"/>
      <w:jc w:val="both"/>
    </w:pPr>
    <w:rPr>
      <w:rFonts w:ascii="Arial" w:eastAsia="Times New Roman" w:hAnsi="Arial" w:cs="Times New Roman"/>
      <w:szCs w:val="20"/>
      <w:lang w:val="en-US"/>
    </w:rPr>
  </w:style>
  <w:style w:type="table" w:customStyle="1" w:styleId="TableGrid2">
    <w:name w:val="Table Grid2"/>
    <w:basedOn w:val="TableNormal"/>
    <w:next w:val="TableGrid"/>
    <w:uiPriority w:val="99"/>
    <w:rsid w:val="00747B1E"/>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DefaultParagraphFont"/>
    <w:uiPriority w:val="99"/>
    <w:unhideWhenUsed/>
    <w:rsid w:val="00747B1E"/>
    <w:rPr>
      <w:color w:val="605E5C"/>
      <w:shd w:val="clear" w:color="auto" w:fill="E1DFDD"/>
    </w:rPr>
  </w:style>
  <w:style w:type="character" w:customStyle="1" w:styleId="Mention1">
    <w:name w:val="Mention1"/>
    <w:basedOn w:val="DefaultParagraphFont"/>
    <w:uiPriority w:val="99"/>
    <w:unhideWhenUsed/>
    <w:rsid w:val="00747B1E"/>
    <w:rPr>
      <w:color w:val="2B579A"/>
      <w:shd w:val="clear" w:color="auto" w:fill="E1DFDD"/>
    </w:rPr>
  </w:style>
  <w:style w:type="numbering" w:customStyle="1" w:styleId="NoList1">
    <w:name w:val="No List1"/>
    <w:next w:val="NoList"/>
    <w:uiPriority w:val="99"/>
    <w:semiHidden/>
    <w:unhideWhenUsed/>
    <w:rsid w:val="00747B1E"/>
  </w:style>
  <w:style w:type="character" w:styleId="FollowedHyperlink">
    <w:name w:val="FollowedHyperlink"/>
    <w:basedOn w:val="DefaultParagraphFont"/>
    <w:unhideWhenUsed/>
    <w:rsid w:val="00747B1E"/>
    <w:rPr>
      <w:color w:val="954F72"/>
      <w:u w:val="single"/>
    </w:rPr>
  </w:style>
  <w:style w:type="paragraph" w:customStyle="1" w:styleId="msonormal0">
    <w:name w:val="msonormal"/>
    <w:basedOn w:val="Normal"/>
    <w:rsid w:val="00747B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5">
    <w:name w:val="font5"/>
    <w:basedOn w:val="Normal"/>
    <w:rsid w:val="00747B1E"/>
    <w:pPr>
      <w:spacing w:before="100" w:beforeAutospacing="1" w:after="100" w:afterAutospacing="1" w:line="240" w:lineRule="auto"/>
    </w:pPr>
    <w:rPr>
      <w:rFonts w:ascii="Calibri" w:eastAsia="Times New Roman" w:hAnsi="Calibri" w:cs="Calibri"/>
      <w:b/>
      <w:bCs/>
      <w:color w:val="000000"/>
      <w:lang w:eastAsia="en-GB"/>
    </w:rPr>
  </w:style>
  <w:style w:type="paragraph" w:customStyle="1" w:styleId="xl66">
    <w:name w:val="xl66"/>
    <w:basedOn w:val="Normal"/>
    <w:rsid w:val="00747B1E"/>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7">
    <w:name w:val="xl67"/>
    <w:basedOn w:val="Normal"/>
    <w:rsid w:val="00747B1E"/>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9">
    <w:name w:val="xl69"/>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0">
    <w:name w:val="xl70"/>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1">
    <w:name w:val="xl71"/>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2">
    <w:name w:val="xl72"/>
    <w:basedOn w:val="Normal"/>
    <w:rsid w:val="00747B1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3">
    <w:name w:val="xl73"/>
    <w:basedOn w:val="Normal"/>
    <w:rsid w:val="00747B1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4">
    <w:name w:val="xl74"/>
    <w:basedOn w:val="Normal"/>
    <w:rsid w:val="00747B1E"/>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5">
    <w:name w:val="xl75"/>
    <w:basedOn w:val="Normal"/>
    <w:rsid w:val="00747B1E"/>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747B1E"/>
    <w:pPr>
      <w:pBdr>
        <w:top w:val="single" w:sz="4" w:space="0" w:color="auto"/>
        <w:left w:val="single" w:sz="4" w:space="0" w:color="auto"/>
        <w:bottom w:val="single" w:sz="4" w:space="0" w:color="auto"/>
        <w:right w:val="single" w:sz="4" w:space="0" w:color="auto"/>
      </w:pBdr>
      <w:shd w:val="clear" w:color="000000" w:fill="BDD6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n-GB"/>
    </w:rPr>
  </w:style>
  <w:style w:type="paragraph" w:styleId="TOC3">
    <w:name w:val="toc 3"/>
    <w:basedOn w:val="Normal"/>
    <w:next w:val="Normal"/>
    <w:autoRedefine/>
    <w:uiPriority w:val="39"/>
    <w:unhideWhenUsed/>
    <w:rsid w:val="00747B1E"/>
    <w:pPr>
      <w:spacing w:after="100"/>
      <w:ind w:left="440"/>
    </w:pPr>
  </w:style>
  <w:style w:type="paragraph" w:customStyle="1" w:styleId="elementtoproof">
    <w:name w:val="elementtoproof"/>
    <w:basedOn w:val="Normal"/>
    <w:rsid w:val="00747B1E"/>
    <w:pPr>
      <w:spacing w:after="0" w:line="240" w:lineRule="auto"/>
    </w:pPr>
    <w:rPr>
      <w:rFonts w:ascii="Calibri" w:hAnsi="Calibri" w:cs="Calibri"/>
      <w:lang w:eastAsia="en-GB"/>
    </w:rPr>
  </w:style>
  <w:style w:type="paragraph" w:customStyle="1" w:styleId="paragraph">
    <w:name w:val="paragraph"/>
    <w:basedOn w:val="Normal"/>
    <w:rsid w:val="000D2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280E"/>
  </w:style>
  <w:style w:type="character" w:customStyle="1" w:styleId="eop">
    <w:name w:val="eop"/>
    <w:basedOn w:val="DefaultParagraphFont"/>
    <w:rsid w:val="000D280E"/>
  </w:style>
  <w:style w:type="character" w:customStyle="1" w:styleId="tabchar">
    <w:name w:val="tabchar"/>
    <w:basedOn w:val="DefaultParagraphFont"/>
    <w:rsid w:val="000D280E"/>
  </w:style>
  <w:style w:type="paragraph" w:customStyle="1" w:styleId="EndNoteBibliographyTitle">
    <w:name w:val="EndNote Bibliography Title"/>
    <w:basedOn w:val="Normal"/>
    <w:link w:val="EndNoteBibliographyTitleChar"/>
    <w:rsid w:val="00EB70C9"/>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EB70C9"/>
    <w:rPr>
      <w:rFonts w:ascii="Calibri" w:hAnsi="Calibri" w:cs="Calibri"/>
      <w:noProof/>
      <w:lang w:val="en-US"/>
    </w:rPr>
  </w:style>
  <w:style w:type="paragraph" w:customStyle="1" w:styleId="EndNoteBibliography">
    <w:name w:val="EndNote Bibliography"/>
    <w:basedOn w:val="Normal"/>
    <w:link w:val="EndNoteBibliographyChar"/>
    <w:rsid w:val="00EB70C9"/>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EB70C9"/>
    <w:rPr>
      <w:rFonts w:ascii="Calibri" w:hAnsi="Calibri" w:cs="Calibri"/>
      <w:noProof/>
      <w:lang w:val="en-US"/>
    </w:rPr>
  </w:style>
  <w:style w:type="paragraph" w:styleId="Title">
    <w:name w:val="Title"/>
    <w:basedOn w:val="Normal"/>
    <w:next w:val="Normal"/>
    <w:link w:val="TitleChar"/>
    <w:uiPriority w:val="10"/>
    <w:qFormat/>
    <w:rsid w:val="00B10B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B50"/>
    <w:rPr>
      <w:rFonts w:asciiTheme="majorHAnsi" w:eastAsiaTheme="majorEastAsia" w:hAnsiTheme="majorHAnsi" w:cstheme="majorBidi"/>
      <w:spacing w:val="-10"/>
      <w:kern w:val="28"/>
      <w:sz w:val="56"/>
      <w:szCs w:val="56"/>
    </w:rPr>
  </w:style>
  <w:style w:type="paragraph" w:styleId="Caption">
    <w:name w:val="caption"/>
    <w:aliases w:val="Bayer Caption,IB Caption,Medical Caption,- H17,! Q,B Caption"/>
    <w:basedOn w:val="Normal"/>
    <w:next w:val="Normal"/>
    <w:link w:val="CaptionChar"/>
    <w:unhideWhenUsed/>
    <w:qFormat/>
    <w:rsid w:val="004F041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A54C1"/>
    <w:pPr>
      <w:spacing w:after="0"/>
    </w:pPr>
  </w:style>
  <w:style w:type="numbering" w:customStyle="1" w:styleId="NoList2">
    <w:name w:val="No List2"/>
    <w:next w:val="NoList"/>
    <w:uiPriority w:val="99"/>
    <w:semiHidden/>
    <w:unhideWhenUsed/>
    <w:rsid w:val="00C501A8"/>
  </w:style>
  <w:style w:type="paragraph" w:customStyle="1" w:styleId="TableBodyText-H54">
    <w:name w:val="Table Body Text - H54"/>
    <w:basedOn w:val="BodyText"/>
    <w:link w:val="TableBodyText-H54Char"/>
    <w:qFormat/>
    <w:rsid w:val="00C501A8"/>
    <w:pPr>
      <w:keepLines/>
      <w:widowControl w:val="0"/>
      <w:tabs>
        <w:tab w:val="clear" w:pos="720"/>
      </w:tabs>
      <w:spacing w:before="40" w:after="40"/>
      <w:jc w:val="both"/>
    </w:pPr>
    <w:rPr>
      <w:rFonts w:ascii="Arial" w:hAnsi="Arial"/>
      <w:color w:val="000000"/>
      <w:sz w:val="16"/>
      <w:szCs w:val="24"/>
    </w:rPr>
  </w:style>
  <w:style w:type="character" w:customStyle="1" w:styleId="TableBodyText-H54Char">
    <w:name w:val="Table Body Text - H54 Char"/>
    <w:basedOn w:val="DefaultParagraphFont"/>
    <w:link w:val="TableBodyText-H54"/>
    <w:rsid w:val="00C501A8"/>
    <w:rPr>
      <w:rFonts w:ascii="Arial" w:eastAsia="Times New Roman" w:hAnsi="Arial" w:cs="Times New Roman"/>
      <w:color w:val="000000"/>
      <w:sz w:val="16"/>
      <w:szCs w:val="24"/>
    </w:rPr>
  </w:style>
  <w:style w:type="paragraph" w:customStyle="1" w:styleId="Subtitle1">
    <w:name w:val="Subtitle1"/>
    <w:basedOn w:val="Normal"/>
    <w:next w:val="Normal"/>
    <w:autoRedefine/>
    <w:uiPriority w:val="11"/>
    <w:qFormat/>
    <w:rsid w:val="00C501A8"/>
    <w:pPr>
      <w:numPr>
        <w:ilvl w:val="1"/>
      </w:numPr>
      <w:jc w:val="center"/>
    </w:pPr>
    <w:rPr>
      <w:rFonts w:ascii="Calibri Light" w:eastAsia="Times New Roman" w:hAnsi="Calibri Light"/>
      <w:b/>
      <w:color w:val="1F4E79"/>
      <w:spacing w:val="15"/>
      <w:sz w:val="28"/>
    </w:rPr>
  </w:style>
  <w:style w:type="character" w:customStyle="1" w:styleId="SubtitleChar">
    <w:name w:val="Subtitle Char"/>
    <w:basedOn w:val="DefaultParagraphFont"/>
    <w:link w:val="Subtitle"/>
    <w:uiPriority w:val="11"/>
    <w:rsid w:val="00C501A8"/>
    <w:rPr>
      <w:rFonts w:ascii="Calibri Light" w:eastAsia="Times New Roman" w:hAnsi="Calibri Light"/>
      <w:b/>
      <w:color w:val="1F4E79"/>
      <w:spacing w:val="15"/>
      <w:sz w:val="28"/>
    </w:rPr>
  </w:style>
  <w:style w:type="paragraph" w:customStyle="1" w:styleId="ListBullet-Bullet">
    <w:name w:val="List Bullet - Bullet"/>
    <w:basedOn w:val="Normal"/>
    <w:link w:val="ListBullet-BulletChar"/>
    <w:qFormat/>
    <w:rsid w:val="00C501A8"/>
    <w:pPr>
      <w:keepLines/>
      <w:widowControl w:val="0"/>
      <w:numPr>
        <w:numId w:val="15"/>
      </w:numPr>
      <w:spacing w:before="240" w:after="120" w:line="240" w:lineRule="auto"/>
      <w:jc w:val="both"/>
    </w:pPr>
    <w:rPr>
      <w:rFonts w:ascii="Tahoma" w:eastAsia="Times New Roman" w:hAnsi="Tahoma" w:cs="Times New Roman"/>
      <w:sz w:val="20"/>
      <w:szCs w:val="24"/>
    </w:rPr>
  </w:style>
  <w:style w:type="character" w:customStyle="1" w:styleId="ListBullet-BulletChar">
    <w:name w:val="List Bullet - Bullet Char"/>
    <w:basedOn w:val="DefaultParagraphFont"/>
    <w:link w:val="ListBullet-Bullet"/>
    <w:rsid w:val="00C501A8"/>
    <w:rPr>
      <w:rFonts w:ascii="Tahoma" w:eastAsia="Times New Roman" w:hAnsi="Tahoma" w:cs="Times New Roman"/>
      <w:sz w:val="20"/>
      <w:szCs w:val="24"/>
    </w:rPr>
  </w:style>
  <w:style w:type="table" w:customStyle="1" w:styleId="Table-HERONplain">
    <w:name w:val="Table - HERON plain"/>
    <w:basedOn w:val="TableNormal"/>
    <w:uiPriority w:val="99"/>
    <w:qFormat/>
    <w:rsid w:val="00C501A8"/>
    <w:pPr>
      <w:spacing w:after="0" w:line="240" w:lineRule="auto"/>
    </w:pPr>
    <w:rPr>
      <w:rFonts w:ascii="Tahoma" w:eastAsia="Tahoma" w:hAnsi="Tahoma" w:cs="Times New Roman"/>
      <w:sz w:val="16"/>
      <w:szCs w:val="20"/>
      <w:lang w:eastAsia="en-GB"/>
    </w:rPr>
    <w:tblPr>
      <w:tblStyleRowBandSize w:val="1"/>
      <w:tblInd w:w="113" w:type="dxa"/>
      <w:tblBorders>
        <w:top w:val="single" w:sz="8" w:space="0" w:color="002C77"/>
        <w:left w:val="single" w:sz="8" w:space="0" w:color="002C77"/>
        <w:bottom w:val="single" w:sz="8" w:space="0" w:color="002C77"/>
        <w:right w:val="single" w:sz="8" w:space="0" w:color="002C77"/>
        <w:insideH w:val="single" w:sz="8" w:space="0" w:color="002C77"/>
        <w:insideV w:val="single" w:sz="8" w:space="0" w:color="002C77"/>
      </w:tblBorders>
    </w:tblPr>
    <w:trPr>
      <w:cantSplit/>
    </w:trPr>
    <w:tcPr>
      <w:shd w:val="clear" w:color="auto" w:fill="auto"/>
      <w:vAlign w:val="center"/>
    </w:tcPr>
    <w:tblStylePr w:type="firstRow">
      <w:rPr>
        <w:rFonts w:ascii="inherit" w:hAnsi="inherit"/>
        <w:b w:val="0"/>
        <w:sz w:val="16"/>
      </w:rPr>
      <w:tblPr/>
      <w:trPr>
        <w:cantSplit w:val="0"/>
        <w:tblHeader/>
      </w:trPr>
      <w:tcPr>
        <w:shd w:val="clear" w:color="auto" w:fill="C7C7C7"/>
      </w:tcPr>
    </w:tblStylePr>
    <w:tblStylePr w:type="lastRow">
      <w:rPr>
        <w:rFonts w:ascii="inherit" w:hAnsi="inherit"/>
        <w:sz w:val="16"/>
      </w:rPr>
      <w:tblPr/>
      <w:tcPr>
        <w:shd w:val="clear" w:color="auto" w:fill="DEDEDE"/>
      </w:tcPr>
    </w:tblStylePr>
    <w:tblStylePr w:type="firstCol">
      <w:rPr>
        <w:b/>
      </w:rPr>
      <w:tblPr/>
      <w:tcPr>
        <w:shd w:val="clear" w:color="auto" w:fill="BFBFBF"/>
      </w:tcPr>
    </w:tblStylePr>
    <w:tblStylePr w:type="band2Horz">
      <w:rPr>
        <w:rFonts w:ascii="inherit" w:hAnsi="inherit"/>
        <w:sz w:val="16"/>
      </w:rPr>
    </w:tblStylePr>
  </w:style>
  <w:style w:type="paragraph" w:customStyle="1" w:styleId="TableBodyText">
    <w:name w:val="Table Body Text"/>
    <w:basedOn w:val="BodyText"/>
    <w:link w:val="TableBodyTextChar"/>
    <w:qFormat/>
    <w:rsid w:val="00C501A8"/>
    <w:pPr>
      <w:keepLines/>
      <w:widowControl w:val="0"/>
      <w:tabs>
        <w:tab w:val="clear" w:pos="720"/>
      </w:tabs>
      <w:spacing w:before="40" w:after="40"/>
      <w:jc w:val="both"/>
    </w:pPr>
    <w:rPr>
      <w:sz w:val="16"/>
    </w:rPr>
  </w:style>
  <w:style w:type="character" w:customStyle="1" w:styleId="TableBodyTextChar">
    <w:name w:val="Table Body Text Char"/>
    <w:basedOn w:val="DefaultParagraphFont"/>
    <w:link w:val="TableBodyText"/>
    <w:rsid w:val="00C501A8"/>
    <w:rPr>
      <w:rFonts w:ascii="Tahoma" w:eastAsia="Times New Roman" w:hAnsi="Tahoma" w:cs="Times New Roman"/>
      <w:sz w:val="16"/>
      <w:szCs w:val="20"/>
    </w:rPr>
  </w:style>
  <w:style w:type="character" w:customStyle="1" w:styleId="CaptionChar">
    <w:name w:val="Caption Char"/>
    <w:aliases w:val="Bayer Caption Char,IB Caption Char,Medical Caption Char,- H17 Char,! Q Char,B Caption Char"/>
    <w:basedOn w:val="DefaultParagraphFont"/>
    <w:link w:val="Caption"/>
    <w:locked/>
    <w:rsid w:val="00C501A8"/>
    <w:rPr>
      <w:i/>
      <w:iCs/>
      <w:color w:val="44546A" w:themeColor="text2"/>
      <w:sz w:val="18"/>
      <w:szCs w:val="18"/>
    </w:rPr>
  </w:style>
  <w:style w:type="paragraph" w:customStyle="1" w:styleId="ListBullet-Text">
    <w:name w:val="List Bullet - Text"/>
    <w:basedOn w:val="Normal"/>
    <w:qFormat/>
    <w:rsid w:val="00C501A8"/>
    <w:pPr>
      <w:keepLines/>
      <w:widowControl w:val="0"/>
      <w:numPr>
        <w:numId w:val="16"/>
      </w:numPr>
      <w:spacing w:before="60" w:after="0" w:line="240" w:lineRule="auto"/>
      <w:jc w:val="both"/>
    </w:pPr>
    <w:rPr>
      <w:rFonts w:ascii="Tahoma" w:eastAsia="Times New Roman" w:hAnsi="Tahoma" w:cs="Times New Roman"/>
      <w:sz w:val="18"/>
      <w:szCs w:val="24"/>
      <w:lang w:eastAsia="x-none"/>
    </w:rPr>
  </w:style>
  <w:style w:type="paragraph" w:customStyle="1" w:styleId="TableHeading">
    <w:name w:val="Table Heading"/>
    <w:basedOn w:val="Heading4"/>
    <w:link w:val="TableHeadingChar"/>
    <w:uiPriority w:val="99"/>
    <w:qFormat/>
    <w:rsid w:val="00C501A8"/>
    <w:pPr>
      <w:keepLines w:val="0"/>
      <w:tabs>
        <w:tab w:val="left" w:pos="1440"/>
      </w:tabs>
      <w:spacing w:before="80" w:after="120" w:line="240" w:lineRule="auto"/>
      <w:ind w:left="227"/>
      <w:jc w:val="both"/>
      <w:outlineLvl w:val="9"/>
    </w:pPr>
    <w:rPr>
      <w:rFonts w:ascii="Tahoma" w:eastAsia="Arial Unicode MS" w:hAnsi="Tahoma" w:cs="Times New Roman"/>
      <w:i w:val="0"/>
      <w:iCs w:val="0"/>
      <w:color w:val="auto"/>
      <w:sz w:val="16"/>
      <w:szCs w:val="44"/>
      <w:lang w:val="x-none" w:eastAsia="x-none"/>
    </w:rPr>
  </w:style>
  <w:style w:type="character" w:customStyle="1" w:styleId="TableHeadingChar">
    <w:name w:val="Table Heading Char"/>
    <w:basedOn w:val="DefaultParagraphFont"/>
    <w:link w:val="TableHeading"/>
    <w:uiPriority w:val="99"/>
    <w:locked/>
    <w:rsid w:val="00C501A8"/>
    <w:rPr>
      <w:rFonts w:ascii="Tahoma" w:eastAsia="Arial Unicode MS" w:hAnsi="Tahoma" w:cs="Times New Roman"/>
      <w:sz w:val="16"/>
      <w:szCs w:val="44"/>
      <w:lang w:val="x-none" w:eastAsia="x-none"/>
    </w:rPr>
  </w:style>
  <w:style w:type="paragraph" w:customStyle="1" w:styleId="TableNote">
    <w:name w:val="Table Note"/>
    <w:basedOn w:val="BodyText"/>
    <w:rsid w:val="00C501A8"/>
    <w:pPr>
      <w:keepLines/>
      <w:tabs>
        <w:tab w:val="clear" w:pos="720"/>
        <w:tab w:val="left" w:pos="680"/>
      </w:tabs>
      <w:spacing w:before="45" w:after="120"/>
      <w:jc w:val="both"/>
    </w:pPr>
    <w:rPr>
      <w:bCs/>
      <w:sz w:val="16"/>
      <w:lang w:val="x-none" w:eastAsia="x-none"/>
    </w:rPr>
  </w:style>
  <w:style w:type="paragraph" w:customStyle="1" w:styleId="SummaryKVM">
    <w:name w:val="Summary KVM"/>
    <w:aliases w:val="- H51"/>
    <w:basedOn w:val="BodyText"/>
    <w:rsid w:val="00C501A8"/>
    <w:pPr>
      <w:keepLines/>
      <w:widowControl w:val="0"/>
      <w:pBdr>
        <w:left w:val="single" w:sz="48" w:space="13" w:color="00529B"/>
      </w:pBdr>
      <w:tabs>
        <w:tab w:val="clear" w:pos="720"/>
      </w:tabs>
      <w:spacing w:before="120" w:after="120"/>
      <w:ind w:left="425"/>
      <w:jc w:val="both"/>
    </w:pPr>
    <w:rPr>
      <w:bCs/>
      <w:color w:val="00529B"/>
      <w:sz w:val="20"/>
    </w:rPr>
  </w:style>
  <w:style w:type="paragraph" w:customStyle="1" w:styleId="TableBullet">
    <w:name w:val="Table Bullet"/>
    <w:basedOn w:val="Normal"/>
    <w:rsid w:val="00C501A8"/>
    <w:pPr>
      <w:keepLines/>
      <w:widowControl w:val="0"/>
      <w:numPr>
        <w:numId w:val="17"/>
      </w:numPr>
      <w:spacing w:after="0" w:line="240" w:lineRule="auto"/>
      <w:jc w:val="both"/>
    </w:pPr>
    <w:rPr>
      <w:rFonts w:ascii="Tahoma" w:eastAsia="Times New Roman" w:hAnsi="Tahoma" w:cs="Times New Roman"/>
      <w:color w:val="000000"/>
      <w:sz w:val="16"/>
      <w:szCs w:val="16"/>
      <w:lang w:eastAsia="en-GB"/>
    </w:rPr>
  </w:style>
  <w:style w:type="paragraph" w:customStyle="1" w:styleId="BodyContent">
    <w:name w:val="*Body Content"/>
    <w:basedOn w:val="Normal"/>
    <w:link w:val="BodyContentChar"/>
    <w:qFormat/>
    <w:rsid w:val="00C501A8"/>
    <w:pPr>
      <w:widowControl w:val="0"/>
      <w:autoSpaceDE w:val="0"/>
      <w:autoSpaceDN w:val="0"/>
      <w:adjustRightInd w:val="0"/>
      <w:spacing w:after="0" w:line="276" w:lineRule="auto"/>
      <w:jc w:val="both"/>
      <w:textAlignment w:val="center"/>
    </w:pPr>
    <w:rPr>
      <w:rFonts w:ascii="Arial" w:eastAsia="Cambria" w:hAnsi="Arial" w:cs="Times-Roman"/>
      <w:color w:val="000000"/>
      <w:sz w:val="20"/>
      <w:szCs w:val="24"/>
    </w:rPr>
  </w:style>
  <w:style w:type="character" w:customStyle="1" w:styleId="BodyContentChar">
    <w:name w:val="*Body Content Char"/>
    <w:basedOn w:val="DefaultParagraphFont"/>
    <w:link w:val="BodyContent"/>
    <w:rsid w:val="00C501A8"/>
    <w:rPr>
      <w:rFonts w:ascii="Arial" w:eastAsia="Cambria" w:hAnsi="Arial" w:cs="Times-Roman"/>
      <w:color w:val="000000"/>
      <w:sz w:val="20"/>
      <w:szCs w:val="24"/>
    </w:rPr>
  </w:style>
  <w:style w:type="paragraph" w:customStyle="1" w:styleId="TableBullet-H55">
    <w:name w:val="Table Bullet - H55"/>
    <w:basedOn w:val="Normal"/>
    <w:qFormat/>
    <w:rsid w:val="00C501A8"/>
    <w:pPr>
      <w:keepLines/>
      <w:widowControl w:val="0"/>
      <w:numPr>
        <w:numId w:val="18"/>
      </w:numPr>
      <w:spacing w:after="0" w:line="240" w:lineRule="auto"/>
      <w:jc w:val="both"/>
    </w:pPr>
    <w:rPr>
      <w:rFonts w:ascii="Arial" w:eastAsia="Times New Roman" w:hAnsi="Arial" w:cs="Times New Roman"/>
      <w:color w:val="000000"/>
      <w:sz w:val="16"/>
      <w:szCs w:val="16"/>
      <w:lang w:eastAsia="en-GB"/>
    </w:rPr>
  </w:style>
  <w:style w:type="paragraph" w:customStyle="1" w:styleId="Summary-Bullet-H47">
    <w:name w:val="Summary - Bullet - H47"/>
    <w:basedOn w:val="Normal"/>
    <w:qFormat/>
    <w:rsid w:val="00C501A8"/>
    <w:pPr>
      <w:keepLines/>
      <w:widowControl w:val="0"/>
      <w:numPr>
        <w:numId w:val="19"/>
      </w:numPr>
      <w:pBdr>
        <w:top w:val="single" w:sz="12" w:space="12" w:color="002C77"/>
        <w:left w:val="single" w:sz="12" w:space="12" w:color="002C77"/>
        <w:bottom w:val="single" w:sz="12" w:space="12" w:color="002C77"/>
        <w:right w:val="single" w:sz="12" w:space="12" w:color="002C77"/>
      </w:pBdr>
      <w:shd w:val="clear" w:color="auto" w:fill="002C77"/>
      <w:spacing w:after="120" w:line="240" w:lineRule="auto"/>
      <w:ind w:left="720" w:right="804"/>
      <w:jc w:val="both"/>
    </w:pPr>
    <w:rPr>
      <w:rFonts w:ascii="Arial" w:eastAsia="Times New Roman" w:hAnsi="Arial" w:cs="Times New Roman"/>
      <w:iCs/>
      <w:color w:val="FFFFFF"/>
      <w:sz w:val="20"/>
      <w:szCs w:val="20"/>
    </w:rPr>
  </w:style>
  <w:style w:type="paragraph" w:customStyle="1" w:styleId="BMSHeadingAppendix">
    <w:name w:val="BMS Heading Appendix"/>
    <w:rsid w:val="00C501A8"/>
    <w:pPr>
      <w:keepNext/>
      <w:keepLines/>
      <w:numPr>
        <w:numId w:val="20"/>
      </w:numPr>
      <w:tabs>
        <w:tab w:val="left" w:pos="2160"/>
      </w:tabs>
      <w:spacing w:before="120" w:after="120" w:line="240" w:lineRule="auto"/>
      <w:outlineLvl w:val="0"/>
    </w:pPr>
    <w:rPr>
      <w:rFonts w:ascii="Arial" w:eastAsia="Times New Roman" w:hAnsi="Arial" w:cs="Times New Roman"/>
      <w:b/>
      <w:caps/>
      <w:sz w:val="24"/>
      <w:szCs w:val="20"/>
      <w:lang w:val="en-US"/>
    </w:rPr>
  </w:style>
  <w:style w:type="paragraph" w:customStyle="1" w:styleId="TableNote-H58">
    <w:name w:val="Table Note - H58"/>
    <w:basedOn w:val="BodyText"/>
    <w:qFormat/>
    <w:rsid w:val="00C501A8"/>
    <w:pPr>
      <w:keepLines/>
      <w:tabs>
        <w:tab w:val="clear" w:pos="720"/>
        <w:tab w:val="left" w:pos="680"/>
      </w:tabs>
      <w:spacing w:before="45" w:after="120"/>
      <w:jc w:val="both"/>
    </w:pPr>
    <w:rPr>
      <w:rFonts w:ascii="Arial" w:hAnsi="Arial"/>
      <w:bCs/>
      <w:color w:val="000000"/>
      <w:sz w:val="12"/>
      <w:szCs w:val="12"/>
    </w:rPr>
  </w:style>
  <w:style w:type="character" w:customStyle="1" w:styleId="Appendix11">
    <w:name w:val="Appendix 11"/>
    <w:basedOn w:val="DefaultParagraphFont"/>
    <w:uiPriority w:val="32"/>
    <w:qFormat/>
    <w:rsid w:val="00C501A8"/>
    <w:rPr>
      <w:b/>
      <w:bCs/>
      <w:smallCaps/>
      <w:color w:val="1F4E79"/>
      <w:spacing w:val="5"/>
      <w:sz w:val="28"/>
    </w:rPr>
  </w:style>
  <w:style w:type="paragraph" w:customStyle="1" w:styleId="TableHeading-H56">
    <w:name w:val="Table Heading - H56"/>
    <w:basedOn w:val="Heading4"/>
    <w:qFormat/>
    <w:rsid w:val="00C501A8"/>
    <w:pPr>
      <w:keepLines w:val="0"/>
      <w:tabs>
        <w:tab w:val="left" w:pos="1440"/>
      </w:tabs>
      <w:spacing w:before="80" w:after="40" w:line="240" w:lineRule="auto"/>
      <w:ind w:left="227"/>
      <w:jc w:val="both"/>
      <w:outlineLvl w:val="9"/>
    </w:pPr>
    <w:rPr>
      <w:rFonts w:ascii="Arial" w:eastAsia="Arial Unicode MS" w:hAnsi="Arial" w:cs="Times New Roman"/>
      <w:b/>
      <w:i w:val="0"/>
      <w:iCs w:val="0"/>
      <w:color w:val="44546A"/>
      <w:sz w:val="16"/>
      <w:szCs w:val="44"/>
    </w:rPr>
  </w:style>
  <w:style w:type="table" w:styleId="TableGrid8">
    <w:name w:val="Table Grid 8"/>
    <w:basedOn w:val="TableNormal"/>
    <w:uiPriority w:val="99"/>
    <w:semiHidden/>
    <w:unhideWhenUsed/>
    <w:rsid w:val="00C501A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3">
    <w:name w:val="Table Grid3"/>
    <w:basedOn w:val="TableNormal"/>
    <w:next w:val="TableGrid"/>
    <w:uiPriority w:val="39"/>
    <w:rsid w:val="00C501A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H41">
    <w:name w:val="List Bullet - H41"/>
    <w:basedOn w:val="ListBullet-Text"/>
    <w:link w:val="ListBullet-H41Char"/>
    <w:qFormat/>
    <w:rsid w:val="00C501A8"/>
    <w:pPr>
      <w:numPr>
        <w:numId w:val="0"/>
      </w:numPr>
      <w:spacing w:before="240" w:after="120"/>
      <w:ind w:left="928" w:hanging="360"/>
    </w:pPr>
    <w:rPr>
      <w:rFonts w:ascii="Arial" w:hAnsi="Arial"/>
      <w:color w:val="000000"/>
      <w:lang w:eastAsia="en-US"/>
    </w:rPr>
  </w:style>
  <w:style w:type="paragraph" w:customStyle="1" w:styleId="FootnoteText1">
    <w:name w:val="Footnote Text1"/>
    <w:basedOn w:val="Normal"/>
    <w:next w:val="FootnoteText"/>
    <w:link w:val="FootnoteTextChar"/>
    <w:uiPriority w:val="99"/>
    <w:semiHidden/>
    <w:unhideWhenUsed/>
    <w:rsid w:val="00C501A8"/>
    <w:pPr>
      <w:keepLines/>
      <w:widowControl w:val="0"/>
      <w:spacing w:after="0" w:line="240" w:lineRule="auto"/>
      <w:jc w:val="both"/>
    </w:pPr>
    <w:rPr>
      <w:rFonts w:ascii="Arial" w:eastAsia="Times New Roman" w:hAnsi="Arial" w:cs="Times New Roman"/>
      <w:color w:val="000000"/>
      <w:sz w:val="20"/>
      <w:szCs w:val="20"/>
    </w:rPr>
  </w:style>
  <w:style w:type="character" w:customStyle="1" w:styleId="FootnoteTextChar">
    <w:name w:val="Footnote Text Char"/>
    <w:basedOn w:val="DefaultParagraphFont"/>
    <w:link w:val="FootnoteText1"/>
    <w:uiPriority w:val="99"/>
    <w:semiHidden/>
    <w:rsid w:val="00C501A8"/>
    <w:rPr>
      <w:rFonts w:ascii="Arial" w:eastAsia="Times New Roman" w:hAnsi="Arial" w:cs="Times New Roman"/>
      <w:color w:val="000000"/>
      <w:sz w:val="20"/>
      <w:szCs w:val="20"/>
    </w:rPr>
  </w:style>
  <w:style w:type="character" w:styleId="FootnoteReference">
    <w:name w:val="footnote reference"/>
    <w:basedOn w:val="DefaultParagraphFont"/>
    <w:uiPriority w:val="99"/>
    <w:semiHidden/>
    <w:unhideWhenUsed/>
    <w:rsid w:val="00C501A8"/>
    <w:rPr>
      <w:vertAlign w:val="superscript"/>
    </w:rPr>
  </w:style>
  <w:style w:type="paragraph" w:customStyle="1" w:styleId="ListLevel2-H41a">
    <w:name w:val="List Level 2 - H41a"/>
    <w:basedOn w:val="ListBullet-H41"/>
    <w:qFormat/>
    <w:rsid w:val="00C501A8"/>
    <w:pPr>
      <w:ind w:left="1440"/>
    </w:pPr>
  </w:style>
  <w:style w:type="paragraph" w:customStyle="1" w:styleId="TableBulletLevel2">
    <w:name w:val="Table Bullet Level 2"/>
    <w:basedOn w:val="TableBullet-H55"/>
    <w:qFormat/>
    <w:rsid w:val="00C501A8"/>
    <w:pPr>
      <w:numPr>
        <w:numId w:val="0"/>
      </w:numPr>
      <w:ind w:left="769" w:hanging="360"/>
    </w:pPr>
    <w:rPr>
      <w:lang w:val="en-US"/>
    </w:rPr>
  </w:style>
  <w:style w:type="character" w:customStyle="1" w:styleId="ListBullet-H41Char">
    <w:name w:val="List Bullet - H41 Char"/>
    <w:basedOn w:val="DefaultParagraphFont"/>
    <w:link w:val="ListBullet-H41"/>
    <w:rsid w:val="00C501A8"/>
    <w:rPr>
      <w:rFonts w:ascii="Arial" w:eastAsia="Times New Roman" w:hAnsi="Arial" w:cs="Times New Roman"/>
      <w:color w:val="000000"/>
      <w:sz w:val="18"/>
      <w:szCs w:val="24"/>
    </w:rPr>
  </w:style>
  <w:style w:type="paragraph" w:customStyle="1" w:styleId="ListRomanNumerals-H43">
    <w:name w:val="List Roman Numerals - H43"/>
    <w:basedOn w:val="Normal"/>
    <w:qFormat/>
    <w:rsid w:val="00C501A8"/>
    <w:pPr>
      <w:keepLines/>
      <w:widowControl w:val="0"/>
      <w:numPr>
        <w:numId w:val="21"/>
      </w:numPr>
      <w:spacing w:after="0" w:line="240" w:lineRule="auto"/>
      <w:ind w:left="1418" w:hanging="142"/>
      <w:jc w:val="both"/>
    </w:pPr>
    <w:rPr>
      <w:rFonts w:ascii="Arial" w:eastAsia="Times New Roman" w:hAnsi="Arial" w:cs="Times New Roman"/>
      <w:color w:val="000000"/>
      <w:sz w:val="20"/>
      <w:szCs w:val="24"/>
    </w:rPr>
  </w:style>
  <w:style w:type="character" w:customStyle="1" w:styleId="IntenseEmphasis1">
    <w:name w:val="Intense Emphasis1"/>
    <w:basedOn w:val="DefaultParagraphFont"/>
    <w:uiPriority w:val="21"/>
    <w:qFormat/>
    <w:rsid w:val="00C501A8"/>
    <w:rPr>
      <w:rFonts w:ascii="Calibri" w:hAnsi="Calibri"/>
      <w:i/>
      <w:iCs/>
      <w:color w:val="323E4F"/>
      <w:sz w:val="24"/>
    </w:rPr>
  </w:style>
  <w:style w:type="table" w:customStyle="1" w:styleId="TableGridLight1">
    <w:name w:val="Table Grid Light1"/>
    <w:basedOn w:val="TableNormal"/>
    <w:next w:val="TableGridLight"/>
    <w:uiPriority w:val="40"/>
    <w:rsid w:val="00C501A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oSpacingChar">
    <w:name w:val="No Spacing Char"/>
    <w:basedOn w:val="DefaultParagraphFont"/>
    <w:link w:val="NoSpacing"/>
    <w:uiPriority w:val="1"/>
    <w:rsid w:val="00C501A8"/>
    <w:rPr>
      <w:rFonts w:ascii="Tahoma" w:eastAsia="Times New Roman" w:hAnsi="Tahoma" w:cs="Times New Roman"/>
      <w:szCs w:val="20"/>
    </w:rPr>
  </w:style>
  <w:style w:type="paragraph" w:customStyle="1" w:styleId="Heading30">
    <w:name w:val="Heading3"/>
    <w:basedOn w:val="Heading3"/>
    <w:link w:val="Heading3Char0"/>
    <w:qFormat/>
    <w:rsid w:val="00C501A8"/>
    <w:pPr>
      <w:ind w:left="170"/>
      <w:jc w:val="both"/>
    </w:pPr>
    <w:rPr>
      <w:b/>
      <w:sz w:val="28"/>
    </w:rPr>
  </w:style>
  <w:style w:type="character" w:customStyle="1" w:styleId="Heading3Char0">
    <w:name w:val="Heading3 Char"/>
    <w:basedOn w:val="Heading3Char"/>
    <w:link w:val="Heading30"/>
    <w:rsid w:val="00C501A8"/>
    <w:rPr>
      <w:rFonts w:asciiTheme="majorHAnsi" w:eastAsiaTheme="majorEastAsia" w:hAnsiTheme="majorHAnsi" w:cstheme="majorBidi"/>
      <w:b/>
      <w:color w:val="1F3763" w:themeColor="accent1" w:themeShade="7F"/>
      <w:sz w:val="28"/>
      <w:szCs w:val="24"/>
    </w:rPr>
  </w:style>
  <w:style w:type="character" w:styleId="PlaceholderText">
    <w:name w:val="Placeholder Text"/>
    <w:basedOn w:val="DefaultParagraphFont"/>
    <w:uiPriority w:val="99"/>
    <w:semiHidden/>
    <w:rsid w:val="00C501A8"/>
    <w:rPr>
      <w:color w:val="808080"/>
    </w:rPr>
  </w:style>
  <w:style w:type="character" w:customStyle="1" w:styleId="labelblue1">
    <w:name w:val="labelblue1"/>
    <w:basedOn w:val="DefaultParagraphFont"/>
    <w:rsid w:val="00C501A8"/>
    <w:rPr>
      <w:b/>
      <w:bCs/>
      <w:color w:val="0000FF"/>
    </w:rPr>
  </w:style>
  <w:style w:type="character" w:customStyle="1" w:styleId="UnresolvedMention2">
    <w:name w:val="Unresolved Mention2"/>
    <w:basedOn w:val="DefaultParagraphFont"/>
    <w:uiPriority w:val="99"/>
    <w:semiHidden/>
    <w:unhideWhenUsed/>
    <w:rsid w:val="00C501A8"/>
    <w:rPr>
      <w:color w:val="605E5C"/>
      <w:shd w:val="clear" w:color="auto" w:fill="E1DFDD"/>
    </w:rPr>
  </w:style>
  <w:style w:type="paragraph" w:customStyle="1" w:styleId="xl76">
    <w:name w:val="xl76"/>
    <w:basedOn w:val="Normal"/>
    <w:rsid w:val="00C501A8"/>
    <w:pPr>
      <w:pBdr>
        <w:top w:val="single" w:sz="8" w:space="0" w:color="002060"/>
        <w:left w:val="single" w:sz="8" w:space="0" w:color="002C77"/>
        <w:bottom w:val="single" w:sz="8"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77">
    <w:name w:val="xl77"/>
    <w:basedOn w:val="Normal"/>
    <w:rsid w:val="00C501A8"/>
    <w:pPr>
      <w:pBdr>
        <w:top w:val="single" w:sz="8" w:space="0" w:color="002060"/>
        <w:left w:val="single" w:sz="8" w:space="0" w:color="002060"/>
        <w:bottom w:val="single" w:sz="8" w:space="0" w:color="002C77"/>
      </w:pBdr>
      <w:shd w:val="clear" w:color="000000" w:fill="C7C7C7"/>
      <w:spacing w:before="100" w:beforeAutospacing="1" w:after="100" w:afterAutospacing="1" w:line="240" w:lineRule="auto"/>
      <w:jc w:val="both"/>
      <w:textAlignment w:val="center"/>
    </w:pPr>
    <w:rPr>
      <w:rFonts w:ascii="Arial" w:eastAsia="Times New Roman" w:hAnsi="Arial" w:cs="Arial"/>
      <w:b/>
      <w:bCs/>
      <w:color w:val="44546A"/>
      <w:sz w:val="16"/>
      <w:szCs w:val="16"/>
      <w:lang w:eastAsia="en-GB"/>
    </w:rPr>
  </w:style>
  <w:style w:type="paragraph" w:customStyle="1" w:styleId="xl78">
    <w:name w:val="xl78"/>
    <w:basedOn w:val="Normal"/>
    <w:rsid w:val="00C501A8"/>
    <w:pPr>
      <w:pBdr>
        <w:left w:val="single" w:sz="8" w:space="0" w:color="002060"/>
        <w:bottom w:val="single" w:sz="8" w:space="0" w:color="002C77"/>
        <w:right w:val="single" w:sz="8" w:space="0" w:color="002C77"/>
      </w:pBdr>
      <w:shd w:val="clear" w:color="000000" w:fill="C7C7C7"/>
      <w:spacing w:before="100" w:beforeAutospacing="1" w:after="100" w:afterAutospacing="1" w:line="240" w:lineRule="auto"/>
      <w:jc w:val="both"/>
      <w:textAlignment w:val="center"/>
    </w:pPr>
    <w:rPr>
      <w:rFonts w:ascii="Arial" w:eastAsia="Times New Roman" w:hAnsi="Arial" w:cs="Arial"/>
      <w:b/>
      <w:bCs/>
      <w:color w:val="44546A"/>
      <w:sz w:val="16"/>
      <w:szCs w:val="16"/>
      <w:lang w:eastAsia="en-GB"/>
    </w:rPr>
  </w:style>
  <w:style w:type="paragraph" w:customStyle="1" w:styleId="xl79">
    <w:name w:val="xl79"/>
    <w:basedOn w:val="Normal"/>
    <w:rsid w:val="00C501A8"/>
    <w:pPr>
      <w:pBdr>
        <w:left w:val="single" w:sz="8" w:space="0" w:color="002C77"/>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0">
    <w:name w:val="xl80"/>
    <w:basedOn w:val="Normal"/>
    <w:rsid w:val="00C501A8"/>
    <w:pPr>
      <w:pBdr>
        <w:top w:val="single" w:sz="8" w:space="0" w:color="002C77"/>
        <w:left w:val="single" w:sz="8" w:space="0" w:color="002060"/>
        <w:bottom w:val="single" w:sz="8" w:space="0" w:color="002C77"/>
      </w:pBdr>
      <w:shd w:val="clear" w:color="000000" w:fill="C7C7C7"/>
      <w:spacing w:before="100" w:beforeAutospacing="1" w:after="100" w:afterAutospacing="1" w:line="240" w:lineRule="auto"/>
      <w:jc w:val="both"/>
      <w:textAlignment w:val="center"/>
    </w:pPr>
    <w:rPr>
      <w:rFonts w:ascii="Arial" w:eastAsia="Times New Roman" w:hAnsi="Arial" w:cs="Arial"/>
      <w:b/>
      <w:bCs/>
      <w:color w:val="44546A"/>
      <w:sz w:val="16"/>
      <w:szCs w:val="16"/>
      <w:lang w:eastAsia="en-GB"/>
    </w:rPr>
  </w:style>
  <w:style w:type="paragraph" w:customStyle="1" w:styleId="xl81">
    <w:name w:val="xl81"/>
    <w:basedOn w:val="Normal"/>
    <w:rsid w:val="00C501A8"/>
    <w:pPr>
      <w:pBdr>
        <w:left w:val="single" w:sz="8" w:space="0" w:color="002060"/>
        <w:bottom w:val="single" w:sz="8" w:space="0" w:color="002C77"/>
      </w:pBdr>
      <w:spacing w:before="100" w:beforeAutospacing="1" w:after="100" w:afterAutospacing="1" w:line="240" w:lineRule="auto"/>
      <w:jc w:val="both"/>
      <w:textAlignment w:val="center"/>
    </w:pPr>
    <w:rPr>
      <w:rFonts w:ascii="Arial" w:eastAsia="Times New Roman" w:hAnsi="Arial" w:cs="Arial"/>
      <w:color w:val="000000"/>
      <w:sz w:val="16"/>
      <w:szCs w:val="16"/>
      <w:lang w:eastAsia="en-GB"/>
    </w:rPr>
  </w:style>
  <w:style w:type="paragraph" w:customStyle="1" w:styleId="xl82">
    <w:name w:val="xl82"/>
    <w:basedOn w:val="Normal"/>
    <w:rsid w:val="00C501A8"/>
    <w:pPr>
      <w:pBdr>
        <w:left w:val="single" w:sz="4" w:space="0" w:color="002060"/>
        <w:bottom w:val="single" w:sz="4"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3">
    <w:name w:val="xl83"/>
    <w:basedOn w:val="Normal"/>
    <w:rsid w:val="00C501A8"/>
    <w:pPr>
      <w:pBdr>
        <w:top w:val="single" w:sz="4" w:space="0" w:color="002060"/>
        <w:left w:val="single" w:sz="4" w:space="0" w:color="002060"/>
        <w:bottom w:val="single" w:sz="4"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4">
    <w:name w:val="xl84"/>
    <w:basedOn w:val="Normal"/>
    <w:rsid w:val="00C501A8"/>
    <w:pPr>
      <w:pBdr>
        <w:left w:val="single" w:sz="8" w:space="0" w:color="002060"/>
        <w:bottom w:val="single" w:sz="8" w:space="0" w:color="002060"/>
      </w:pBdr>
      <w:spacing w:before="100" w:beforeAutospacing="1" w:after="100" w:afterAutospacing="1" w:line="240" w:lineRule="auto"/>
      <w:jc w:val="both"/>
      <w:textAlignment w:val="center"/>
    </w:pPr>
    <w:rPr>
      <w:rFonts w:ascii="Arial" w:eastAsia="Times New Roman" w:hAnsi="Arial" w:cs="Arial"/>
      <w:color w:val="000000"/>
      <w:sz w:val="16"/>
      <w:szCs w:val="16"/>
      <w:lang w:eastAsia="en-GB"/>
    </w:rPr>
  </w:style>
  <w:style w:type="paragraph" w:customStyle="1" w:styleId="xl85">
    <w:name w:val="xl85"/>
    <w:basedOn w:val="Normal"/>
    <w:rsid w:val="00C501A8"/>
    <w:pPr>
      <w:pBdr>
        <w:top w:val="single" w:sz="4" w:space="0" w:color="002060"/>
        <w:left w:val="single" w:sz="4" w:space="0" w:color="002060"/>
        <w:bottom w:val="single" w:sz="8" w:space="0" w:color="002060"/>
        <w:right w:val="single" w:sz="4"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6">
    <w:name w:val="xl86"/>
    <w:basedOn w:val="Normal"/>
    <w:rsid w:val="00C501A8"/>
    <w:pPr>
      <w:pBdr>
        <w:top w:val="single" w:sz="4" w:space="0" w:color="002060"/>
        <w:left w:val="single" w:sz="4" w:space="0" w:color="002060"/>
        <w:bottom w:val="single" w:sz="8"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character" w:customStyle="1" w:styleId="UnresolvedMention3">
    <w:name w:val="Unresolved Mention3"/>
    <w:basedOn w:val="DefaultParagraphFont"/>
    <w:uiPriority w:val="99"/>
    <w:semiHidden/>
    <w:unhideWhenUsed/>
    <w:rsid w:val="00C501A8"/>
    <w:rPr>
      <w:color w:val="605E5C"/>
      <w:shd w:val="clear" w:color="auto" w:fill="E1DFDD"/>
    </w:rPr>
  </w:style>
  <w:style w:type="character" w:customStyle="1" w:styleId="UnresolvedMention4">
    <w:name w:val="Unresolved Mention4"/>
    <w:basedOn w:val="DefaultParagraphFont"/>
    <w:uiPriority w:val="99"/>
    <w:semiHidden/>
    <w:unhideWhenUsed/>
    <w:rsid w:val="00C501A8"/>
    <w:rPr>
      <w:color w:val="605E5C"/>
      <w:shd w:val="clear" w:color="auto" w:fill="E1DFDD"/>
    </w:rPr>
  </w:style>
  <w:style w:type="character" w:customStyle="1" w:styleId="UnresolvedMention5">
    <w:name w:val="Unresolved Mention5"/>
    <w:basedOn w:val="DefaultParagraphFont"/>
    <w:uiPriority w:val="99"/>
    <w:semiHidden/>
    <w:unhideWhenUsed/>
    <w:rsid w:val="00C501A8"/>
    <w:rPr>
      <w:color w:val="605E5C"/>
      <w:shd w:val="clear" w:color="auto" w:fill="E1DFDD"/>
    </w:rPr>
  </w:style>
  <w:style w:type="paragraph" w:styleId="Subtitle">
    <w:name w:val="Subtitle"/>
    <w:basedOn w:val="Normal"/>
    <w:next w:val="Normal"/>
    <w:link w:val="SubtitleChar"/>
    <w:uiPriority w:val="11"/>
    <w:qFormat/>
    <w:rsid w:val="00C501A8"/>
    <w:pPr>
      <w:numPr>
        <w:ilvl w:val="1"/>
      </w:numPr>
    </w:pPr>
    <w:rPr>
      <w:rFonts w:ascii="Calibri Light" w:eastAsia="Times New Roman" w:hAnsi="Calibri Light"/>
      <w:b/>
      <w:color w:val="1F4E79"/>
      <w:spacing w:val="15"/>
      <w:sz w:val="28"/>
    </w:rPr>
  </w:style>
  <w:style w:type="character" w:customStyle="1" w:styleId="SubtitleChar1">
    <w:name w:val="Subtitle Char1"/>
    <w:basedOn w:val="DefaultParagraphFont"/>
    <w:uiPriority w:val="11"/>
    <w:rsid w:val="00C501A8"/>
    <w:rPr>
      <w:rFonts w:eastAsiaTheme="minorEastAsia"/>
      <w:color w:val="5A5A5A" w:themeColor="text1" w:themeTint="A5"/>
      <w:spacing w:val="15"/>
    </w:rPr>
  </w:style>
  <w:style w:type="character" w:styleId="IntenseReference">
    <w:name w:val="Intense Reference"/>
    <w:basedOn w:val="DefaultParagraphFont"/>
    <w:uiPriority w:val="32"/>
    <w:qFormat/>
    <w:rsid w:val="00C501A8"/>
    <w:rPr>
      <w:b/>
      <w:bCs/>
      <w:smallCaps/>
      <w:color w:val="4472C4" w:themeColor="accent1"/>
      <w:spacing w:val="5"/>
    </w:rPr>
  </w:style>
  <w:style w:type="paragraph" w:styleId="FootnoteText">
    <w:name w:val="footnote text"/>
    <w:basedOn w:val="Normal"/>
    <w:link w:val="FootnoteTextChar1"/>
    <w:uiPriority w:val="99"/>
    <w:semiHidden/>
    <w:unhideWhenUsed/>
    <w:rsid w:val="00C501A8"/>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C501A8"/>
    <w:rPr>
      <w:sz w:val="20"/>
      <w:szCs w:val="20"/>
    </w:rPr>
  </w:style>
  <w:style w:type="character" w:styleId="IntenseEmphasis">
    <w:name w:val="Intense Emphasis"/>
    <w:basedOn w:val="DefaultParagraphFont"/>
    <w:uiPriority w:val="21"/>
    <w:qFormat/>
    <w:rsid w:val="00C501A8"/>
    <w:rPr>
      <w:i/>
      <w:iCs/>
      <w:color w:val="4472C4" w:themeColor="accent1"/>
    </w:rPr>
  </w:style>
  <w:style w:type="table" w:styleId="TableGridLight">
    <w:name w:val="Grid Table Light"/>
    <w:basedOn w:val="TableNormal"/>
    <w:uiPriority w:val="40"/>
    <w:rsid w:val="00C501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3">
    <w:name w:val="No List3"/>
    <w:next w:val="NoList"/>
    <w:semiHidden/>
    <w:rsid w:val="002F4B81"/>
  </w:style>
  <w:style w:type="paragraph" w:styleId="BodyText3">
    <w:name w:val="Body Text 3"/>
    <w:basedOn w:val="Normal"/>
    <w:link w:val="BodyText3Char"/>
    <w:rsid w:val="002F4B81"/>
    <w:pPr>
      <w:spacing w:after="0" w:line="240" w:lineRule="auto"/>
    </w:pPr>
    <w:rPr>
      <w:rFonts w:ascii="Tahoma" w:eastAsia="Times New Roman" w:hAnsi="Tahoma" w:cs="Times New Roman"/>
      <w:i/>
      <w:iCs/>
      <w:color w:val="0000FF"/>
      <w:szCs w:val="20"/>
    </w:rPr>
  </w:style>
  <w:style w:type="character" w:customStyle="1" w:styleId="BodyText3Char">
    <w:name w:val="Body Text 3 Char"/>
    <w:basedOn w:val="DefaultParagraphFont"/>
    <w:link w:val="BodyText3"/>
    <w:rsid w:val="002F4B81"/>
    <w:rPr>
      <w:rFonts w:ascii="Tahoma" w:eastAsia="Times New Roman" w:hAnsi="Tahoma" w:cs="Times New Roman"/>
      <w:i/>
      <w:iCs/>
      <w:color w:val="0000FF"/>
      <w:szCs w:val="20"/>
    </w:rPr>
  </w:style>
  <w:style w:type="paragraph" w:styleId="BodyTextIndent3">
    <w:name w:val="Body Text Indent 3"/>
    <w:basedOn w:val="Normal"/>
    <w:link w:val="BodyTextIndent3Char"/>
    <w:rsid w:val="002F4B81"/>
    <w:pPr>
      <w:spacing w:after="0" w:line="240" w:lineRule="auto"/>
      <w:ind w:left="567"/>
      <w:jc w:val="both"/>
    </w:pPr>
    <w:rPr>
      <w:rFonts w:ascii="Tahoma" w:eastAsia="Times New Roman" w:hAnsi="Tahoma" w:cs="Times New Roman"/>
      <w:szCs w:val="20"/>
    </w:rPr>
  </w:style>
  <w:style w:type="character" w:customStyle="1" w:styleId="BodyTextIndent3Char">
    <w:name w:val="Body Text Indent 3 Char"/>
    <w:basedOn w:val="DefaultParagraphFont"/>
    <w:link w:val="BodyTextIndent3"/>
    <w:rsid w:val="002F4B81"/>
    <w:rPr>
      <w:rFonts w:ascii="Tahoma" w:eastAsia="Times New Roman" w:hAnsi="Tahoma" w:cs="Times New Roman"/>
      <w:szCs w:val="20"/>
    </w:rPr>
  </w:style>
  <w:style w:type="paragraph" w:customStyle="1" w:styleId="Figurelabel">
    <w:name w:val="Figure label"/>
    <w:basedOn w:val="Normal"/>
    <w:next w:val="BodyText"/>
    <w:rsid w:val="002F4B81"/>
    <w:pPr>
      <w:numPr>
        <w:numId w:val="32"/>
      </w:numPr>
      <w:spacing w:after="0" w:line="360" w:lineRule="auto"/>
    </w:pPr>
    <w:rPr>
      <w:rFonts w:ascii="Tahoma" w:eastAsia="Times New Roman" w:hAnsi="Tahoma" w:cs="Times New Roman"/>
      <w:b/>
      <w:szCs w:val="20"/>
    </w:rPr>
  </w:style>
  <w:style w:type="character" w:styleId="PageNumber">
    <w:name w:val="page number"/>
    <w:basedOn w:val="DefaultParagraphFont"/>
    <w:rsid w:val="002F4B81"/>
  </w:style>
  <w:style w:type="paragraph" w:customStyle="1" w:styleId="bullet1">
    <w:name w:val="bullet1"/>
    <w:basedOn w:val="Normal"/>
    <w:rsid w:val="002F4B81"/>
    <w:pPr>
      <w:numPr>
        <w:numId w:val="33"/>
      </w:num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120" w:after="120" w:line="360" w:lineRule="auto"/>
    </w:pPr>
    <w:rPr>
      <w:rFonts w:ascii="Arial" w:eastAsia="Times New Roman" w:hAnsi="Arial" w:cs="Arial"/>
      <w:iCs/>
      <w:szCs w:val="20"/>
      <w:lang w:val="en-US"/>
    </w:rPr>
  </w:style>
  <w:style w:type="character" w:customStyle="1" w:styleId="st">
    <w:name w:val="st"/>
    <w:rsid w:val="002F4B81"/>
  </w:style>
  <w:style w:type="character" w:customStyle="1" w:styleId="Normal2">
    <w:name w:val="Normal2"/>
    <w:rsid w:val="002F4B81"/>
  </w:style>
  <w:style w:type="character" w:customStyle="1" w:styleId="hvr">
    <w:name w:val="hvr"/>
    <w:rsid w:val="002F4B81"/>
  </w:style>
  <w:style w:type="character" w:customStyle="1" w:styleId="st1">
    <w:name w:val="st1"/>
    <w:rsid w:val="002F4B81"/>
  </w:style>
  <w:style w:type="paragraph" w:customStyle="1" w:styleId="TableParagraph">
    <w:name w:val="Table Paragraph"/>
    <w:basedOn w:val="Normal"/>
    <w:uiPriority w:val="1"/>
    <w:qFormat/>
    <w:rsid w:val="002F4B81"/>
    <w:pPr>
      <w:widowControl w:val="0"/>
      <w:spacing w:before="28" w:after="0" w:line="240" w:lineRule="auto"/>
      <w:ind w:left="86"/>
    </w:pPr>
    <w:rPr>
      <w:rFonts w:ascii="Cambria" w:eastAsia="Cambria" w:hAnsi="Cambria" w:cs="Cambria"/>
      <w:lang w:val="en-US"/>
    </w:rPr>
  </w:style>
  <w:style w:type="table" w:styleId="LightGrid">
    <w:name w:val="Light Grid"/>
    <w:basedOn w:val="TableNormal"/>
    <w:uiPriority w:val="62"/>
    <w:semiHidden/>
    <w:unhideWhenUsed/>
    <w:rsid w:val="002F4B81"/>
    <w:pPr>
      <w:spacing w:after="0" w:line="240" w:lineRule="auto"/>
    </w:pPr>
    <w:rPr>
      <w:rFonts w:ascii="Times New Roman" w:eastAsia="Times New Roman" w:hAnsi="Times New Roman" w:cs="Times New Roman"/>
      <w:sz w:val="20"/>
      <w:szCs w:val="20"/>
      <w:lang w:val="en-U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Verdana" w:eastAsia="MS Gothic" w:hAnsi="Verdan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Verdana" w:eastAsia="MS Gothic" w:hAnsi="Verdan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MS Gothic" w:hAnsi="Verdana" w:cs="Times New Roman" w:hint="default"/>
        <w:b/>
        <w:bCs/>
      </w:rPr>
    </w:tblStylePr>
    <w:tblStylePr w:type="lastCol">
      <w:rPr>
        <w:rFonts w:ascii="Verdana" w:eastAsia="MS Gothic" w:hAnsi="Verdan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7230">
      <w:bodyDiv w:val="1"/>
      <w:marLeft w:val="0"/>
      <w:marRight w:val="0"/>
      <w:marTop w:val="0"/>
      <w:marBottom w:val="0"/>
      <w:divBdr>
        <w:top w:val="none" w:sz="0" w:space="0" w:color="auto"/>
        <w:left w:val="none" w:sz="0" w:space="0" w:color="auto"/>
        <w:bottom w:val="none" w:sz="0" w:space="0" w:color="auto"/>
        <w:right w:val="none" w:sz="0" w:space="0" w:color="auto"/>
      </w:divBdr>
    </w:div>
    <w:div w:id="83848209">
      <w:bodyDiv w:val="1"/>
      <w:marLeft w:val="0"/>
      <w:marRight w:val="0"/>
      <w:marTop w:val="0"/>
      <w:marBottom w:val="0"/>
      <w:divBdr>
        <w:top w:val="none" w:sz="0" w:space="0" w:color="auto"/>
        <w:left w:val="none" w:sz="0" w:space="0" w:color="auto"/>
        <w:bottom w:val="none" w:sz="0" w:space="0" w:color="auto"/>
        <w:right w:val="none" w:sz="0" w:space="0" w:color="auto"/>
      </w:divBdr>
    </w:div>
    <w:div w:id="87312246">
      <w:bodyDiv w:val="1"/>
      <w:marLeft w:val="0"/>
      <w:marRight w:val="0"/>
      <w:marTop w:val="0"/>
      <w:marBottom w:val="0"/>
      <w:divBdr>
        <w:top w:val="none" w:sz="0" w:space="0" w:color="auto"/>
        <w:left w:val="none" w:sz="0" w:space="0" w:color="auto"/>
        <w:bottom w:val="none" w:sz="0" w:space="0" w:color="auto"/>
        <w:right w:val="none" w:sz="0" w:space="0" w:color="auto"/>
      </w:divBdr>
    </w:div>
    <w:div w:id="114520616">
      <w:bodyDiv w:val="1"/>
      <w:marLeft w:val="0"/>
      <w:marRight w:val="0"/>
      <w:marTop w:val="0"/>
      <w:marBottom w:val="0"/>
      <w:divBdr>
        <w:top w:val="none" w:sz="0" w:space="0" w:color="auto"/>
        <w:left w:val="none" w:sz="0" w:space="0" w:color="auto"/>
        <w:bottom w:val="none" w:sz="0" w:space="0" w:color="auto"/>
        <w:right w:val="none" w:sz="0" w:space="0" w:color="auto"/>
      </w:divBdr>
    </w:div>
    <w:div w:id="146291865">
      <w:bodyDiv w:val="1"/>
      <w:marLeft w:val="0"/>
      <w:marRight w:val="0"/>
      <w:marTop w:val="0"/>
      <w:marBottom w:val="0"/>
      <w:divBdr>
        <w:top w:val="none" w:sz="0" w:space="0" w:color="auto"/>
        <w:left w:val="none" w:sz="0" w:space="0" w:color="auto"/>
        <w:bottom w:val="none" w:sz="0" w:space="0" w:color="auto"/>
        <w:right w:val="none" w:sz="0" w:space="0" w:color="auto"/>
      </w:divBdr>
    </w:div>
    <w:div w:id="275841196">
      <w:bodyDiv w:val="1"/>
      <w:marLeft w:val="0"/>
      <w:marRight w:val="0"/>
      <w:marTop w:val="0"/>
      <w:marBottom w:val="0"/>
      <w:divBdr>
        <w:top w:val="none" w:sz="0" w:space="0" w:color="auto"/>
        <w:left w:val="none" w:sz="0" w:space="0" w:color="auto"/>
        <w:bottom w:val="none" w:sz="0" w:space="0" w:color="auto"/>
        <w:right w:val="none" w:sz="0" w:space="0" w:color="auto"/>
      </w:divBdr>
    </w:div>
    <w:div w:id="327369018">
      <w:bodyDiv w:val="1"/>
      <w:marLeft w:val="0"/>
      <w:marRight w:val="0"/>
      <w:marTop w:val="0"/>
      <w:marBottom w:val="0"/>
      <w:divBdr>
        <w:top w:val="none" w:sz="0" w:space="0" w:color="auto"/>
        <w:left w:val="none" w:sz="0" w:space="0" w:color="auto"/>
        <w:bottom w:val="none" w:sz="0" w:space="0" w:color="auto"/>
        <w:right w:val="none" w:sz="0" w:space="0" w:color="auto"/>
      </w:divBdr>
    </w:div>
    <w:div w:id="343941269">
      <w:bodyDiv w:val="1"/>
      <w:marLeft w:val="0"/>
      <w:marRight w:val="0"/>
      <w:marTop w:val="0"/>
      <w:marBottom w:val="0"/>
      <w:divBdr>
        <w:top w:val="none" w:sz="0" w:space="0" w:color="auto"/>
        <w:left w:val="none" w:sz="0" w:space="0" w:color="auto"/>
        <w:bottom w:val="none" w:sz="0" w:space="0" w:color="auto"/>
        <w:right w:val="none" w:sz="0" w:space="0" w:color="auto"/>
      </w:divBdr>
    </w:div>
    <w:div w:id="390857930">
      <w:bodyDiv w:val="1"/>
      <w:marLeft w:val="0"/>
      <w:marRight w:val="0"/>
      <w:marTop w:val="0"/>
      <w:marBottom w:val="0"/>
      <w:divBdr>
        <w:top w:val="none" w:sz="0" w:space="0" w:color="auto"/>
        <w:left w:val="none" w:sz="0" w:space="0" w:color="auto"/>
        <w:bottom w:val="none" w:sz="0" w:space="0" w:color="auto"/>
        <w:right w:val="none" w:sz="0" w:space="0" w:color="auto"/>
      </w:divBdr>
      <w:divsChild>
        <w:div w:id="1879201436">
          <w:marLeft w:val="0"/>
          <w:marRight w:val="0"/>
          <w:marTop w:val="0"/>
          <w:marBottom w:val="0"/>
          <w:divBdr>
            <w:top w:val="none" w:sz="0" w:space="0" w:color="auto"/>
            <w:left w:val="none" w:sz="0" w:space="0" w:color="auto"/>
            <w:bottom w:val="none" w:sz="0" w:space="0" w:color="auto"/>
            <w:right w:val="none" w:sz="0" w:space="0" w:color="auto"/>
          </w:divBdr>
        </w:div>
        <w:div w:id="1290672801">
          <w:marLeft w:val="0"/>
          <w:marRight w:val="0"/>
          <w:marTop w:val="0"/>
          <w:marBottom w:val="0"/>
          <w:divBdr>
            <w:top w:val="none" w:sz="0" w:space="0" w:color="auto"/>
            <w:left w:val="none" w:sz="0" w:space="0" w:color="auto"/>
            <w:bottom w:val="none" w:sz="0" w:space="0" w:color="auto"/>
            <w:right w:val="none" w:sz="0" w:space="0" w:color="auto"/>
          </w:divBdr>
        </w:div>
        <w:div w:id="1302612254">
          <w:marLeft w:val="0"/>
          <w:marRight w:val="0"/>
          <w:marTop w:val="0"/>
          <w:marBottom w:val="0"/>
          <w:divBdr>
            <w:top w:val="none" w:sz="0" w:space="0" w:color="auto"/>
            <w:left w:val="none" w:sz="0" w:space="0" w:color="auto"/>
            <w:bottom w:val="none" w:sz="0" w:space="0" w:color="auto"/>
            <w:right w:val="none" w:sz="0" w:space="0" w:color="auto"/>
          </w:divBdr>
        </w:div>
      </w:divsChild>
    </w:div>
    <w:div w:id="452675965">
      <w:bodyDiv w:val="1"/>
      <w:marLeft w:val="0"/>
      <w:marRight w:val="0"/>
      <w:marTop w:val="0"/>
      <w:marBottom w:val="0"/>
      <w:divBdr>
        <w:top w:val="none" w:sz="0" w:space="0" w:color="auto"/>
        <w:left w:val="none" w:sz="0" w:space="0" w:color="auto"/>
        <w:bottom w:val="none" w:sz="0" w:space="0" w:color="auto"/>
        <w:right w:val="none" w:sz="0" w:space="0" w:color="auto"/>
      </w:divBdr>
    </w:div>
    <w:div w:id="524052069">
      <w:bodyDiv w:val="1"/>
      <w:marLeft w:val="0"/>
      <w:marRight w:val="0"/>
      <w:marTop w:val="0"/>
      <w:marBottom w:val="0"/>
      <w:divBdr>
        <w:top w:val="none" w:sz="0" w:space="0" w:color="auto"/>
        <w:left w:val="none" w:sz="0" w:space="0" w:color="auto"/>
        <w:bottom w:val="none" w:sz="0" w:space="0" w:color="auto"/>
        <w:right w:val="none" w:sz="0" w:space="0" w:color="auto"/>
      </w:divBdr>
    </w:div>
    <w:div w:id="595527801">
      <w:bodyDiv w:val="1"/>
      <w:marLeft w:val="0"/>
      <w:marRight w:val="0"/>
      <w:marTop w:val="0"/>
      <w:marBottom w:val="0"/>
      <w:divBdr>
        <w:top w:val="none" w:sz="0" w:space="0" w:color="auto"/>
        <w:left w:val="none" w:sz="0" w:space="0" w:color="auto"/>
        <w:bottom w:val="none" w:sz="0" w:space="0" w:color="auto"/>
        <w:right w:val="none" w:sz="0" w:space="0" w:color="auto"/>
      </w:divBdr>
    </w:div>
    <w:div w:id="646788732">
      <w:bodyDiv w:val="1"/>
      <w:marLeft w:val="0"/>
      <w:marRight w:val="0"/>
      <w:marTop w:val="0"/>
      <w:marBottom w:val="0"/>
      <w:divBdr>
        <w:top w:val="none" w:sz="0" w:space="0" w:color="auto"/>
        <w:left w:val="none" w:sz="0" w:space="0" w:color="auto"/>
        <w:bottom w:val="none" w:sz="0" w:space="0" w:color="auto"/>
        <w:right w:val="none" w:sz="0" w:space="0" w:color="auto"/>
      </w:divBdr>
    </w:div>
    <w:div w:id="703872474">
      <w:bodyDiv w:val="1"/>
      <w:marLeft w:val="0"/>
      <w:marRight w:val="0"/>
      <w:marTop w:val="0"/>
      <w:marBottom w:val="0"/>
      <w:divBdr>
        <w:top w:val="none" w:sz="0" w:space="0" w:color="auto"/>
        <w:left w:val="none" w:sz="0" w:space="0" w:color="auto"/>
        <w:bottom w:val="none" w:sz="0" w:space="0" w:color="auto"/>
        <w:right w:val="none" w:sz="0" w:space="0" w:color="auto"/>
      </w:divBdr>
    </w:div>
    <w:div w:id="708653733">
      <w:bodyDiv w:val="1"/>
      <w:marLeft w:val="0"/>
      <w:marRight w:val="0"/>
      <w:marTop w:val="0"/>
      <w:marBottom w:val="0"/>
      <w:divBdr>
        <w:top w:val="none" w:sz="0" w:space="0" w:color="auto"/>
        <w:left w:val="none" w:sz="0" w:space="0" w:color="auto"/>
        <w:bottom w:val="none" w:sz="0" w:space="0" w:color="auto"/>
        <w:right w:val="none" w:sz="0" w:space="0" w:color="auto"/>
      </w:divBdr>
    </w:div>
    <w:div w:id="709690942">
      <w:bodyDiv w:val="1"/>
      <w:marLeft w:val="0"/>
      <w:marRight w:val="0"/>
      <w:marTop w:val="0"/>
      <w:marBottom w:val="0"/>
      <w:divBdr>
        <w:top w:val="none" w:sz="0" w:space="0" w:color="auto"/>
        <w:left w:val="none" w:sz="0" w:space="0" w:color="auto"/>
        <w:bottom w:val="none" w:sz="0" w:space="0" w:color="auto"/>
        <w:right w:val="none" w:sz="0" w:space="0" w:color="auto"/>
      </w:divBdr>
    </w:div>
    <w:div w:id="785077631">
      <w:bodyDiv w:val="1"/>
      <w:marLeft w:val="0"/>
      <w:marRight w:val="0"/>
      <w:marTop w:val="0"/>
      <w:marBottom w:val="0"/>
      <w:divBdr>
        <w:top w:val="none" w:sz="0" w:space="0" w:color="auto"/>
        <w:left w:val="none" w:sz="0" w:space="0" w:color="auto"/>
        <w:bottom w:val="none" w:sz="0" w:space="0" w:color="auto"/>
        <w:right w:val="none" w:sz="0" w:space="0" w:color="auto"/>
      </w:divBdr>
    </w:div>
    <w:div w:id="830099933">
      <w:bodyDiv w:val="1"/>
      <w:marLeft w:val="0"/>
      <w:marRight w:val="0"/>
      <w:marTop w:val="0"/>
      <w:marBottom w:val="0"/>
      <w:divBdr>
        <w:top w:val="none" w:sz="0" w:space="0" w:color="auto"/>
        <w:left w:val="none" w:sz="0" w:space="0" w:color="auto"/>
        <w:bottom w:val="none" w:sz="0" w:space="0" w:color="auto"/>
        <w:right w:val="none" w:sz="0" w:space="0" w:color="auto"/>
      </w:divBdr>
    </w:div>
    <w:div w:id="839583204">
      <w:bodyDiv w:val="1"/>
      <w:marLeft w:val="0"/>
      <w:marRight w:val="0"/>
      <w:marTop w:val="0"/>
      <w:marBottom w:val="0"/>
      <w:divBdr>
        <w:top w:val="none" w:sz="0" w:space="0" w:color="auto"/>
        <w:left w:val="none" w:sz="0" w:space="0" w:color="auto"/>
        <w:bottom w:val="none" w:sz="0" w:space="0" w:color="auto"/>
        <w:right w:val="none" w:sz="0" w:space="0" w:color="auto"/>
      </w:divBdr>
    </w:div>
    <w:div w:id="921911893">
      <w:bodyDiv w:val="1"/>
      <w:marLeft w:val="0"/>
      <w:marRight w:val="0"/>
      <w:marTop w:val="0"/>
      <w:marBottom w:val="0"/>
      <w:divBdr>
        <w:top w:val="none" w:sz="0" w:space="0" w:color="auto"/>
        <w:left w:val="none" w:sz="0" w:space="0" w:color="auto"/>
        <w:bottom w:val="none" w:sz="0" w:space="0" w:color="auto"/>
        <w:right w:val="none" w:sz="0" w:space="0" w:color="auto"/>
      </w:divBdr>
    </w:div>
    <w:div w:id="999114883">
      <w:bodyDiv w:val="1"/>
      <w:marLeft w:val="0"/>
      <w:marRight w:val="0"/>
      <w:marTop w:val="0"/>
      <w:marBottom w:val="0"/>
      <w:divBdr>
        <w:top w:val="none" w:sz="0" w:space="0" w:color="auto"/>
        <w:left w:val="none" w:sz="0" w:space="0" w:color="auto"/>
        <w:bottom w:val="none" w:sz="0" w:space="0" w:color="auto"/>
        <w:right w:val="none" w:sz="0" w:space="0" w:color="auto"/>
      </w:divBdr>
    </w:div>
    <w:div w:id="1070621390">
      <w:bodyDiv w:val="1"/>
      <w:marLeft w:val="0"/>
      <w:marRight w:val="0"/>
      <w:marTop w:val="0"/>
      <w:marBottom w:val="0"/>
      <w:divBdr>
        <w:top w:val="none" w:sz="0" w:space="0" w:color="auto"/>
        <w:left w:val="none" w:sz="0" w:space="0" w:color="auto"/>
        <w:bottom w:val="none" w:sz="0" w:space="0" w:color="auto"/>
        <w:right w:val="none" w:sz="0" w:space="0" w:color="auto"/>
      </w:divBdr>
    </w:div>
    <w:div w:id="1195070960">
      <w:bodyDiv w:val="1"/>
      <w:marLeft w:val="0"/>
      <w:marRight w:val="0"/>
      <w:marTop w:val="0"/>
      <w:marBottom w:val="0"/>
      <w:divBdr>
        <w:top w:val="none" w:sz="0" w:space="0" w:color="auto"/>
        <w:left w:val="none" w:sz="0" w:space="0" w:color="auto"/>
        <w:bottom w:val="none" w:sz="0" w:space="0" w:color="auto"/>
        <w:right w:val="none" w:sz="0" w:space="0" w:color="auto"/>
      </w:divBdr>
    </w:div>
    <w:div w:id="1217088624">
      <w:bodyDiv w:val="1"/>
      <w:marLeft w:val="0"/>
      <w:marRight w:val="0"/>
      <w:marTop w:val="0"/>
      <w:marBottom w:val="0"/>
      <w:divBdr>
        <w:top w:val="none" w:sz="0" w:space="0" w:color="auto"/>
        <w:left w:val="none" w:sz="0" w:space="0" w:color="auto"/>
        <w:bottom w:val="none" w:sz="0" w:space="0" w:color="auto"/>
        <w:right w:val="none" w:sz="0" w:space="0" w:color="auto"/>
      </w:divBdr>
    </w:div>
    <w:div w:id="1229539775">
      <w:bodyDiv w:val="1"/>
      <w:marLeft w:val="0"/>
      <w:marRight w:val="0"/>
      <w:marTop w:val="0"/>
      <w:marBottom w:val="0"/>
      <w:divBdr>
        <w:top w:val="none" w:sz="0" w:space="0" w:color="auto"/>
        <w:left w:val="none" w:sz="0" w:space="0" w:color="auto"/>
        <w:bottom w:val="none" w:sz="0" w:space="0" w:color="auto"/>
        <w:right w:val="none" w:sz="0" w:space="0" w:color="auto"/>
      </w:divBdr>
    </w:div>
    <w:div w:id="1366829186">
      <w:bodyDiv w:val="1"/>
      <w:marLeft w:val="0"/>
      <w:marRight w:val="0"/>
      <w:marTop w:val="0"/>
      <w:marBottom w:val="0"/>
      <w:divBdr>
        <w:top w:val="none" w:sz="0" w:space="0" w:color="auto"/>
        <w:left w:val="none" w:sz="0" w:space="0" w:color="auto"/>
        <w:bottom w:val="none" w:sz="0" w:space="0" w:color="auto"/>
        <w:right w:val="none" w:sz="0" w:space="0" w:color="auto"/>
      </w:divBdr>
    </w:div>
    <w:div w:id="1481733568">
      <w:bodyDiv w:val="1"/>
      <w:marLeft w:val="0"/>
      <w:marRight w:val="0"/>
      <w:marTop w:val="0"/>
      <w:marBottom w:val="0"/>
      <w:divBdr>
        <w:top w:val="none" w:sz="0" w:space="0" w:color="auto"/>
        <w:left w:val="none" w:sz="0" w:space="0" w:color="auto"/>
        <w:bottom w:val="none" w:sz="0" w:space="0" w:color="auto"/>
        <w:right w:val="none" w:sz="0" w:space="0" w:color="auto"/>
      </w:divBdr>
      <w:divsChild>
        <w:div w:id="1231497101">
          <w:marLeft w:val="0"/>
          <w:marRight w:val="0"/>
          <w:marTop w:val="0"/>
          <w:marBottom w:val="0"/>
          <w:divBdr>
            <w:top w:val="none" w:sz="0" w:space="0" w:color="auto"/>
            <w:left w:val="none" w:sz="0" w:space="0" w:color="auto"/>
            <w:bottom w:val="none" w:sz="0" w:space="0" w:color="auto"/>
            <w:right w:val="none" w:sz="0" w:space="0" w:color="auto"/>
          </w:divBdr>
        </w:div>
      </w:divsChild>
    </w:div>
    <w:div w:id="1483157411">
      <w:bodyDiv w:val="1"/>
      <w:marLeft w:val="0"/>
      <w:marRight w:val="0"/>
      <w:marTop w:val="0"/>
      <w:marBottom w:val="0"/>
      <w:divBdr>
        <w:top w:val="none" w:sz="0" w:space="0" w:color="auto"/>
        <w:left w:val="none" w:sz="0" w:space="0" w:color="auto"/>
        <w:bottom w:val="none" w:sz="0" w:space="0" w:color="auto"/>
        <w:right w:val="none" w:sz="0" w:space="0" w:color="auto"/>
      </w:divBdr>
    </w:div>
    <w:div w:id="1509557608">
      <w:bodyDiv w:val="1"/>
      <w:marLeft w:val="0"/>
      <w:marRight w:val="0"/>
      <w:marTop w:val="0"/>
      <w:marBottom w:val="0"/>
      <w:divBdr>
        <w:top w:val="none" w:sz="0" w:space="0" w:color="auto"/>
        <w:left w:val="none" w:sz="0" w:space="0" w:color="auto"/>
        <w:bottom w:val="none" w:sz="0" w:space="0" w:color="auto"/>
        <w:right w:val="none" w:sz="0" w:space="0" w:color="auto"/>
      </w:divBdr>
    </w:div>
    <w:div w:id="1525749785">
      <w:bodyDiv w:val="1"/>
      <w:marLeft w:val="0"/>
      <w:marRight w:val="0"/>
      <w:marTop w:val="0"/>
      <w:marBottom w:val="0"/>
      <w:divBdr>
        <w:top w:val="none" w:sz="0" w:space="0" w:color="auto"/>
        <w:left w:val="none" w:sz="0" w:space="0" w:color="auto"/>
        <w:bottom w:val="none" w:sz="0" w:space="0" w:color="auto"/>
        <w:right w:val="none" w:sz="0" w:space="0" w:color="auto"/>
      </w:divBdr>
    </w:div>
    <w:div w:id="1527790457">
      <w:bodyDiv w:val="1"/>
      <w:marLeft w:val="0"/>
      <w:marRight w:val="0"/>
      <w:marTop w:val="0"/>
      <w:marBottom w:val="0"/>
      <w:divBdr>
        <w:top w:val="none" w:sz="0" w:space="0" w:color="auto"/>
        <w:left w:val="none" w:sz="0" w:space="0" w:color="auto"/>
        <w:bottom w:val="none" w:sz="0" w:space="0" w:color="auto"/>
        <w:right w:val="none" w:sz="0" w:space="0" w:color="auto"/>
      </w:divBdr>
    </w:div>
    <w:div w:id="1541629268">
      <w:bodyDiv w:val="1"/>
      <w:marLeft w:val="0"/>
      <w:marRight w:val="0"/>
      <w:marTop w:val="0"/>
      <w:marBottom w:val="0"/>
      <w:divBdr>
        <w:top w:val="none" w:sz="0" w:space="0" w:color="auto"/>
        <w:left w:val="none" w:sz="0" w:space="0" w:color="auto"/>
        <w:bottom w:val="none" w:sz="0" w:space="0" w:color="auto"/>
        <w:right w:val="none" w:sz="0" w:space="0" w:color="auto"/>
      </w:divBdr>
    </w:div>
    <w:div w:id="1562597706">
      <w:bodyDiv w:val="1"/>
      <w:marLeft w:val="0"/>
      <w:marRight w:val="0"/>
      <w:marTop w:val="0"/>
      <w:marBottom w:val="0"/>
      <w:divBdr>
        <w:top w:val="none" w:sz="0" w:space="0" w:color="auto"/>
        <w:left w:val="none" w:sz="0" w:space="0" w:color="auto"/>
        <w:bottom w:val="none" w:sz="0" w:space="0" w:color="auto"/>
        <w:right w:val="none" w:sz="0" w:space="0" w:color="auto"/>
      </w:divBdr>
    </w:div>
    <w:div w:id="1668289612">
      <w:bodyDiv w:val="1"/>
      <w:marLeft w:val="0"/>
      <w:marRight w:val="0"/>
      <w:marTop w:val="0"/>
      <w:marBottom w:val="0"/>
      <w:divBdr>
        <w:top w:val="none" w:sz="0" w:space="0" w:color="auto"/>
        <w:left w:val="none" w:sz="0" w:space="0" w:color="auto"/>
        <w:bottom w:val="none" w:sz="0" w:space="0" w:color="auto"/>
        <w:right w:val="none" w:sz="0" w:space="0" w:color="auto"/>
      </w:divBdr>
    </w:div>
    <w:div w:id="1676112196">
      <w:bodyDiv w:val="1"/>
      <w:marLeft w:val="0"/>
      <w:marRight w:val="0"/>
      <w:marTop w:val="0"/>
      <w:marBottom w:val="0"/>
      <w:divBdr>
        <w:top w:val="none" w:sz="0" w:space="0" w:color="auto"/>
        <w:left w:val="none" w:sz="0" w:space="0" w:color="auto"/>
        <w:bottom w:val="none" w:sz="0" w:space="0" w:color="auto"/>
        <w:right w:val="none" w:sz="0" w:space="0" w:color="auto"/>
      </w:divBdr>
    </w:div>
    <w:div w:id="1711756642">
      <w:bodyDiv w:val="1"/>
      <w:marLeft w:val="0"/>
      <w:marRight w:val="0"/>
      <w:marTop w:val="0"/>
      <w:marBottom w:val="0"/>
      <w:divBdr>
        <w:top w:val="none" w:sz="0" w:space="0" w:color="auto"/>
        <w:left w:val="none" w:sz="0" w:space="0" w:color="auto"/>
        <w:bottom w:val="none" w:sz="0" w:space="0" w:color="auto"/>
        <w:right w:val="none" w:sz="0" w:space="0" w:color="auto"/>
      </w:divBdr>
      <w:divsChild>
        <w:div w:id="1499006107">
          <w:marLeft w:val="0"/>
          <w:marRight w:val="0"/>
          <w:marTop w:val="0"/>
          <w:marBottom w:val="0"/>
          <w:divBdr>
            <w:top w:val="none" w:sz="0" w:space="0" w:color="auto"/>
            <w:left w:val="none" w:sz="0" w:space="0" w:color="auto"/>
            <w:bottom w:val="none" w:sz="0" w:space="0" w:color="auto"/>
            <w:right w:val="none" w:sz="0" w:space="0" w:color="auto"/>
          </w:divBdr>
        </w:div>
        <w:div w:id="999187464">
          <w:marLeft w:val="0"/>
          <w:marRight w:val="0"/>
          <w:marTop w:val="0"/>
          <w:marBottom w:val="0"/>
          <w:divBdr>
            <w:top w:val="none" w:sz="0" w:space="0" w:color="auto"/>
            <w:left w:val="none" w:sz="0" w:space="0" w:color="auto"/>
            <w:bottom w:val="none" w:sz="0" w:space="0" w:color="auto"/>
            <w:right w:val="none" w:sz="0" w:space="0" w:color="auto"/>
          </w:divBdr>
        </w:div>
        <w:div w:id="2043939463">
          <w:marLeft w:val="0"/>
          <w:marRight w:val="0"/>
          <w:marTop w:val="0"/>
          <w:marBottom w:val="0"/>
          <w:divBdr>
            <w:top w:val="none" w:sz="0" w:space="0" w:color="auto"/>
            <w:left w:val="none" w:sz="0" w:space="0" w:color="auto"/>
            <w:bottom w:val="none" w:sz="0" w:space="0" w:color="auto"/>
            <w:right w:val="none" w:sz="0" w:space="0" w:color="auto"/>
          </w:divBdr>
        </w:div>
      </w:divsChild>
    </w:div>
    <w:div w:id="1774280130">
      <w:bodyDiv w:val="1"/>
      <w:marLeft w:val="0"/>
      <w:marRight w:val="0"/>
      <w:marTop w:val="0"/>
      <w:marBottom w:val="0"/>
      <w:divBdr>
        <w:top w:val="none" w:sz="0" w:space="0" w:color="auto"/>
        <w:left w:val="none" w:sz="0" w:space="0" w:color="auto"/>
        <w:bottom w:val="none" w:sz="0" w:space="0" w:color="auto"/>
        <w:right w:val="none" w:sz="0" w:space="0" w:color="auto"/>
      </w:divBdr>
    </w:div>
    <w:div w:id="1804540845">
      <w:bodyDiv w:val="1"/>
      <w:marLeft w:val="0"/>
      <w:marRight w:val="0"/>
      <w:marTop w:val="0"/>
      <w:marBottom w:val="0"/>
      <w:divBdr>
        <w:top w:val="none" w:sz="0" w:space="0" w:color="auto"/>
        <w:left w:val="none" w:sz="0" w:space="0" w:color="auto"/>
        <w:bottom w:val="none" w:sz="0" w:space="0" w:color="auto"/>
        <w:right w:val="none" w:sz="0" w:space="0" w:color="auto"/>
      </w:divBdr>
    </w:div>
    <w:div w:id="1805198795">
      <w:bodyDiv w:val="1"/>
      <w:marLeft w:val="0"/>
      <w:marRight w:val="0"/>
      <w:marTop w:val="0"/>
      <w:marBottom w:val="0"/>
      <w:divBdr>
        <w:top w:val="none" w:sz="0" w:space="0" w:color="auto"/>
        <w:left w:val="none" w:sz="0" w:space="0" w:color="auto"/>
        <w:bottom w:val="none" w:sz="0" w:space="0" w:color="auto"/>
        <w:right w:val="none" w:sz="0" w:space="0" w:color="auto"/>
      </w:divBdr>
    </w:div>
    <w:div w:id="1889878160">
      <w:bodyDiv w:val="1"/>
      <w:marLeft w:val="0"/>
      <w:marRight w:val="0"/>
      <w:marTop w:val="0"/>
      <w:marBottom w:val="0"/>
      <w:divBdr>
        <w:top w:val="none" w:sz="0" w:space="0" w:color="auto"/>
        <w:left w:val="none" w:sz="0" w:space="0" w:color="auto"/>
        <w:bottom w:val="none" w:sz="0" w:space="0" w:color="auto"/>
        <w:right w:val="none" w:sz="0" w:space="0" w:color="auto"/>
      </w:divBdr>
    </w:div>
    <w:div w:id="1929073130">
      <w:bodyDiv w:val="1"/>
      <w:marLeft w:val="0"/>
      <w:marRight w:val="0"/>
      <w:marTop w:val="0"/>
      <w:marBottom w:val="0"/>
      <w:divBdr>
        <w:top w:val="none" w:sz="0" w:space="0" w:color="auto"/>
        <w:left w:val="none" w:sz="0" w:space="0" w:color="auto"/>
        <w:bottom w:val="none" w:sz="0" w:space="0" w:color="auto"/>
        <w:right w:val="none" w:sz="0" w:space="0" w:color="auto"/>
      </w:divBdr>
    </w:div>
    <w:div w:id="1984306281">
      <w:bodyDiv w:val="1"/>
      <w:marLeft w:val="0"/>
      <w:marRight w:val="0"/>
      <w:marTop w:val="0"/>
      <w:marBottom w:val="0"/>
      <w:divBdr>
        <w:top w:val="none" w:sz="0" w:space="0" w:color="auto"/>
        <w:left w:val="none" w:sz="0" w:space="0" w:color="auto"/>
        <w:bottom w:val="none" w:sz="0" w:space="0" w:color="auto"/>
        <w:right w:val="none" w:sz="0" w:space="0" w:color="auto"/>
      </w:divBdr>
    </w:div>
    <w:div w:id="2022201137">
      <w:bodyDiv w:val="1"/>
      <w:marLeft w:val="0"/>
      <w:marRight w:val="0"/>
      <w:marTop w:val="0"/>
      <w:marBottom w:val="0"/>
      <w:divBdr>
        <w:top w:val="none" w:sz="0" w:space="0" w:color="auto"/>
        <w:left w:val="none" w:sz="0" w:space="0" w:color="auto"/>
        <w:bottom w:val="none" w:sz="0" w:space="0" w:color="auto"/>
        <w:right w:val="none" w:sz="0" w:space="0" w:color="auto"/>
      </w:divBdr>
    </w:div>
    <w:div w:id="2056848929">
      <w:bodyDiv w:val="1"/>
      <w:marLeft w:val="0"/>
      <w:marRight w:val="0"/>
      <w:marTop w:val="0"/>
      <w:marBottom w:val="0"/>
      <w:divBdr>
        <w:top w:val="none" w:sz="0" w:space="0" w:color="auto"/>
        <w:left w:val="none" w:sz="0" w:space="0" w:color="auto"/>
        <w:bottom w:val="none" w:sz="0" w:space="0" w:color="auto"/>
        <w:right w:val="none" w:sz="0" w:space="0" w:color="auto"/>
      </w:divBdr>
    </w:div>
    <w:div w:id="2090273417">
      <w:bodyDiv w:val="1"/>
      <w:marLeft w:val="0"/>
      <w:marRight w:val="0"/>
      <w:marTop w:val="0"/>
      <w:marBottom w:val="0"/>
      <w:divBdr>
        <w:top w:val="none" w:sz="0" w:space="0" w:color="auto"/>
        <w:left w:val="none" w:sz="0" w:space="0" w:color="auto"/>
        <w:bottom w:val="none" w:sz="0" w:space="0" w:color="auto"/>
        <w:right w:val="none" w:sz="0" w:space="0" w:color="auto"/>
      </w:divBdr>
      <w:divsChild>
        <w:div w:id="1177187575">
          <w:marLeft w:val="0"/>
          <w:marRight w:val="0"/>
          <w:marTop w:val="0"/>
          <w:marBottom w:val="0"/>
          <w:divBdr>
            <w:top w:val="none" w:sz="0" w:space="0" w:color="auto"/>
            <w:left w:val="none" w:sz="0" w:space="0" w:color="auto"/>
            <w:bottom w:val="none" w:sz="0" w:space="0" w:color="auto"/>
            <w:right w:val="none" w:sz="0" w:space="0" w:color="auto"/>
          </w:divBdr>
        </w:div>
        <w:div w:id="1571430222">
          <w:marLeft w:val="0"/>
          <w:marRight w:val="0"/>
          <w:marTop w:val="0"/>
          <w:marBottom w:val="0"/>
          <w:divBdr>
            <w:top w:val="none" w:sz="0" w:space="0" w:color="auto"/>
            <w:left w:val="none" w:sz="0" w:space="0" w:color="auto"/>
            <w:bottom w:val="none" w:sz="0" w:space="0" w:color="auto"/>
            <w:right w:val="none" w:sz="0" w:space="0" w:color="auto"/>
          </w:divBdr>
        </w:div>
        <w:div w:id="316424045">
          <w:marLeft w:val="0"/>
          <w:marRight w:val="0"/>
          <w:marTop w:val="0"/>
          <w:marBottom w:val="0"/>
          <w:divBdr>
            <w:top w:val="none" w:sz="0" w:space="0" w:color="auto"/>
            <w:left w:val="none" w:sz="0" w:space="0" w:color="auto"/>
            <w:bottom w:val="none" w:sz="0" w:space="0" w:color="auto"/>
            <w:right w:val="none" w:sz="0" w:space="0" w:color="auto"/>
          </w:divBdr>
        </w:div>
        <w:div w:id="1193032366">
          <w:marLeft w:val="0"/>
          <w:marRight w:val="0"/>
          <w:marTop w:val="0"/>
          <w:marBottom w:val="0"/>
          <w:divBdr>
            <w:top w:val="none" w:sz="0" w:space="0" w:color="auto"/>
            <w:left w:val="none" w:sz="0" w:space="0" w:color="auto"/>
            <w:bottom w:val="none" w:sz="0" w:space="0" w:color="auto"/>
            <w:right w:val="none" w:sz="0" w:space="0" w:color="auto"/>
          </w:divBdr>
        </w:div>
        <w:div w:id="1163396953">
          <w:marLeft w:val="0"/>
          <w:marRight w:val="0"/>
          <w:marTop w:val="0"/>
          <w:marBottom w:val="0"/>
          <w:divBdr>
            <w:top w:val="none" w:sz="0" w:space="0" w:color="auto"/>
            <w:left w:val="none" w:sz="0" w:space="0" w:color="auto"/>
            <w:bottom w:val="none" w:sz="0" w:space="0" w:color="auto"/>
            <w:right w:val="none" w:sz="0" w:space="0" w:color="auto"/>
          </w:divBdr>
        </w:div>
        <w:div w:id="1776975675">
          <w:marLeft w:val="0"/>
          <w:marRight w:val="0"/>
          <w:marTop w:val="0"/>
          <w:marBottom w:val="0"/>
          <w:divBdr>
            <w:top w:val="none" w:sz="0" w:space="0" w:color="auto"/>
            <w:left w:val="none" w:sz="0" w:space="0" w:color="auto"/>
            <w:bottom w:val="none" w:sz="0" w:space="0" w:color="auto"/>
            <w:right w:val="none" w:sz="0" w:space="0" w:color="auto"/>
          </w:divBdr>
        </w:div>
        <w:div w:id="467548834">
          <w:marLeft w:val="0"/>
          <w:marRight w:val="0"/>
          <w:marTop w:val="0"/>
          <w:marBottom w:val="0"/>
          <w:divBdr>
            <w:top w:val="none" w:sz="0" w:space="0" w:color="auto"/>
            <w:left w:val="none" w:sz="0" w:space="0" w:color="auto"/>
            <w:bottom w:val="none" w:sz="0" w:space="0" w:color="auto"/>
            <w:right w:val="none" w:sz="0" w:space="0" w:color="auto"/>
          </w:divBdr>
        </w:div>
        <w:div w:id="1735081781">
          <w:marLeft w:val="0"/>
          <w:marRight w:val="0"/>
          <w:marTop w:val="0"/>
          <w:marBottom w:val="0"/>
          <w:divBdr>
            <w:top w:val="none" w:sz="0" w:space="0" w:color="auto"/>
            <w:left w:val="none" w:sz="0" w:space="0" w:color="auto"/>
            <w:bottom w:val="none" w:sz="0" w:space="0" w:color="auto"/>
            <w:right w:val="none" w:sz="0" w:space="0" w:color="auto"/>
          </w:divBdr>
        </w:div>
      </w:divsChild>
    </w:div>
    <w:div w:id="209493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iddk.nih.gov/health-information/communication-programs/nkdep/laboratory-evaluation/glomerular-filtration-rate-calculators/children-si-unit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niddk.nih.gov/health-information/communication-programs/nkdep/laboratory-evaluation/glomerular-filtration-rate-calculators/ckd-epi-adults-si-uni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arerenal.org"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biostatistics.mdanderson.org/SoftwareDownload/SoftwareFiles/BayesFactorBinary/UsersGuide_BayesFactorBinary.pdf" TargetMode="Externa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biostatistics.mdanderson.org/SoftwareDownload/ProductSupportFiles/BayesFactorBinary/UsersGuide_BayesFactorBin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5F71B1B1EF6141B263D99C295FD148" ma:contentTypeVersion="6" ma:contentTypeDescription="Create a new document." ma:contentTypeScope="" ma:versionID="a774c65a9abe1cea6bb984ee885d2887">
  <xsd:schema xmlns:xsd="http://www.w3.org/2001/XMLSchema" xmlns:xs="http://www.w3.org/2001/XMLSchema" xmlns:p="http://schemas.microsoft.com/office/2006/metadata/properties" xmlns:ns2="17c71857-7650-4b50-a955-fdb6507e4ddd" targetNamespace="http://schemas.microsoft.com/office/2006/metadata/properties" ma:root="true" ma:fieldsID="91623cb5c06de465984d451ad297c1dc" ns2:_="">
    <xsd:import namespace="17c71857-7650-4b50-a955-fdb6507e4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c71857-7650-4b50-a955-fdb6507e4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E3FEAF-62D6-4F8A-A9DD-3965C90A2B0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D91A1F7-6A58-4B2D-994E-1E72B1E7ECFF}">
  <ds:schemaRefs>
    <ds:schemaRef ds:uri="http://schemas.microsoft.com/sharepoint/v3/contenttype/forms"/>
  </ds:schemaRefs>
</ds:datastoreItem>
</file>

<file path=customXml/itemProps3.xml><?xml version="1.0" encoding="utf-8"?>
<ds:datastoreItem xmlns:ds="http://schemas.openxmlformats.org/officeDocument/2006/customXml" ds:itemID="{5958608F-ECF7-4815-8DCC-189C23DA981F}">
  <ds:schemaRefs>
    <ds:schemaRef ds:uri="http://schemas.microsoft.com/office/2006/metadata/contentType"/>
    <ds:schemaRef ds:uri="http://schemas.microsoft.com/office/2006/metadata/properties/metaAttributes"/>
    <ds:schemaRef ds:uri="http://www.w3.org/2000/xmlns/"/>
    <ds:schemaRef ds:uri="http://www.w3.org/2001/XMLSchema"/>
    <ds:schemaRef ds:uri="17c71857-7650-4b50-a955-fdb6507e4dd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FF5834-91AD-47A8-8BA4-60E53D5272A2}">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30</Pages>
  <Words>9714</Words>
  <Characters>55372</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Ciara Kennedy</dc:creator>
  <cp:keywords/>
  <dc:description/>
  <cp:lastModifiedBy>Ciara Kennedy</cp:lastModifiedBy>
  <cp:revision>7</cp:revision>
  <dcterms:created xsi:type="dcterms:W3CDTF">2024-05-14T09:04:00Z</dcterms:created>
  <dcterms:modified xsi:type="dcterms:W3CDTF">2024-05-14T10:37:00Z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0x010100065F71B1B1EF6141B263D99C295FD148</vt:lpwstr>
  </property>
</Properties>
</file>