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6EE921" w14:textId="77777777" w:rsidR="00160D84" w:rsidRPr="00E17E76" w:rsidRDefault="00160D84" w:rsidP="003A41A8">
      <w:pPr>
        <w:pStyle w:val="MDPI11articletype"/>
        <w:rPr>
          <w:lang w:val="en-GB"/>
        </w:rPr>
      </w:pPr>
      <w:r w:rsidRPr="00E17E76">
        <w:rPr>
          <w:lang w:val="en-GB"/>
        </w:rPr>
        <w:t>Article</w:t>
      </w:r>
    </w:p>
    <w:p w14:paraId="6DF26E0D" w14:textId="24768033" w:rsidR="00160D84" w:rsidRPr="00E17E76" w:rsidRDefault="00160D84" w:rsidP="003A41A8">
      <w:pPr>
        <w:pStyle w:val="MDPI12title"/>
        <w:rPr>
          <w:lang w:val="en-GB"/>
        </w:rPr>
      </w:pPr>
      <w:r w:rsidRPr="00E17E76">
        <w:rPr>
          <w:lang w:val="en-GB"/>
        </w:rPr>
        <w:t xml:space="preserve">Measuring </w:t>
      </w:r>
      <w:r w:rsidR="00E37CC5" w:rsidRPr="00E17E76">
        <w:rPr>
          <w:lang w:val="en-GB"/>
        </w:rPr>
        <w:t xml:space="preserve">Effects </w:t>
      </w:r>
      <w:r w:rsidRPr="00E17E76">
        <w:rPr>
          <w:lang w:val="en-GB"/>
        </w:rPr>
        <w:t xml:space="preserve">on </w:t>
      </w:r>
      <w:r w:rsidR="00E37CC5" w:rsidRPr="00E17E76">
        <w:rPr>
          <w:lang w:val="en-GB"/>
        </w:rPr>
        <w:t xml:space="preserve">Pain </w:t>
      </w:r>
      <w:r w:rsidRPr="00E17E76">
        <w:rPr>
          <w:lang w:val="en-GB"/>
        </w:rPr>
        <w:t xml:space="preserve">and </w:t>
      </w:r>
      <w:r w:rsidR="00E37CC5" w:rsidRPr="00E17E76">
        <w:rPr>
          <w:lang w:val="en-GB"/>
        </w:rPr>
        <w:t xml:space="preserve">Quality </w:t>
      </w:r>
      <w:r w:rsidRPr="00E17E76">
        <w:rPr>
          <w:lang w:val="en-GB"/>
        </w:rPr>
        <w:t xml:space="preserve">of </w:t>
      </w:r>
      <w:r w:rsidR="00E37CC5" w:rsidRPr="00E17E76">
        <w:rPr>
          <w:lang w:val="en-GB"/>
        </w:rPr>
        <w:t xml:space="preserve">Life </w:t>
      </w:r>
      <w:r w:rsidRPr="00E17E76">
        <w:rPr>
          <w:lang w:val="en-GB"/>
        </w:rPr>
        <w:t xml:space="preserve">after </w:t>
      </w:r>
      <w:r w:rsidR="00E37CC5" w:rsidRPr="00E17E76">
        <w:rPr>
          <w:lang w:val="en-GB"/>
        </w:rPr>
        <w:br/>
      </w:r>
      <w:r w:rsidRPr="00E17E76">
        <w:rPr>
          <w:lang w:val="en-GB"/>
        </w:rPr>
        <w:t xml:space="preserve">Abobotulinum Toxin </w:t>
      </w:r>
      <w:proofErr w:type="gramStart"/>
      <w:r w:rsidRPr="00E17E76">
        <w:rPr>
          <w:lang w:val="en-GB"/>
        </w:rPr>
        <w:t>A</w:t>
      </w:r>
      <w:proofErr w:type="gramEnd"/>
      <w:r w:rsidRPr="00E17E76">
        <w:rPr>
          <w:lang w:val="en-GB"/>
        </w:rPr>
        <w:t xml:space="preserve"> </w:t>
      </w:r>
      <w:r w:rsidR="00E37CC5" w:rsidRPr="00E17E76">
        <w:rPr>
          <w:lang w:val="en-GB"/>
        </w:rPr>
        <w:t xml:space="preserve">Injections </w:t>
      </w:r>
      <w:r w:rsidRPr="00E17E76">
        <w:rPr>
          <w:lang w:val="en-GB"/>
        </w:rPr>
        <w:t xml:space="preserve">in </w:t>
      </w:r>
      <w:r w:rsidR="00E37CC5" w:rsidRPr="00E17E76">
        <w:rPr>
          <w:lang w:val="en-GB"/>
        </w:rPr>
        <w:t xml:space="preserve">Children </w:t>
      </w:r>
      <w:r w:rsidRPr="00E17E76">
        <w:rPr>
          <w:lang w:val="en-GB"/>
        </w:rPr>
        <w:t xml:space="preserve">with </w:t>
      </w:r>
      <w:r w:rsidR="00010C72" w:rsidRPr="00E17E76">
        <w:rPr>
          <w:lang w:val="en-GB"/>
        </w:rPr>
        <w:br/>
      </w:r>
      <w:r w:rsidR="00E37CC5" w:rsidRPr="00E17E76">
        <w:rPr>
          <w:lang w:val="en-GB"/>
        </w:rPr>
        <w:t>Cerebral Pal</w:t>
      </w:r>
      <w:r w:rsidRPr="00E17E76">
        <w:rPr>
          <w:lang w:val="en-GB"/>
        </w:rPr>
        <w:t>sy</w:t>
      </w:r>
    </w:p>
    <w:p w14:paraId="5CE49DF5" w14:textId="7D92BAFF" w:rsidR="0083751B" w:rsidRPr="00E17E76" w:rsidRDefault="00160D84" w:rsidP="003A41A8">
      <w:pPr>
        <w:pStyle w:val="MDPI13authornames"/>
        <w:rPr>
          <w:lang w:val="en-GB"/>
        </w:rPr>
      </w:pPr>
      <w:r w:rsidRPr="00E17E76">
        <w:rPr>
          <w:lang w:val="en-GB"/>
        </w:rPr>
        <w:t>Christian Wong1</w:t>
      </w:r>
      <w:r w:rsidR="0083751B" w:rsidRPr="00E17E76">
        <w:rPr>
          <w:lang w:val="en-GB"/>
        </w:rPr>
        <w:t xml:space="preserve"> </w:t>
      </w:r>
      <w:proofErr w:type="gramStart"/>
      <w:r w:rsidRPr="00E17E76">
        <w:rPr>
          <w:vertAlign w:val="superscript"/>
          <w:lang w:val="en-GB"/>
        </w:rPr>
        <w:t>1,</w:t>
      </w:r>
      <w:r w:rsidRPr="00E17E76">
        <w:rPr>
          <w:lang w:val="en-GB"/>
        </w:rPr>
        <w:t>*</w:t>
      </w:r>
      <w:proofErr w:type="gramEnd"/>
      <w:r w:rsidRPr="00E17E76">
        <w:rPr>
          <w:lang w:val="en-GB"/>
        </w:rPr>
        <w:t xml:space="preserve">, Ian Westphall </w:t>
      </w:r>
      <w:r w:rsidRPr="00E17E76">
        <w:rPr>
          <w:vertAlign w:val="superscript"/>
          <w:lang w:val="en-GB"/>
        </w:rPr>
        <w:t>2</w:t>
      </w:r>
      <w:r w:rsidR="00E138B6" w:rsidRPr="00E17E76">
        <w:rPr>
          <w:lang w:val="en-GB"/>
        </w:rPr>
        <w:t xml:space="preserve">, </w:t>
      </w:r>
      <w:r w:rsidRPr="00E17E76">
        <w:rPr>
          <w:lang w:val="en-GB"/>
        </w:rPr>
        <w:t>and Josephine Sandahl Michelsen</w:t>
      </w:r>
      <w:r w:rsidR="00B855C1" w:rsidRPr="00E17E76">
        <w:rPr>
          <w:lang w:val="en-GB"/>
        </w:rPr>
        <w:t xml:space="preserve"> </w:t>
      </w:r>
      <w:r w:rsidRPr="00E17E76">
        <w:rPr>
          <w:vertAlign w:val="superscript"/>
          <w:lang w:val="en-GB"/>
        </w:rPr>
        <w:t>1</w:t>
      </w:r>
    </w:p>
    <w:tbl>
      <w:tblPr>
        <w:tblStyle w:val="MDPITable"/>
        <w:tblpPr w:leftFromText="198" w:rightFromText="198" w:vertAnchor="page" w:horzAnchor="margin" w:tblpY="9286"/>
        <w:tblW w:w="2409" w:type="dxa"/>
        <w:tblLayout w:type="fixed"/>
        <w:tblLook w:val="04A0" w:firstRow="1" w:lastRow="0" w:firstColumn="1" w:lastColumn="0" w:noHBand="0" w:noVBand="1"/>
      </w:tblPr>
      <w:tblGrid>
        <w:gridCol w:w="2409"/>
      </w:tblGrid>
      <w:tr w:rsidR="0083751B" w:rsidRPr="00E17E76" w14:paraId="1C0F7708" w14:textId="77777777" w:rsidTr="0005178E">
        <w:trPr>
          <w:cantSplit/>
        </w:trPr>
        <w:tc>
          <w:tcPr>
            <w:tcW w:w="2409" w:type="dxa"/>
          </w:tcPr>
          <w:p w14:paraId="5A66B053" w14:textId="7120F8D2" w:rsidR="0083751B" w:rsidRPr="00E17E76" w:rsidRDefault="0083751B" w:rsidP="0005178E">
            <w:pPr>
              <w:pStyle w:val="MDPI61Citation"/>
              <w:rPr>
                <w:snapToGrid w:val="0"/>
                <w:lang w:val="en-GB"/>
              </w:rPr>
            </w:pPr>
            <w:r w:rsidRPr="00E17E76">
              <w:rPr>
                <w:b/>
                <w:lang w:val="en-GB"/>
              </w:rPr>
              <w:t>Citation:</w:t>
            </w:r>
            <w:r w:rsidRPr="00E17E76">
              <w:rPr>
                <w:lang w:val="en-GB"/>
              </w:rPr>
              <w:t xml:space="preserve"> Wong, C.; Westphall, I.; Michelsen, J.S. </w:t>
            </w:r>
            <w:r w:rsidRPr="00E17E76">
              <w:rPr>
                <w:snapToGrid w:val="0"/>
                <w:lang w:val="en-GB"/>
              </w:rPr>
              <w:t xml:space="preserve">Measuring </w:t>
            </w:r>
            <w:r w:rsidRPr="00E17E76">
              <w:rPr>
                <w:lang w:val="en-GB"/>
              </w:rPr>
              <w:t xml:space="preserve">Effects </w:t>
            </w:r>
            <w:r w:rsidRPr="00E17E76">
              <w:rPr>
                <w:snapToGrid w:val="0"/>
                <w:lang w:val="en-GB"/>
              </w:rPr>
              <w:t xml:space="preserve">on </w:t>
            </w:r>
            <w:r w:rsidRPr="00E17E76">
              <w:rPr>
                <w:lang w:val="en-GB"/>
              </w:rPr>
              <w:t xml:space="preserve">Pain </w:t>
            </w:r>
            <w:r w:rsidRPr="00E17E76">
              <w:rPr>
                <w:snapToGrid w:val="0"/>
                <w:lang w:val="en-GB"/>
              </w:rPr>
              <w:t xml:space="preserve">and </w:t>
            </w:r>
            <w:r w:rsidRPr="00E17E76">
              <w:rPr>
                <w:lang w:val="en-GB"/>
              </w:rPr>
              <w:t xml:space="preserve">Quality </w:t>
            </w:r>
            <w:r w:rsidRPr="00E17E76">
              <w:rPr>
                <w:snapToGrid w:val="0"/>
                <w:lang w:val="en-GB"/>
              </w:rPr>
              <w:t xml:space="preserve">of </w:t>
            </w:r>
            <w:r w:rsidRPr="00E17E76">
              <w:rPr>
                <w:lang w:val="en-GB"/>
              </w:rPr>
              <w:t xml:space="preserve">Life </w:t>
            </w:r>
            <w:r w:rsidRPr="00E17E76">
              <w:rPr>
                <w:snapToGrid w:val="0"/>
                <w:lang w:val="en-GB"/>
              </w:rPr>
              <w:t xml:space="preserve">after Abobotulinum Toxin </w:t>
            </w:r>
            <w:proofErr w:type="gramStart"/>
            <w:r w:rsidRPr="00E17E76">
              <w:rPr>
                <w:snapToGrid w:val="0"/>
                <w:lang w:val="en-GB"/>
              </w:rPr>
              <w:t>A</w:t>
            </w:r>
            <w:proofErr w:type="gramEnd"/>
            <w:r w:rsidRPr="00E17E76">
              <w:rPr>
                <w:snapToGrid w:val="0"/>
                <w:lang w:val="en-GB"/>
              </w:rPr>
              <w:t xml:space="preserve"> </w:t>
            </w:r>
            <w:r w:rsidRPr="00E17E76">
              <w:rPr>
                <w:lang w:val="en-GB"/>
              </w:rPr>
              <w:t xml:space="preserve">Injections </w:t>
            </w:r>
            <w:r w:rsidRPr="00E17E76">
              <w:rPr>
                <w:snapToGrid w:val="0"/>
                <w:lang w:val="en-GB"/>
              </w:rPr>
              <w:t xml:space="preserve">in </w:t>
            </w:r>
            <w:r w:rsidRPr="00E17E76">
              <w:rPr>
                <w:lang w:val="en-GB"/>
              </w:rPr>
              <w:t xml:space="preserve">Children </w:t>
            </w:r>
            <w:r w:rsidRPr="00E17E76">
              <w:rPr>
                <w:snapToGrid w:val="0"/>
                <w:lang w:val="en-GB"/>
              </w:rPr>
              <w:t xml:space="preserve">with </w:t>
            </w:r>
            <w:r w:rsidRPr="00E17E76">
              <w:rPr>
                <w:lang w:val="en-GB"/>
              </w:rPr>
              <w:t>Cerebral Pal</w:t>
            </w:r>
            <w:r w:rsidRPr="00E17E76">
              <w:rPr>
                <w:snapToGrid w:val="0"/>
                <w:lang w:val="en-GB"/>
              </w:rPr>
              <w:t xml:space="preserve">sy. </w:t>
            </w:r>
            <w:r w:rsidRPr="00E17E76">
              <w:rPr>
                <w:i/>
                <w:snapToGrid w:val="0"/>
                <w:lang w:val="en-GB"/>
              </w:rPr>
              <w:t xml:space="preserve">Toxins </w:t>
            </w:r>
            <w:r w:rsidRPr="00E17E76">
              <w:rPr>
                <w:b/>
                <w:snapToGrid w:val="0"/>
                <w:lang w:val="en-GB"/>
              </w:rPr>
              <w:t>2021</w:t>
            </w:r>
            <w:r w:rsidRPr="00E17E76">
              <w:rPr>
                <w:snapToGrid w:val="0"/>
                <w:lang w:val="en-GB"/>
              </w:rPr>
              <w:t xml:space="preserve">, </w:t>
            </w:r>
            <w:r w:rsidRPr="00E17E76">
              <w:rPr>
                <w:i/>
                <w:snapToGrid w:val="0"/>
                <w:lang w:val="en-GB"/>
              </w:rPr>
              <w:t>14</w:t>
            </w:r>
            <w:r w:rsidRPr="00E17E76">
              <w:rPr>
                <w:snapToGrid w:val="0"/>
                <w:lang w:val="en-GB"/>
              </w:rPr>
              <w:t>, x. https://doi.org/</w:t>
            </w:r>
            <w:r w:rsidR="00010C72" w:rsidRPr="00E17E76">
              <w:rPr>
                <w:snapToGrid w:val="0"/>
                <w:lang w:val="en-GB"/>
              </w:rPr>
              <w:br/>
            </w:r>
            <w:r w:rsidRPr="00E17E76">
              <w:rPr>
                <w:snapToGrid w:val="0"/>
                <w:lang w:val="en-GB"/>
              </w:rPr>
              <w:t>10.3390/</w:t>
            </w:r>
            <w:proofErr w:type="spellStart"/>
            <w:r w:rsidRPr="00E17E76">
              <w:rPr>
                <w:snapToGrid w:val="0"/>
                <w:lang w:val="en-GB"/>
              </w:rPr>
              <w:t>xxxxx</w:t>
            </w:r>
            <w:proofErr w:type="spellEnd"/>
          </w:p>
          <w:p w14:paraId="671736A6" w14:textId="54CEC947" w:rsidR="0083751B" w:rsidRPr="00E17E76" w:rsidRDefault="0083751B" w:rsidP="0005178E">
            <w:pPr>
              <w:pStyle w:val="MDPI15academiceditor"/>
              <w:spacing w:after="120"/>
              <w:rPr>
                <w:lang w:val="en-GB"/>
              </w:rPr>
            </w:pPr>
          </w:p>
          <w:p w14:paraId="08388A2A" w14:textId="6836E1E9" w:rsidR="0083751B" w:rsidRPr="00E17E76" w:rsidRDefault="0083751B" w:rsidP="0005178E">
            <w:pPr>
              <w:pStyle w:val="MDPI14history"/>
              <w:spacing w:before="120"/>
              <w:rPr>
                <w:lang w:val="en-GB"/>
              </w:rPr>
            </w:pPr>
            <w:r w:rsidRPr="00E17E76">
              <w:rPr>
                <w:lang w:val="en-GB"/>
              </w:rPr>
              <w:t xml:space="preserve">Received: </w:t>
            </w:r>
            <w:r w:rsidR="005A129B" w:rsidRPr="00E17E76">
              <w:rPr>
                <w:lang w:val="en-GB"/>
              </w:rPr>
              <w:t>29 October 2021</w:t>
            </w:r>
          </w:p>
          <w:p w14:paraId="68F01627" w14:textId="67D1DD68" w:rsidR="0083751B" w:rsidRPr="00E17E76" w:rsidRDefault="0083751B" w:rsidP="0005178E">
            <w:pPr>
              <w:pStyle w:val="MDPI14history"/>
              <w:rPr>
                <w:lang w:val="en-GB"/>
              </w:rPr>
            </w:pPr>
            <w:r w:rsidRPr="00E17E76">
              <w:rPr>
                <w:lang w:val="en-GB"/>
              </w:rPr>
              <w:t xml:space="preserve">Accepted: </w:t>
            </w:r>
            <w:r w:rsidR="005A129B" w:rsidRPr="00E17E76">
              <w:rPr>
                <w:lang w:val="en-GB"/>
              </w:rPr>
              <w:t>21 December 2021</w:t>
            </w:r>
          </w:p>
          <w:p w14:paraId="4676093A" w14:textId="77777777" w:rsidR="0083751B" w:rsidRPr="00E17E76" w:rsidRDefault="0083751B" w:rsidP="0005178E">
            <w:pPr>
              <w:pStyle w:val="MDPI14history"/>
              <w:spacing w:after="120"/>
              <w:rPr>
                <w:lang w:val="en-GB"/>
              </w:rPr>
            </w:pPr>
            <w:r w:rsidRPr="00E17E76">
              <w:rPr>
                <w:lang w:val="en-GB"/>
              </w:rPr>
              <w:t>Published: date</w:t>
            </w:r>
          </w:p>
          <w:p w14:paraId="667F0D98" w14:textId="77777777" w:rsidR="0083751B" w:rsidRPr="00E17E76" w:rsidRDefault="0083751B" w:rsidP="0005178E">
            <w:pPr>
              <w:pStyle w:val="MDPI63Notes"/>
              <w:jc w:val="both"/>
              <w:rPr>
                <w:lang w:val="en-GB"/>
              </w:rPr>
            </w:pPr>
            <w:r w:rsidRPr="00E17E76">
              <w:rPr>
                <w:b/>
                <w:lang w:val="en-GB"/>
              </w:rPr>
              <w:t>Publisher’s Note:</w:t>
            </w:r>
            <w:r w:rsidRPr="00E17E76">
              <w:rPr>
                <w:lang w:val="en-GB"/>
              </w:rPr>
              <w:t xml:space="preserve"> MDPI stays neutral </w:t>
            </w:r>
            <w:proofErr w:type="gramStart"/>
            <w:r w:rsidRPr="00E17E76">
              <w:rPr>
                <w:lang w:val="en-GB"/>
              </w:rPr>
              <w:t>with regard to</w:t>
            </w:r>
            <w:proofErr w:type="gramEnd"/>
            <w:r w:rsidRPr="00E17E76">
              <w:rPr>
                <w:lang w:val="en-GB"/>
              </w:rPr>
              <w:t xml:space="preserve"> jurisdictional claims in published maps and institutional affiliations.</w:t>
            </w:r>
          </w:p>
          <w:p w14:paraId="576A8396" w14:textId="77777777" w:rsidR="0083751B" w:rsidRPr="00E17E76" w:rsidRDefault="0083751B" w:rsidP="0005178E">
            <w:pPr>
              <w:pStyle w:val="MDPI63Notes"/>
              <w:spacing w:before="120" w:after="0"/>
              <w:jc w:val="both"/>
              <w:rPr>
                <w:lang w:val="en-GB"/>
              </w:rPr>
            </w:pPr>
            <w:r w:rsidRPr="00E17E76">
              <w:rPr>
                <w:noProof/>
                <w:snapToGrid/>
                <w:lang w:eastAsia="zh-CN" w:bidi="ar-SA"/>
              </w:rPr>
              <w:drawing>
                <wp:inline distT="0" distB="0" distL="0" distR="0" wp14:anchorId="1F9DFAC4" wp14:editId="603E0112">
                  <wp:extent cx="694800" cy="248400"/>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1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694800" cy="248400"/>
                          </a:xfrm>
                          <a:prstGeom prst="rect">
                            <a:avLst/>
                          </a:prstGeom>
                        </pic:spPr>
                      </pic:pic>
                    </a:graphicData>
                  </a:graphic>
                </wp:inline>
              </w:drawing>
            </w:r>
          </w:p>
          <w:p w14:paraId="320244A0" w14:textId="2C46FD17" w:rsidR="0083751B" w:rsidRPr="00E17E76" w:rsidRDefault="0083751B" w:rsidP="0005178E">
            <w:pPr>
              <w:pStyle w:val="MDPI63Notes"/>
              <w:spacing w:before="60" w:after="0"/>
              <w:jc w:val="both"/>
              <w:rPr>
                <w:lang w:val="en-GB"/>
              </w:rPr>
            </w:pPr>
            <w:r w:rsidRPr="00E17E76">
              <w:rPr>
                <w:b/>
                <w:lang w:val="en-GB"/>
              </w:rPr>
              <w:t>Copyright:</w:t>
            </w:r>
            <w:r w:rsidRPr="00E17E76">
              <w:rPr>
                <w:lang w:val="en-GB"/>
              </w:rPr>
              <w:t xml:space="preserve"> © 2021 by the authors. Submitted for possible open access publication under the terms and conditions of the Creative Commons Attribution (CC BY) license (https://creativecommons.org/licenses/by/4.0/).</w:t>
            </w:r>
          </w:p>
        </w:tc>
      </w:tr>
    </w:tbl>
    <w:p w14:paraId="1EA7C8CC" w14:textId="51E2076E" w:rsidR="0083751B" w:rsidRPr="00E17E76" w:rsidRDefault="00160D84" w:rsidP="003A41A8">
      <w:pPr>
        <w:pStyle w:val="MDPI16affiliation"/>
        <w:rPr>
          <w:lang w:val="en-GB"/>
        </w:rPr>
      </w:pPr>
      <w:r w:rsidRPr="00E17E76">
        <w:rPr>
          <w:vertAlign w:val="superscript"/>
          <w:lang w:val="en-GB"/>
        </w:rPr>
        <w:t>1</w:t>
      </w:r>
      <w:r w:rsidRPr="00E17E76">
        <w:rPr>
          <w:lang w:val="en-GB"/>
        </w:rPr>
        <w:tab/>
        <w:t xml:space="preserve">Department of </w:t>
      </w:r>
      <w:r w:rsidR="0068726C" w:rsidRPr="00E17E76">
        <w:rPr>
          <w:lang w:val="en-GB"/>
        </w:rPr>
        <w:t>Orthopaedic</w:t>
      </w:r>
      <w:r w:rsidRPr="00E17E76">
        <w:rPr>
          <w:lang w:val="en-GB"/>
        </w:rPr>
        <w:t xml:space="preserve"> Surgery, Copenhagen University Hospital, </w:t>
      </w:r>
      <w:r w:rsidR="00AA0F13" w:rsidRPr="00E17E76">
        <w:rPr>
          <w:lang w:val="en-GB"/>
        </w:rPr>
        <w:t xml:space="preserve">2650 </w:t>
      </w:r>
      <w:r w:rsidRPr="00E17E76">
        <w:rPr>
          <w:lang w:val="en-GB"/>
        </w:rPr>
        <w:t>Hvidovre, Denmark</w:t>
      </w:r>
      <w:r w:rsidR="0083751B" w:rsidRPr="00E17E76">
        <w:rPr>
          <w:lang w:val="en-GB"/>
        </w:rPr>
        <w:t xml:space="preserve">; </w:t>
      </w:r>
      <w:r w:rsidR="0083751B" w:rsidRPr="00E17E76">
        <w:rPr>
          <w:lang w:val="en-GB"/>
        </w:rPr>
        <w:br/>
        <w:t>josephine.sandahl.michelsen@regionh.dk</w:t>
      </w:r>
    </w:p>
    <w:p w14:paraId="58C6581C" w14:textId="07345B1A" w:rsidR="00160D84" w:rsidRPr="00E17E76" w:rsidRDefault="00160D84" w:rsidP="0083751B">
      <w:pPr>
        <w:pStyle w:val="MDPI16affiliation"/>
        <w:rPr>
          <w:lang w:val="en-GB"/>
        </w:rPr>
      </w:pPr>
      <w:r w:rsidRPr="00E17E76">
        <w:rPr>
          <w:vertAlign w:val="superscript"/>
          <w:lang w:val="en-GB"/>
        </w:rPr>
        <w:t>2</w:t>
      </w:r>
      <w:r w:rsidRPr="00E17E76">
        <w:rPr>
          <w:lang w:val="en-GB"/>
        </w:rPr>
        <w:tab/>
        <w:t xml:space="preserve">Department of </w:t>
      </w:r>
      <w:r w:rsidR="0068726C" w:rsidRPr="00E17E76">
        <w:rPr>
          <w:lang w:val="en-GB"/>
        </w:rPr>
        <w:t>Paediatrics</w:t>
      </w:r>
      <w:r w:rsidRPr="00E17E76">
        <w:rPr>
          <w:lang w:val="en-GB"/>
        </w:rPr>
        <w:t xml:space="preserve">, Copenhagen University Hospital, </w:t>
      </w:r>
      <w:r w:rsidR="00AA0F13" w:rsidRPr="00E17E76">
        <w:rPr>
          <w:lang w:val="en-GB"/>
        </w:rPr>
        <w:t xml:space="preserve">2650 </w:t>
      </w:r>
      <w:r w:rsidRPr="00E17E76">
        <w:rPr>
          <w:lang w:val="en-GB"/>
        </w:rPr>
        <w:t xml:space="preserve">Hvidovre, Denmark; </w:t>
      </w:r>
      <w:r w:rsidR="0083751B" w:rsidRPr="00E17E76">
        <w:rPr>
          <w:lang w:val="en-GB"/>
        </w:rPr>
        <w:br/>
      </w:r>
      <w:r w:rsidRPr="00E17E76">
        <w:rPr>
          <w:lang w:val="en-GB"/>
        </w:rPr>
        <w:t>ian.theodor.westphall@regionh.dk</w:t>
      </w:r>
    </w:p>
    <w:p w14:paraId="4C2F0103" w14:textId="677EB38B" w:rsidR="00160D84" w:rsidRPr="00E17E76" w:rsidRDefault="00160D84" w:rsidP="003A41A8">
      <w:pPr>
        <w:pStyle w:val="MDPI16affiliation"/>
        <w:rPr>
          <w:lang w:val="en-GB"/>
        </w:rPr>
      </w:pPr>
      <w:r w:rsidRPr="00E17E76">
        <w:rPr>
          <w:b/>
          <w:lang w:val="en-GB"/>
        </w:rPr>
        <w:t>*</w:t>
      </w:r>
      <w:r w:rsidRPr="00E17E76">
        <w:rPr>
          <w:lang w:val="en-GB"/>
        </w:rPr>
        <w:tab/>
        <w:t>Correspondence: cwon0002@regionh.dk; Tel.: +45</w:t>
      </w:r>
      <w:r w:rsidR="001C2DF2" w:rsidRPr="00E17E76">
        <w:rPr>
          <w:lang w:val="en-GB"/>
        </w:rPr>
        <w:t>-</w:t>
      </w:r>
      <w:r w:rsidRPr="00E17E76">
        <w:rPr>
          <w:lang w:val="en-GB"/>
        </w:rPr>
        <w:t>8626</w:t>
      </w:r>
      <w:r w:rsidR="001C2DF2" w:rsidRPr="00E17E76">
        <w:rPr>
          <w:lang w:val="en-GB"/>
        </w:rPr>
        <w:t>-</w:t>
      </w:r>
      <w:r w:rsidRPr="00E17E76">
        <w:rPr>
          <w:lang w:val="en-GB"/>
        </w:rPr>
        <w:t>966</w:t>
      </w:r>
    </w:p>
    <w:p w14:paraId="4246BDEF" w14:textId="3302D53F" w:rsidR="00160D84" w:rsidRPr="00E17E76" w:rsidRDefault="00160D84" w:rsidP="003A41A8">
      <w:pPr>
        <w:pStyle w:val="MDPI17abstract"/>
        <w:rPr>
          <w:lang w:val="en-GB"/>
        </w:rPr>
      </w:pPr>
      <w:r w:rsidRPr="00E17E76">
        <w:rPr>
          <w:b/>
          <w:lang w:val="en-GB"/>
        </w:rPr>
        <w:t>Abstract:</w:t>
      </w:r>
      <w:r w:rsidR="003A41A8" w:rsidRPr="00E17E76">
        <w:rPr>
          <w:b/>
          <w:lang w:val="en-GB"/>
        </w:rPr>
        <w:t xml:space="preserve"> </w:t>
      </w:r>
      <w:r w:rsidRPr="00E17E76">
        <w:rPr>
          <w:lang w:val="en-GB"/>
        </w:rPr>
        <w:t>Sixty-seven percent of children with cerebral palsy (CCP) experience pain. Pain is closely interrelated to diminished quality of life. Despite this, pain is an overlooked and undertreated clinical problem. The objective of this study was to examine the analgesic effect of a single lower extremity intramuscular injection of Abobotulinum toxin A/Dysport in CCP. Twenty-five CCP with at least moderate pain (r-FLAC</w:t>
      </w:r>
      <w:r w:rsidR="00BE2D2B" w:rsidRPr="00E17E76">
        <w:rPr>
          <w:lang w:val="en-GB"/>
        </w:rPr>
        <w:t>C ≥ 4</w:t>
      </w:r>
      <w:r w:rsidRPr="00E17E76">
        <w:rPr>
          <w:lang w:val="en-GB"/>
        </w:rPr>
        <w:t>) during passive range of motion were included. Localized pain and pain in everyday living were measured by r-FLACC and the Paediatric Pain Profile (PPP), respectively. Functional improvements were evaluated by the goal attainment scale (SMART GAS). Quality of life was evaluated by either the CPCHILD or the CP-QOL. The subjects were evaluated at baseline before injection,</w:t>
      </w:r>
      <w:r w:rsidR="0068726C" w:rsidRPr="00E17E76">
        <w:rPr>
          <w:lang w:val="en-GB"/>
        </w:rPr>
        <w:t xml:space="preserve"> then</w:t>
      </w:r>
      <w:r w:rsidRPr="00E17E76">
        <w:rPr>
          <w:lang w:val="en-GB"/>
        </w:rPr>
        <w:t xml:space="preserve"> after 4, 12</w:t>
      </w:r>
      <w:r w:rsidR="0068726C" w:rsidRPr="00E17E76">
        <w:rPr>
          <w:lang w:val="en-GB"/>
        </w:rPr>
        <w:t>,</w:t>
      </w:r>
      <w:r w:rsidRPr="00E17E76">
        <w:rPr>
          <w:lang w:val="en-GB"/>
        </w:rPr>
        <w:t xml:space="preserve"> and 28 weeks. Twenty-two subjects had a significant mean and maximum localized pain reduction (</w:t>
      </w:r>
      <w:r w:rsidR="00BE2D2B" w:rsidRPr="00E17E76">
        <w:rPr>
          <w:i/>
          <w:lang w:val="en-GB"/>
        </w:rPr>
        <w:t xml:space="preserve">p </w:t>
      </w:r>
      <w:r w:rsidR="00BE2D2B" w:rsidRPr="00E17E76">
        <w:rPr>
          <w:lang w:val="en-GB"/>
        </w:rPr>
        <w:t>&lt;</w:t>
      </w:r>
      <w:r w:rsidR="00BE2D2B" w:rsidRPr="00E17E76">
        <w:rPr>
          <w:i/>
          <w:lang w:val="en-GB"/>
        </w:rPr>
        <w:t xml:space="preserve"> </w:t>
      </w:r>
      <w:r w:rsidR="00BE2D2B" w:rsidRPr="00E17E76">
        <w:rPr>
          <w:lang w:val="en-GB"/>
        </w:rPr>
        <w:t>0</w:t>
      </w:r>
      <w:r w:rsidRPr="00E17E76">
        <w:rPr>
          <w:lang w:val="en-GB"/>
        </w:rPr>
        <w:t>.001) at four weeks post-treatment in 96%</w:t>
      </w:r>
      <w:r w:rsidR="001C2DF2" w:rsidRPr="00E17E76">
        <w:rPr>
          <w:lang w:val="en-GB"/>
        </w:rPr>
        <w:t xml:space="preserve"> </w:t>
      </w:r>
      <w:r w:rsidRPr="00E17E76">
        <w:rPr>
          <w:lang w:val="en-GB"/>
        </w:rPr>
        <w:t>(21/22). The reduction was maintained at 12</w:t>
      </w:r>
      <w:r w:rsidR="001C2DF2" w:rsidRPr="00E17E76">
        <w:rPr>
          <w:lang w:val="en-GB"/>
        </w:rPr>
        <w:t xml:space="preserve"> </w:t>
      </w:r>
      <w:r w:rsidRPr="00E17E76">
        <w:rPr>
          <w:lang w:val="en-GB"/>
        </w:rPr>
        <w:t>(19/19) and 28 weeks</w:t>
      </w:r>
      <w:r w:rsidR="001C2DF2" w:rsidRPr="00E17E76">
        <w:rPr>
          <w:lang w:val="en-GB"/>
        </w:rPr>
        <w:t xml:space="preserve"> </w:t>
      </w:r>
      <w:r w:rsidRPr="00E17E76">
        <w:rPr>
          <w:lang w:val="en-GB"/>
        </w:rPr>
        <w:t xml:space="preserve">(12/15). Daily pain evaluated by the PPP was significantly reduced and functional SMART GAS goals were significantly achieved from </w:t>
      </w:r>
      <w:r w:rsidR="0068726C" w:rsidRPr="00E17E76">
        <w:rPr>
          <w:lang w:val="en-GB"/>
        </w:rPr>
        <w:t xml:space="preserve">4 </w:t>
      </w:r>
      <w:r w:rsidRPr="00E17E76">
        <w:rPr>
          <w:lang w:val="en-GB"/>
        </w:rPr>
        <w:t>to 28 weeks. Quality of life improved significantly at four weeks (CPCHILD). Significant functional gains</w:t>
      </w:r>
      <w:r w:rsidR="00A40CA7" w:rsidRPr="00E17E76">
        <w:rPr>
          <w:lang w:val="en-GB"/>
        </w:rPr>
        <w:t xml:space="preserve"> and </w:t>
      </w:r>
      <w:r w:rsidRPr="00E17E76">
        <w:rPr>
          <w:lang w:val="en-GB"/>
        </w:rPr>
        <w:t xml:space="preserve">localized and daily pain reduction were seen from </w:t>
      </w:r>
      <w:r w:rsidR="00A40CA7" w:rsidRPr="00E17E76">
        <w:rPr>
          <w:lang w:val="en-GB"/>
        </w:rPr>
        <w:t xml:space="preserve">4 </w:t>
      </w:r>
      <w:r w:rsidRPr="00E17E76">
        <w:rPr>
          <w:lang w:val="en-GB"/>
        </w:rPr>
        <w:t xml:space="preserve">to 28 weeks. </w:t>
      </w:r>
    </w:p>
    <w:p w14:paraId="2EF15E9B" w14:textId="77777777" w:rsidR="003A41A8" w:rsidRPr="00E17E76" w:rsidRDefault="003A41A8" w:rsidP="003A41A8">
      <w:pPr>
        <w:pStyle w:val="MDPI18keywords"/>
        <w:rPr>
          <w:lang w:val="en-GB"/>
        </w:rPr>
      </w:pPr>
      <w:r w:rsidRPr="00E17E76">
        <w:rPr>
          <w:b/>
          <w:lang w:val="en-GB"/>
        </w:rPr>
        <w:t>Keywords:</w:t>
      </w:r>
      <w:r w:rsidR="00160D84" w:rsidRPr="00E17E76">
        <w:rPr>
          <w:b/>
          <w:lang w:val="en-GB"/>
        </w:rPr>
        <w:t xml:space="preserve"> </w:t>
      </w:r>
      <w:r w:rsidR="00160D84" w:rsidRPr="00E17E76">
        <w:rPr>
          <w:lang w:val="en-GB"/>
        </w:rPr>
        <w:t>pain; musculoskeletal pain; cerebral palsy</w:t>
      </w:r>
      <w:r w:rsidRPr="00E17E76">
        <w:rPr>
          <w:lang w:val="en-GB"/>
        </w:rPr>
        <w:t xml:space="preserve">; </w:t>
      </w:r>
      <w:r w:rsidR="00160D84" w:rsidRPr="00E17E76">
        <w:rPr>
          <w:lang w:val="en-GB"/>
        </w:rPr>
        <w:t>children</w:t>
      </w:r>
      <w:r w:rsidRPr="00E17E76">
        <w:rPr>
          <w:lang w:val="en-GB"/>
        </w:rPr>
        <w:t xml:space="preserve">; </w:t>
      </w:r>
      <w:r w:rsidR="00160D84" w:rsidRPr="00E17E76">
        <w:rPr>
          <w:lang w:val="en-GB"/>
        </w:rPr>
        <w:t>Botulinum toxins type A</w:t>
      </w:r>
    </w:p>
    <w:p w14:paraId="7CC71F8B" w14:textId="77777777" w:rsidR="00160D84" w:rsidRPr="00E17E76" w:rsidRDefault="00160D84" w:rsidP="003A41A8">
      <w:pPr>
        <w:pStyle w:val="MDPI18keywords"/>
        <w:rPr>
          <w:lang w:val="en-GB"/>
        </w:rPr>
      </w:pPr>
      <w:r w:rsidRPr="00E17E76">
        <w:rPr>
          <w:b/>
          <w:bCs/>
          <w:lang w:val="en-GB"/>
        </w:rPr>
        <w:t>Key Contribution:</w:t>
      </w:r>
      <w:r w:rsidRPr="00E17E76">
        <w:rPr>
          <w:lang w:val="en-GB"/>
        </w:rPr>
        <w:t xml:space="preserve"> A significant localized and daily pain reduction was seen from baseline to 28 weeks after injection of a single dose of AboA. The pain-relieving effect facilitated significant functional gains</w:t>
      </w:r>
    </w:p>
    <w:p w14:paraId="7E122362" w14:textId="77777777" w:rsidR="00160D84" w:rsidRPr="00E17E76" w:rsidRDefault="00160D84" w:rsidP="003A41A8">
      <w:pPr>
        <w:pStyle w:val="MDPI19line"/>
        <w:pBdr>
          <w:bottom w:val="single" w:sz="4" w:space="1" w:color="000000"/>
        </w:pBdr>
        <w:rPr>
          <w:lang w:val="en-GB"/>
        </w:rPr>
      </w:pPr>
    </w:p>
    <w:p w14:paraId="18E46B9A" w14:textId="77777777" w:rsidR="00160D84" w:rsidRPr="00E17E76" w:rsidRDefault="003A41A8" w:rsidP="003A41A8">
      <w:pPr>
        <w:pStyle w:val="MDPI21heading1"/>
        <w:rPr>
          <w:lang w:val="en-GB"/>
        </w:rPr>
      </w:pPr>
      <w:r w:rsidRPr="00E17E76">
        <w:rPr>
          <w:lang w:val="en-GB"/>
        </w:rPr>
        <w:t xml:space="preserve">1. </w:t>
      </w:r>
      <w:r w:rsidR="00160D84" w:rsidRPr="00E17E76">
        <w:rPr>
          <w:lang w:val="en-GB"/>
        </w:rPr>
        <w:t>Introduction</w:t>
      </w:r>
    </w:p>
    <w:p w14:paraId="0E00B64F" w14:textId="57B100F2" w:rsidR="00160D84" w:rsidRPr="00E17E76" w:rsidRDefault="00160D84" w:rsidP="003A41A8">
      <w:pPr>
        <w:pStyle w:val="MDPI31text"/>
        <w:rPr>
          <w:lang w:val="en-GB"/>
        </w:rPr>
      </w:pPr>
      <w:r w:rsidRPr="00E17E76">
        <w:rPr>
          <w:lang w:val="en-GB"/>
        </w:rPr>
        <w:t>Cerebral palsy (CP) is the most common inborn neurological disease in children with a prevalence of 2.4 per 1000 live births [1]. CP is characterized as a movement disorder with muscle spasticity as the apparent sign, but CP also entails sensory deficits,</w:t>
      </w:r>
      <w:r w:rsidR="00A40CA7" w:rsidRPr="00E17E76">
        <w:rPr>
          <w:lang w:val="en-GB"/>
        </w:rPr>
        <w:t xml:space="preserve"> as well as</w:t>
      </w:r>
      <w:r w:rsidRPr="00E17E76">
        <w:rPr>
          <w:lang w:val="en-GB"/>
        </w:rPr>
        <w:t xml:space="preserve"> musculoskeletal and neuropathic pain [2,3]. The prevalence of pain is reported by caregivers as high as 67% [4,5], and the incidence increases with age and severity of the disease [6]. Pain can be as disabling as the movement disorder in itself [7,8], and self-reported pain is the primary determinator for diminished quality of life [9].</w:t>
      </w:r>
      <w:r w:rsidR="005352A8" w:rsidRPr="00E17E76">
        <w:rPr>
          <w:lang w:val="en-GB"/>
        </w:rPr>
        <w:t xml:space="preserve"> </w:t>
      </w:r>
      <w:r w:rsidRPr="00E17E76">
        <w:rPr>
          <w:lang w:val="en-GB"/>
        </w:rPr>
        <w:t>Despite the high prevalence of pain in CP, it is unrecognized and undertreated</w:t>
      </w:r>
      <w:r w:rsidR="00062BC3" w:rsidRPr="00E17E76">
        <w:rPr>
          <w:lang w:val="en-GB"/>
        </w:rPr>
        <w:t>;</w:t>
      </w:r>
      <w:r w:rsidRPr="00E17E76">
        <w:rPr>
          <w:lang w:val="en-GB"/>
        </w:rPr>
        <w:t xml:space="preserve"> thus</w:t>
      </w:r>
      <w:r w:rsidR="00062BC3" w:rsidRPr="00E17E76">
        <w:rPr>
          <w:lang w:val="en-GB"/>
        </w:rPr>
        <w:t>,</w:t>
      </w:r>
      <w:r w:rsidRPr="00E17E76">
        <w:rPr>
          <w:lang w:val="en-GB"/>
        </w:rPr>
        <w:t xml:space="preserve"> diagnostic strategies and treatment are inadequate, and the consequences are detrimental since chronic pain is associated not only with decreased physical functioning but also with disturbances in sleep, increased fatigue</w:t>
      </w:r>
      <w:r w:rsidR="00062BC3" w:rsidRPr="00E17E76">
        <w:rPr>
          <w:lang w:val="en-GB"/>
        </w:rPr>
        <w:t>,</w:t>
      </w:r>
      <w:r w:rsidRPr="00E17E76">
        <w:rPr>
          <w:lang w:val="en-GB"/>
        </w:rPr>
        <w:t xml:space="preserve"> and depression [4,5,10].</w:t>
      </w:r>
    </w:p>
    <w:p w14:paraId="4C5EB37D" w14:textId="38155299" w:rsidR="00160D84" w:rsidRPr="00E17E76" w:rsidRDefault="00160D84" w:rsidP="003A41A8">
      <w:pPr>
        <w:pStyle w:val="MDPI31text"/>
        <w:rPr>
          <w:lang w:val="en-GB"/>
        </w:rPr>
      </w:pPr>
      <w:r w:rsidRPr="00E17E76">
        <w:rPr>
          <w:lang w:val="en-GB"/>
        </w:rPr>
        <w:t>In our opinion, children with CP should be treated for their pain when treatments of evidence-based medical and non-pharmacological interventions are available [11,12].</w:t>
      </w:r>
      <w:r w:rsidR="005352A8" w:rsidRPr="00E17E76">
        <w:rPr>
          <w:lang w:val="en-GB"/>
        </w:rPr>
        <w:t xml:space="preserve"> </w:t>
      </w:r>
      <w:r w:rsidRPr="00E17E76">
        <w:rPr>
          <w:lang w:val="en-GB"/>
        </w:rPr>
        <w:lastRenderedPageBreak/>
        <w:t>However, evidence-based research in treatment is still warranted since pain in children with CP is undertreated; this is important since pain is closely interrelated to their wellbeing</w:t>
      </w:r>
      <w:r w:rsidR="005352A8" w:rsidRPr="00E17E76">
        <w:rPr>
          <w:lang w:val="en-GB"/>
        </w:rPr>
        <w:t xml:space="preserve"> </w:t>
      </w:r>
      <w:r w:rsidRPr="00E17E76">
        <w:rPr>
          <w:lang w:val="en-GB"/>
        </w:rPr>
        <w:t>[4,5,11,13]. Botulinum toxins injections (BoNT) ha</w:t>
      </w:r>
      <w:r w:rsidR="00062BC3" w:rsidRPr="00E17E76">
        <w:rPr>
          <w:lang w:val="en-GB"/>
        </w:rPr>
        <w:t>ve</w:t>
      </w:r>
      <w:r w:rsidRPr="00E17E76">
        <w:rPr>
          <w:lang w:val="en-GB"/>
        </w:rPr>
        <w:t xml:space="preserve"> a documented antispastic effect and </w:t>
      </w:r>
      <w:r w:rsidR="00062BC3" w:rsidRPr="00E17E76">
        <w:rPr>
          <w:lang w:val="en-GB"/>
        </w:rPr>
        <w:t>have been</w:t>
      </w:r>
      <w:r w:rsidRPr="00E17E76">
        <w:rPr>
          <w:lang w:val="en-GB"/>
        </w:rPr>
        <w:t xml:space="preserve"> utilized to modulate spasticity for two decades [14,15]. </w:t>
      </w:r>
      <w:bookmarkStart w:id="0" w:name="_Hlk90181299"/>
      <w:r w:rsidRPr="00E17E76">
        <w:rPr>
          <w:lang w:val="en-GB"/>
        </w:rPr>
        <w:t>This subsequent</w:t>
      </w:r>
      <w:r w:rsidR="00062BC3" w:rsidRPr="00E17E76">
        <w:rPr>
          <w:lang w:val="en-GB"/>
        </w:rPr>
        <w:t>ly</w:t>
      </w:r>
      <w:r w:rsidRPr="00E17E76">
        <w:rPr>
          <w:lang w:val="en-GB"/>
        </w:rPr>
        <w:t xml:space="preserve"> improves functional mobility and ease of care in children with spasticity, but the analgesic effect of BoNT has been sparsely investigated with a moderate level of evidence for pain </w:t>
      </w:r>
      <w:bookmarkStart w:id="1" w:name="_Hlk90181277"/>
      <w:r w:rsidRPr="00E17E76">
        <w:rPr>
          <w:lang w:val="en-GB"/>
        </w:rPr>
        <w:t xml:space="preserve">(OCEBM/Oxford Centre for Evidence-Based Medicine level II) </w:t>
      </w:r>
      <w:bookmarkEnd w:id="0"/>
      <w:bookmarkEnd w:id="1"/>
      <w:r w:rsidRPr="00E17E76">
        <w:rPr>
          <w:lang w:val="en-GB"/>
        </w:rPr>
        <w:t>[13,16]. For the adult population, BoNT has a documented relieving effect on spasticity-related pain in stroke, dystonia</w:t>
      </w:r>
      <w:r w:rsidR="00062BC3" w:rsidRPr="00E17E76">
        <w:rPr>
          <w:lang w:val="en-GB"/>
        </w:rPr>
        <w:t>,</w:t>
      </w:r>
      <w:r w:rsidRPr="00E17E76">
        <w:rPr>
          <w:lang w:val="en-GB"/>
        </w:rPr>
        <w:t xml:space="preserve"> and multiple sclerosis [17] (pp</w:t>
      </w:r>
      <w:r w:rsidR="00D5661C" w:rsidRPr="00E17E76">
        <w:rPr>
          <w:lang w:val="en-GB"/>
        </w:rPr>
        <w:t>.</w:t>
      </w:r>
      <w:r w:rsidRPr="00E17E76">
        <w:rPr>
          <w:lang w:val="en-GB"/>
        </w:rPr>
        <w:t xml:space="preserve"> 15</w:t>
      </w:r>
      <w:r w:rsidR="002C7EF2" w:rsidRPr="00E17E76">
        <w:rPr>
          <w:lang w:val="en-GB"/>
        </w:rPr>
        <w:t>3–166</w:t>
      </w:r>
      <w:r w:rsidRPr="00E17E76">
        <w:rPr>
          <w:lang w:val="en-GB"/>
        </w:rPr>
        <w:t xml:space="preserve">). For the </w:t>
      </w:r>
      <w:r w:rsidR="00062BC3" w:rsidRPr="00E17E76">
        <w:rPr>
          <w:lang w:val="en-GB"/>
        </w:rPr>
        <w:t>paediatric</w:t>
      </w:r>
      <w:r w:rsidRPr="00E17E76">
        <w:rPr>
          <w:lang w:val="en-GB"/>
        </w:rPr>
        <w:t xml:space="preserve"> population, the analgesic effect for children with CP has been examined more sparsely. The pain-relieving effect of BoNT stems mostly from open studies and is examined as a secondary endpoint </w:t>
      </w:r>
      <w:r w:rsidR="005352A8" w:rsidRPr="00E17E76">
        <w:rPr>
          <w:lang w:val="en-GB"/>
        </w:rPr>
        <w:t>[8,11,13,15,17–25</w:t>
      </w:r>
      <w:r w:rsidRPr="00E17E76">
        <w:rPr>
          <w:lang w:val="en-GB"/>
        </w:rPr>
        <w:t>]. Four prospective randomized studies have evaluated the effect of BoNT on pain in children [8,22,24,25], and three open studies have also shown an analgesic effect [18,19,23]. The effect has been evaluated in relation to orthopaedic surgery or occupational therapy, short-term</w:t>
      </w:r>
      <w:r w:rsidR="00062BC3" w:rsidRPr="00E17E76">
        <w:rPr>
          <w:lang w:val="en-GB"/>
        </w:rPr>
        <w:t xml:space="preserve"> </w:t>
      </w:r>
      <w:r w:rsidRPr="00E17E76">
        <w:rPr>
          <w:lang w:val="en-GB"/>
        </w:rPr>
        <w:t xml:space="preserve">(three months), using botulinumtoxinA (OnabotulinumtoxinA in </w:t>
      </w:r>
      <w:r w:rsidR="00062BC3" w:rsidRPr="00E17E76">
        <w:rPr>
          <w:lang w:val="en-GB"/>
        </w:rPr>
        <w:t>five</w:t>
      </w:r>
      <w:r w:rsidRPr="00E17E76">
        <w:rPr>
          <w:lang w:val="en-GB"/>
        </w:rPr>
        <w:t xml:space="preserve"> studies, Aboa in </w:t>
      </w:r>
      <w:r w:rsidR="00062BC3" w:rsidRPr="00E17E76">
        <w:rPr>
          <w:lang w:val="en-GB"/>
        </w:rPr>
        <w:t>one</w:t>
      </w:r>
      <w:r w:rsidRPr="00E17E76">
        <w:rPr>
          <w:lang w:val="en-GB"/>
        </w:rPr>
        <w:t xml:space="preserve"> study, OnabotulinumtoxinA and AboA in </w:t>
      </w:r>
      <w:r w:rsidR="00062BC3" w:rsidRPr="00E17E76">
        <w:rPr>
          <w:lang w:val="en-GB"/>
        </w:rPr>
        <w:t>two</w:t>
      </w:r>
      <w:r w:rsidRPr="00E17E76">
        <w:rPr>
          <w:lang w:val="en-GB"/>
        </w:rPr>
        <w:t xml:space="preserve"> studies, and unspecified in </w:t>
      </w:r>
      <w:r w:rsidR="00062BC3" w:rsidRPr="00E17E76">
        <w:rPr>
          <w:lang w:val="en-GB"/>
        </w:rPr>
        <w:t>two</w:t>
      </w:r>
      <w:r w:rsidRPr="00E17E76">
        <w:rPr>
          <w:lang w:val="en-GB"/>
        </w:rPr>
        <w:t xml:space="preserve"> studies) and evaluated only by a few dimensions of pain </w:t>
      </w:r>
      <w:r w:rsidR="005352A8" w:rsidRPr="00E17E76">
        <w:rPr>
          <w:lang w:val="en-GB"/>
        </w:rPr>
        <w:t>[8,16,18–20,21,23</w:t>
      </w:r>
      <w:r w:rsidRPr="00E17E76">
        <w:rPr>
          <w:lang w:val="en-GB"/>
        </w:rPr>
        <w:t>]. Especially when examin</w:t>
      </w:r>
      <w:r w:rsidR="009E5F7B" w:rsidRPr="00E17E76">
        <w:rPr>
          <w:lang w:val="en-GB"/>
        </w:rPr>
        <w:t>ing</w:t>
      </w:r>
      <w:r w:rsidRPr="00E17E76">
        <w:rPr>
          <w:lang w:val="en-GB"/>
        </w:rPr>
        <w:t xml:space="preserve"> pain in daily living, thorough and adequate pain evaluation in children with CP is challenging since they, besides having a physical disability, also are challenged with having cognitive, </w:t>
      </w:r>
      <w:r w:rsidR="009E5F7B" w:rsidRPr="00E17E76">
        <w:rPr>
          <w:lang w:val="en-GB"/>
        </w:rPr>
        <w:t>perceptive,</w:t>
      </w:r>
      <w:r w:rsidRPr="00E17E76">
        <w:rPr>
          <w:lang w:val="en-GB"/>
        </w:rPr>
        <w:t xml:space="preserve"> and communicative impairments. This warrants appropriate pain evaluation methods to meet these challenges</w:t>
      </w:r>
      <w:r w:rsidR="00112B62" w:rsidRPr="00E17E76">
        <w:rPr>
          <w:lang w:val="en-GB"/>
        </w:rPr>
        <w:t>—</w:t>
      </w:r>
      <w:r w:rsidRPr="00E17E76">
        <w:rPr>
          <w:lang w:val="en-GB"/>
        </w:rPr>
        <w:t>preferably by self-reporting and using multiple and validated ‘pain assessment tools’ [5].</w:t>
      </w:r>
    </w:p>
    <w:p w14:paraId="6818A47D" w14:textId="5E74BD8C" w:rsidR="00160D84" w:rsidRPr="00E17E76" w:rsidRDefault="00160D84" w:rsidP="003A41A8">
      <w:pPr>
        <w:pStyle w:val="MDPI31text"/>
        <w:rPr>
          <w:lang w:val="en-GB"/>
        </w:rPr>
      </w:pPr>
      <w:r w:rsidRPr="00E17E76">
        <w:rPr>
          <w:lang w:val="en-GB"/>
        </w:rPr>
        <w:t>In this study, we set out to examine the potential medium-term (seven months) analgesic effect on everyday living of a single intramuscular injection of Abobotulinum toxin A/Dysport</w:t>
      </w:r>
      <w:r w:rsidR="005352A8" w:rsidRPr="00E17E76">
        <w:rPr>
          <w:vertAlign w:val="superscript"/>
          <w:lang w:val="en-GB"/>
        </w:rPr>
        <w:t>®</w:t>
      </w:r>
      <w:r w:rsidR="005352A8" w:rsidRPr="00E17E76">
        <w:rPr>
          <w:lang w:val="en-GB"/>
        </w:rPr>
        <w:t xml:space="preserve"> </w:t>
      </w:r>
      <w:r w:rsidRPr="00E17E76">
        <w:rPr>
          <w:lang w:val="en-GB"/>
        </w:rPr>
        <w:t>(AboA)</w:t>
      </w:r>
      <w:r w:rsidR="005352A8" w:rsidRPr="00E17E76">
        <w:rPr>
          <w:lang w:val="en-GB"/>
        </w:rPr>
        <w:t xml:space="preserve"> </w:t>
      </w:r>
      <w:r w:rsidRPr="00E17E76">
        <w:rPr>
          <w:lang w:val="en-GB"/>
        </w:rPr>
        <w:t>using multifaceted pain assessment tools, evaluating for functional improvements</w:t>
      </w:r>
      <w:r w:rsidR="009E5F7B" w:rsidRPr="00E17E76">
        <w:rPr>
          <w:lang w:val="en-GB"/>
        </w:rPr>
        <w:t>,</w:t>
      </w:r>
      <w:r w:rsidRPr="00E17E76">
        <w:rPr>
          <w:lang w:val="en-GB"/>
        </w:rPr>
        <w:t xml:space="preserve"> and changes in quality of life.</w:t>
      </w:r>
    </w:p>
    <w:p w14:paraId="146B46B3" w14:textId="511B5880" w:rsidR="00160D84" w:rsidRPr="00E17E76" w:rsidRDefault="003A41A8" w:rsidP="003A41A8">
      <w:pPr>
        <w:pStyle w:val="MDPI21heading1"/>
        <w:rPr>
          <w:lang w:val="en-GB"/>
        </w:rPr>
      </w:pPr>
      <w:r w:rsidRPr="00E17E76">
        <w:rPr>
          <w:lang w:val="en-GB"/>
        </w:rPr>
        <w:t xml:space="preserve">2. </w:t>
      </w:r>
      <w:r w:rsidR="00160D84" w:rsidRPr="00E17E76">
        <w:rPr>
          <w:lang w:val="en-GB"/>
        </w:rPr>
        <w:t>Materials and Methods</w:t>
      </w:r>
    </w:p>
    <w:p w14:paraId="7283FB18" w14:textId="743FDD57" w:rsidR="00160D84" w:rsidRPr="00E17E76" w:rsidRDefault="003A41A8" w:rsidP="003A41A8">
      <w:pPr>
        <w:pStyle w:val="MDPI22heading2"/>
        <w:rPr>
          <w:noProof w:val="0"/>
          <w:lang w:val="en-GB"/>
        </w:rPr>
      </w:pPr>
      <w:r w:rsidRPr="00E17E76">
        <w:rPr>
          <w:noProof w:val="0"/>
          <w:lang w:val="en-GB"/>
        </w:rPr>
        <w:t xml:space="preserve">2.1. </w:t>
      </w:r>
      <w:r w:rsidR="00160D84" w:rsidRPr="00E17E76">
        <w:rPr>
          <w:noProof w:val="0"/>
          <w:lang w:val="en-GB"/>
        </w:rPr>
        <w:t>Population</w:t>
      </w:r>
    </w:p>
    <w:p w14:paraId="4C44BF27" w14:textId="759C80DC" w:rsidR="00160D84" w:rsidRPr="00E17E76" w:rsidRDefault="00160D84" w:rsidP="003A41A8">
      <w:pPr>
        <w:pStyle w:val="MDPI31text"/>
        <w:rPr>
          <w:lang w:val="en-GB"/>
        </w:rPr>
      </w:pPr>
      <w:r w:rsidRPr="00E17E76">
        <w:rPr>
          <w:lang w:val="en-GB"/>
        </w:rPr>
        <w:t xml:space="preserve">The subjects were </w:t>
      </w:r>
      <w:r w:rsidR="009E5F7B" w:rsidRPr="00E17E76">
        <w:rPr>
          <w:lang w:val="en-GB"/>
        </w:rPr>
        <w:t>paediatric</w:t>
      </w:r>
      <w:r w:rsidRPr="00E17E76">
        <w:rPr>
          <w:lang w:val="en-GB"/>
        </w:rPr>
        <w:t xml:space="preserve"> patients with predominantly spastic CP</w:t>
      </w:r>
      <w:r w:rsidR="00BF39BB" w:rsidRPr="00E17E76">
        <w:rPr>
          <w:lang w:val="en-GB"/>
        </w:rPr>
        <w:t xml:space="preserve"> and belonged</w:t>
      </w:r>
      <w:r w:rsidRPr="00E17E76">
        <w:rPr>
          <w:lang w:val="en-GB"/>
        </w:rPr>
        <w:t xml:space="preserve"> to all </w:t>
      </w:r>
      <w:r w:rsidR="00812226" w:rsidRPr="00E17E76">
        <w:rPr>
          <w:lang w:val="en-GB"/>
        </w:rPr>
        <w:t>g</w:t>
      </w:r>
      <w:r w:rsidRPr="00E17E76">
        <w:rPr>
          <w:lang w:val="en-GB"/>
        </w:rPr>
        <w:t>ross motor function classification system (GMFCS) levels. They were recruited from our hospital service area as a convenience sample. Inclusion criteria were children between two and eighteen years of age with spastic cerebral palsy</w:t>
      </w:r>
      <w:r w:rsidR="00BF39BB" w:rsidRPr="00E17E76">
        <w:rPr>
          <w:lang w:val="en-GB"/>
        </w:rPr>
        <w:t xml:space="preserve"> who were</w:t>
      </w:r>
      <w:r w:rsidRPr="00E17E76">
        <w:rPr>
          <w:lang w:val="en-GB"/>
        </w:rPr>
        <w:t xml:space="preserve"> botulinum toxin naïve or </w:t>
      </w:r>
      <w:r w:rsidR="00BF39BB" w:rsidRPr="00E17E76">
        <w:rPr>
          <w:lang w:val="en-GB"/>
        </w:rPr>
        <w:t xml:space="preserve">had </w:t>
      </w:r>
      <w:r w:rsidRPr="00E17E76">
        <w:rPr>
          <w:lang w:val="en-GB"/>
        </w:rPr>
        <w:t>a latency period of six months from the</w:t>
      </w:r>
      <w:r w:rsidR="00BF39BB" w:rsidRPr="00E17E76">
        <w:rPr>
          <w:lang w:val="en-GB"/>
        </w:rPr>
        <w:t>ir</w:t>
      </w:r>
      <w:r w:rsidRPr="00E17E76">
        <w:rPr>
          <w:lang w:val="en-GB"/>
        </w:rPr>
        <w:t xml:space="preserve"> last </w:t>
      </w:r>
      <w:r w:rsidR="00BF39BB" w:rsidRPr="00E17E76">
        <w:rPr>
          <w:lang w:val="en-GB"/>
        </w:rPr>
        <w:t>injection and</w:t>
      </w:r>
      <w:r w:rsidRPr="00E17E76">
        <w:rPr>
          <w:lang w:val="en-GB"/>
        </w:rPr>
        <w:t xml:space="preserve"> </w:t>
      </w:r>
      <w:r w:rsidR="00BF39BB" w:rsidRPr="00E17E76">
        <w:rPr>
          <w:lang w:val="en-GB"/>
        </w:rPr>
        <w:t xml:space="preserve">had </w:t>
      </w:r>
      <w:r w:rsidRPr="00E17E76">
        <w:rPr>
          <w:lang w:val="en-GB"/>
        </w:rPr>
        <w:t xml:space="preserve">at least moderate pain (≥4) during passive range of motion (pROM) when evaluated by the revised Face, Legs Activity, Cry, Consolability scale (r-FLACC). A medical doctor specializing in </w:t>
      </w:r>
      <w:r w:rsidR="009E5F7B" w:rsidRPr="00E17E76">
        <w:rPr>
          <w:lang w:val="en-GB"/>
        </w:rPr>
        <w:t>paediatric</w:t>
      </w:r>
      <w:r w:rsidRPr="00E17E76">
        <w:rPr>
          <w:lang w:val="en-GB"/>
        </w:rPr>
        <w:t xml:space="preserve"> CP evaluated the patients for eligibility </w:t>
      </w:r>
      <w:r w:rsidR="00BF39BB" w:rsidRPr="00E17E76">
        <w:rPr>
          <w:lang w:val="en-GB"/>
        </w:rPr>
        <w:t xml:space="preserve">using </w:t>
      </w:r>
      <w:r w:rsidRPr="00E17E76">
        <w:rPr>
          <w:lang w:val="en-GB"/>
        </w:rPr>
        <w:t>clinical evaluation</w:t>
      </w:r>
      <w:r w:rsidR="00BF39BB" w:rsidRPr="00E17E76">
        <w:rPr>
          <w:lang w:val="en-GB"/>
        </w:rPr>
        <w:t>s</w:t>
      </w:r>
      <w:r w:rsidRPr="00E17E76">
        <w:rPr>
          <w:lang w:val="en-GB"/>
        </w:rPr>
        <w:t xml:space="preserve"> and medical charts before including them as subjects. Exclusion criteria were fixed contracture or severe athetoid/dystonic afflictions</w:t>
      </w:r>
      <w:r w:rsidR="00BF39BB" w:rsidRPr="00E17E76">
        <w:rPr>
          <w:lang w:val="en-GB"/>
        </w:rPr>
        <w:t>,</w:t>
      </w:r>
      <w:r w:rsidRPr="00E17E76">
        <w:rPr>
          <w:lang w:val="en-GB"/>
        </w:rPr>
        <w:t xml:space="preserve"> or if modifications in ongoing treatment would affect pain status</w:t>
      </w:r>
      <w:r w:rsidR="00BF39BB" w:rsidRPr="00E17E76">
        <w:rPr>
          <w:lang w:val="en-GB"/>
        </w:rPr>
        <w:t xml:space="preserve"> that</w:t>
      </w:r>
      <w:r w:rsidRPr="00E17E76">
        <w:rPr>
          <w:lang w:val="en-GB"/>
        </w:rPr>
        <w:t xml:space="preserve"> had occurred three months prior to the AboA injection and during the project period (anti-spastic or pain medication given orally or by injection or if subjects had interfering surgical procedures performed).</w:t>
      </w:r>
    </w:p>
    <w:p w14:paraId="046629B1" w14:textId="21F2CAF2" w:rsidR="00112B62" w:rsidRPr="00E17E76" w:rsidRDefault="00160D84" w:rsidP="003A41A8">
      <w:pPr>
        <w:pStyle w:val="MDPI31text"/>
        <w:rPr>
          <w:lang w:val="en-GB"/>
        </w:rPr>
      </w:pPr>
      <w:r w:rsidRPr="00E17E76">
        <w:rPr>
          <w:lang w:val="en-GB"/>
        </w:rPr>
        <w:t>The Regional Committee on Health Research Ethics and the National medical agency approved the study (H–17041772 and EudraCT number 2017-004497-33). We obtained oral and written consent from the caregivers, and the study was conducted according to national guidelines and the Helsinki Declaration. The study was investigator-driven and supported by Ipsen AB.</w:t>
      </w:r>
    </w:p>
    <w:p w14:paraId="7A6072F0" w14:textId="77777777" w:rsidR="00112B62" w:rsidRPr="00E17E76" w:rsidRDefault="00112B62">
      <w:pPr>
        <w:spacing w:line="240" w:lineRule="auto"/>
        <w:jc w:val="left"/>
        <w:rPr>
          <w:rFonts w:eastAsia="Times New Roman"/>
          <w:noProof w:val="0"/>
          <w:snapToGrid w:val="0"/>
          <w:szCs w:val="22"/>
          <w:lang w:val="en-GB" w:eastAsia="de-DE" w:bidi="en-US"/>
        </w:rPr>
      </w:pPr>
      <w:r w:rsidRPr="00E17E76">
        <w:rPr>
          <w:noProof w:val="0"/>
          <w:lang w:val="en-GB"/>
        </w:rPr>
        <w:br w:type="page"/>
      </w:r>
    </w:p>
    <w:p w14:paraId="5E5A1BB4" w14:textId="41FACF91" w:rsidR="00160D84" w:rsidRPr="00E17E76" w:rsidRDefault="003A41A8" w:rsidP="003A41A8">
      <w:pPr>
        <w:pStyle w:val="MDPI22heading2"/>
        <w:spacing w:before="240"/>
        <w:rPr>
          <w:noProof w:val="0"/>
          <w:lang w:val="en-GB"/>
        </w:rPr>
      </w:pPr>
      <w:r w:rsidRPr="00E17E76">
        <w:rPr>
          <w:noProof w:val="0"/>
          <w:lang w:val="en-GB"/>
        </w:rPr>
        <w:lastRenderedPageBreak/>
        <w:t xml:space="preserve">2.2. </w:t>
      </w:r>
      <w:r w:rsidR="00160D84" w:rsidRPr="00E17E76">
        <w:rPr>
          <w:noProof w:val="0"/>
          <w:lang w:val="en-GB"/>
        </w:rPr>
        <w:t xml:space="preserve">AboA </w:t>
      </w:r>
      <w:r w:rsidR="00112B62" w:rsidRPr="00E17E76">
        <w:rPr>
          <w:noProof w:val="0"/>
          <w:lang w:val="en-GB"/>
        </w:rPr>
        <w:t>Injections</w:t>
      </w:r>
    </w:p>
    <w:p w14:paraId="41E5AF44" w14:textId="10086D90" w:rsidR="00160D84" w:rsidRPr="00E17E76" w:rsidRDefault="00160D84" w:rsidP="003A41A8">
      <w:pPr>
        <w:pStyle w:val="MDPI31text"/>
        <w:rPr>
          <w:lang w:val="en-GB"/>
        </w:rPr>
      </w:pPr>
      <w:bookmarkStart w:id="2" w:name="_Hlk90038894"/>
      <w:r w:rsidRPr="00E17E76">
        <w:rPr>
          <w:lang w:val="en-GB"/>
        </w:rPr>
        <w:t xml:space="preserve">A single ultrasound-guided intramuscular injection of AboA was administered without or under general anaesthesia by the discretion of the treating physician. </w:t>
      </w:r>
      <w:bookmarkEnd w:id="2"/>
      <w:r w:rsidRPr="00E17E76">
        <w:rPr>
          <w:lang w:val="en-GB"/>
        </w:rPr>
        <w:t>Dosing was determined by the treating physician using 30 units per kilo (U/kg) and 15 U/kg for bilateral and unilateral CP, respectively</w:t>
      </w:r>
      <w:r w:rsidR="00DE7ADA" w:rsidRPr="00E17E76">
        <w:rPr>
          <w:lang w:val="en-GB"/>
        </w:rPr>
        <w:t>,</w:t>
      </w:r>
      <w:r w:rsidRPr="00E17E76">
        <w:rPr>
          <w:lang w:val="en-GB"/>
        </w:rPr>
        <w:t xml:space="preserve"> with a maximum dose of 1000 units. Small and large muscles were injected within a range of </w:t>
      </w:r>
      <w:r w:rsidR="002C7EF2" w:rsidRPr="00E17E76">
        <w:rPr>
          <w:lang w:val="en-GB"/>
        </w:rPr>
        <w:t>3–6</w:t>
      </w:r>
      <w:r w:rsidRPr="00E17E76">
        <w:rPr>
          <w:lang w:val="en-GB"/>
        </w:rPr>
        <w:t xml:space="preserve"> U/kg and </w:t>
      </w:r>
      <w:r w:rsidR="002C7EF2" w:rsidRPr="00E17E76">
        <w:rPr>
          <w:lang w:val="en-GB"/>
        </w:rPr>
        <w:t>8–12</w:t>
      </w:r>
      <w:r w:rsidRPr="00E17E76">
        <w:rPr>
          <w:lang w:val="en-GB"/>
        </w:rPr>
        <w:t xml:space="preserve"> U/kg, respectively. Small muscles were defined as an ultrasound-measured muscle thickness of a ‘diameter’ of less</w:t>
      </w:r>
      <w:r w:rsidR="00DE7ADA" w:rsidRPr="00E17E76">
        <w:rPr>
          <w:lang w:val="en-GB"/>
        </w:rPr>
        <w:t xml:space="preserve"> than</w:t>
      </w:r>
      <w:r w:rsidRPr="00E17E76">
        <w:rPr>
          <w:lang w:val="en-GB"/>
        </w:rPr>
        <w:t xml:space="preserve"> 0.95 cm at the injection site and large muscles were defined as </w:t>
      </w:r>
      <w:r w:rsidR="00DE7ADA" w:rsidRPr="00E17E76">
        <w:rPr>
          <w:lang w:val="en-GB"/>
        </w:rPr>
        <w:t xml:space="preserve">having </w:t>
      </w:r>
      <w:r w:rsidRPr="00E17E76">
        <w:rPr>
          <w:lang w:val="en-GB"/>
        </w:rPr>
        <w:t xml:space="preserve">a ‘diameter’ larger than 0.95 cm at the injection site [26,27]. Five hundred units of AboA </w:t>
      </w:r>
      <w:r w:rsidR="00DE7ADA" w:rsidRPr="00E17E76">
        <w:rPr>
          <w:lang w:val="en-GB"/>
        </w:rPr>
        <w:t xml:space="preserve">were </w:t>
      </w:r>
      <w:r w:rsidRPr="00E17E76">
        <w:rPr>
          <w:lang w:val="en-GB"/>
        </w:rPr>
        <w:t>diluted in 2</w:t>
      </w:r>
      <w:r w:rsidR="00112B62" w:rsidRPr="00E17E76">
        <w:rPr>
          <w:lang w:val="en-GB"/>
        </w:rPr>
        <w:t>.</w:t>
      </w:r>
      <w:r w:rsidR="005352A8" w:rsidRPr="00E17E76">
        <w:rPr>
          <w:lang w:val="en-GB"/>
        </w:rPr>
        <w:t xml:space="preserve">5 mL </w:t>
      </w:r>
      <w:r w:rsidR="00DE7ADA" w:rsidRPr="00E17E76">
        <w:rPr>
          <w:lang w:val="en-GB"/>
        </w:rPr>
        <w:t xml:space="preserve">of </w:t>
      </w:r>
      <w:r w:rsidRPr="00E17E76">
        <w:rPr>
          <w:lang w:val="en-GB"/>
        </w:rPr>
        <w:t>sterile NaCl in sterile syringes. Targeted muscles were determined after prior evaluation of pain response measured by r-FLACC during pROM.</w:t>
      </w:r>
    </w:p>
    <w:p w14:paraId="2381AC9B" w14:textId="0A584AF5" w:rsidR="00160D84" w:rsidRPr="00E17E76" w:rsidRDefault="003A41A8" w:rsidP="003A41A8">
      <w:pPr>
        <w:pStyle w:val="MDPI22heading2"/>
        <w:spacing w:before="240"/>
        <w:rPr>
          <w:noProof w:val="0"/>
          <w:lang w:val="en-GB"/>
        </w:rPr>
      </w:pPr>
      <w:r w:rsidRPr="00E17E76">
        <w:rPr>
          <w:noProof w:val="0"/>
          <w:lang w:val="en-GB"/>
        </w:rPr>
        <w:t xml:space="preserve">2.3. </w:t>
      </w:r>
      <w:r w:rsidR="00160D84" w:rsidRPr="00E17E76">
        <w:rPr>
          <w:noProof w:val="0"/>
          <w:lang w:val="en-GB"/>
        </w:rPr>
        <w:t>Assessments</w:t>
      </w:r>
    </w:p>
    <w:p w14:paraId="40C7752C" w14:textId="3047EB28" w:rsidR="00160D84" w:rsidRPr="00E17E76" w:rsidRDefault="00160D84" w:rsidP="003A41A8">
      <w:pPr>
        <w:pStyle w:val="MDPI31text"/>
        <w:rPr>
          <w:lang w:val="en-GB"/>
        </w:rPr>
      </w:pPr>
      <w:r w:rsidRPr="00E17E76">
        <w:rPr>
          <w:lang w:val="en-GB"/>
        </w:rPr>
        <w:t>The subjects were assessed with observational pain</w:t>
      </w:r>
      <w:bookmarkStart w:id="3" w:name="_Hlk90181777"/>
      <w:r w:rsidRPr="00E17E76">
        <w:rPr>
          <w:lang w:val="en-GB"/>
        </w:rPr>
        <w:t>,</w:t>
      </w:r>
      <w:bookmarkEnd w:id="3"/>
      <w:r w:rsidRPr="00E17E76">
        <w:rPr>
          <w:lang w:val="en-GB"/>
        </w:rPr>
        <w:t xml:space="preserve"> questionnaires pertaining to pain, </w:t>
      </w:r>
      <w:r w:rsidR="00DE7ADA" w:rsidRPr="00E17E76">
        <w:rPr>
          <w:lang w:val="en-GB"/>
        </w:rPr>
        <w:t>function,</w:t>
      </w:r>
      <w:r w:rsidRPr="00E17E76">
        <w:rPr>
          <w:lang w:val="en-GB"/>
        </w:rPr>
        <w:t xml:space="preserve"> and quality of life at baseline before injection and after 4, 12</w:t>
      </w:r>
      <w:r w:rsidR="00DE7ADA" w:rsidRPr="00E17E76">
        <w:rPr>
          <w:lang w:val="en-GB"/>
        </w:rPr>
        <w:t>,</w:t>
      </w:r>
      <w:r w:rsidRPr="00E17E76">
        <w:rPr>
          <w:lang w:val="en-GB"/>
        </w:rPr>
        <w:t xml:space="preserve"> and 28 weeks. Our primary </w:t>
      </w:r>
      <w:r w:rsidR="00DE7ADA" w:rsidRPr="00E17E76">
        <w:rPr>
          <w:lang w:val="en-GB"/>
        </w:rPr>
        <w:t>endpoint</w:t>
      </w:r>
      <w:r w:rsidRPr="00E17E76">
        <w:rPr>
          <w:lang w:val="en-GB"/>
        </w:rPr>
        <w:t xml:space="preserve"> was the change in pain status from baseline to the initial follow up at four weeks since AboA is considered to have an optimal effect at this time [14]. The subjects were monitored continuously for adverse effects as well as changes in medication or therapeutic interventions.</w:t>
      </w:r>
    </w:p>
    <w:p w14:paraId="3EE70209" w14:textId="7D25CAB9" w:rsidR="00160D84" w:rsidRPr="00E17E76" w:rsidRDefault="003A41A8" w:rsidP="003A41A8">
      <w:pPr>
        <w:pStyle w:val="MDPI22heading2"/>
        <w:spacing w:before="240"/>
        <w:rPr>
          <w:noProof w:val="0"/>
          <w:lang w:val="en-GB"/>
        </w:rPr>
      </w:pPr>
      <w:r w:rsidRPr="00E17E76">
        <w:rPr>
          <w:noProof w:val="0"/>
          <w:lang w:val="en-GB"/>
        </w:rPr>
        <w:t xml:space="preserve">2.4. </w:t>
      </w:r>
      <w:r w:rsidR="00160D84" w:rsidRPr="00E17E76">
        <w:rPr>
          <w:noProof w:val="0"/>
          <w:lang w:val="en-GB"/>
        </w:rPr>
        <w:t xml:space="preserve">Pain </w:t>
      </w:r>
      <w:r w:rsidR="00112B62" w:rsidRPr="00E17E76">
        <w:rPr>
          <w:noProof w:val="0"/>
          <w:lang w:val="en-GB"/>
        </w:rPr>
        <w:t>Tools</w:t>
      </w:r>
    </w:p>
    <w:p w14:paraId="3F45E012" w14:textId="52153B6A" w:rsidR="00160D84" w:rsidRPr="00E17E76" w:rsidRDefault="00160D84" w:rsidP="003A41A8">
      <w:pPr>
        <w:pStyle w:val="MDPI31text"/>
        <w:rPr>
          <w:lang w:val="en-GB"/>
        </w:rPr>
      </w:pPr>
      <w:r w:rsidRPr="00E17E76">
        <w:rPr>
          <w:lang w:val="en-GB"/>
        </w:rPr>
        <w:t xml:space="preserve">The observational pain tools of the </w:t>
      </w:r>
      <w:r w:rsidR="00DE7ADA" w:rsidRPr="00E17E76">
        <w:rPr>
          <w:lang w:val="en-GB"/>
        </w:rPr>
        <w:t>Paediatric</w:t>
      </w:r>
      <w:r w:rsidRPr="00E17E76">
        <w:rPr>
          <w:lang w:val="en-GB"/>
        </w:rPr>
        <w:t xml:space="preserve"> pain profile (PPP) and r-FLACC were utilized to captivate different aspects of localized pain. A systematic pain interview was carried out by a single rater.</w:t>
      </w:r>
    </w:p>
    <w:p w14:paraId="76B1F358" w14:textId="5C80B1B5" w:rsidR="00160D84" w:rsidRPr="00E17E76" w:rsidRDefault="003A41A8" w:rsidP="003A41A8">
      <w:pPr>
        <w:pStyle w:val="MDPI23heading3"/>
        <w:spacing w:before="240"/>
        <w:rPr>
          <w:lang w:val="en-GB"/>
        </w:rPr>
      </w:pPr>
      <w:r w:rsidRPr="00E17E76">
        <w:rPr>
          <w:lang w:val="en-GB"/>
        </w:rPr>
        <w:t xml:space="preserve">2.4.1. </w:t>
      </w:r>
      <w:r w:rsidR="00160D84" w:rsidRPr="00E17E76">
        <w:rPr>
          <w:lang w:val="en-GB"/>
        </w:rPr>
        <w:t xml:space="preserve">Localized </w:t>
      </w:r>
      <w:r w:rsidR="00112B62" w:rsidRPr="00E17E76">
        <w:rPr>
          <w:lang w:val="en-GB"/>
        </w:rPr>
        <w:t xml:space="preserve">Muscular Pain Using </w:t>
      </w:r>
      <w:r w:rsidR="00160D84" w:rsidRPr="00E17E76">
        <w:rPr>
          <w:lang w:val="en-GB"/>
        </w:rPr>
        <w:t xml:space="preserve">the </w:t>
      </w:r>
      <w:r w:rsidR="00112B62" w:rsidRPr="00E17E76">
        <w:rPr>
          <w:lang w:val="en-GB"/>
        </w:rPr>
        <w:t xml:space="preserve">Revised </w:t>
      </w:r>
      <w:r w:rsidR="00160D84" w:rsidRPr="00E17E76">
        <w:rPr>
          <w:lang w:val="en-GB"/>
        </w:rPr>
        <w:t xml:space="preserve">Face, Legs Activity, Cry, Consolability </w:t>
      </w:r>
      <w:r w:rsidR="00112B62" w:rsidRPr="00E17E76">
        <w:rPr>
          <w:lang w:val="en-GB"/>
        </w:rPr>
        <w:t>Scale</w:t>
      </w:r>
    </w:p>
    <w:p w14:paraId="23D16AE3" w14:textId="76CE18E6" w:rsidR="00160D84" w:rsidRPr="00E17E76" w:rsidRDefault="00160D84" w:rsidP="003A41A8">
      <w:pPr>
        <w:pStyle w:val="MDPI31text"/>
        <w:rPr>
          <w:lang w:val="en-GB"/>
        </w:rPr>
      </w:pPr>
      <w:r w:rsidRPr="00E17E76">
        <w:rPr>
          <w:lang w:val="en-GB"/>
        </w:rPr>
        <w:t xml:space="preserve">Initial clinical evaluation entailed pROM of all muscles of the lower extremity to identify potential localized muscular pain using the r-FLACC. The r-FLACC scale is a validated behavioural pain intensity tool with five categories with a three-point ordinal scale (0–2), thus ranging from 0 to 10 possible points. Each category entails a description of behavioural signs in the facial expression, legs, activity, cry and consolability [28]. The r-FLACC scores were evaluated during the examination and were videotaped systematically using two iPads, thus enabling us to </w:t>
      </w:r>
      <w:r w:rsidR="00261F94" w:rsidRPr="00E17E76">
        <w:rPr>
          <w:lang w:val="en-GB"/>
        </w:rPr>
        <w:t>re-evaluate</w:t>
      </w:r>
      <w:r w:rsidRPr="00E17E76">
        <w:rPr>
          <w:lang w:val="en-GB"/>
        </w:rPr>
        <w:t xml:space="preserve"> the subject in the frontal and sagittal view [29]. The caregivers added a unique descriptive ‘pain’ behaviour of the child to ensure that our ratings were individual and accurate. The localized pain was evaluated for the treated muscles </w:t>
      </w:r>
      <w:r w:rsidR="00261F94" w:rsidRPr="00E17E76">
        <w:rPr>
          <w:lang w:val="en-GB"/>
        </w:rPr>
        <w:t>during the</w:t>
      </w:r>
      <w:r w:rsidRPr="00E17E76">
        <w:rPr>
          <w:lang w:val="en-GB"/>
        </w:rPr>
        <w:t xml:space="preserve"> follow</w:t>
      </w:r>
      <w:r w:rsidR="00261F94" w:rsidRPr="00E17E76">
        <w:rPr>
          <w:lang w:val="en-GB"/>
        </w:rPr>
        <w:t xml:space="preserve"> </w:t>
      </w:r>
      <w:r w:rsidRPr="00E17E76">
        <w:rPr>
          <w:lang w:val="en-GB"/>
        </w:rPr>
        <w:t>ups. Since injections of AboA are presumed to have a localized effect, our primary endpoint was the change in the r-FLACC score. This was evaluated during passive range of motion of the targeted muscles and when AboA would peak in effect for spasticity reduction, namely at four weeks [14]</w:t>
      </w:r>
      <w:r w:rsidR="00D5661C" w:rsidRPr="00E17E76">
        <w:rPr>
          <w:lang w:val="en-GB"/>
        </w:rPr>
        <w:t>.</w:t>
      </w:r>
    </w:p>
    <w:p w14:paraId="33FE39F1" w14:textId="5B9E28DD" w:rsidR="00160D84" w:rsidRPr="00E17E76" w:rsidRDefault="003A41A8" w:rsidP="003A41A8">
      <w:pPr>
        <w:pStyle w:val="MDPI23heading3"/>
        <w:spacing w:before="240"/>
        <w:rPr>
          <w:lang w:val="en-GB"/>
        </w:rPr>
      </w:pPr>
      <w:r w:rsidRPr="00E17E76">
        <w:rPr>
          <w:lang w:val="en-GB"/>
        </w:rPr>
        <w:t xml:space="preserve">2.4.2. </w:t>
      </w:r>
      <w:r w:rsidR="00160D84" w:rsidRPr="00E17E76">
        <w:rPr>
          <w:lang w:val="en-GB"/>
        </w:rPr>
        <w:t xml:space="preserve">Daily </w:t>
      </w:r>
      <w:r w:rsidR="00112B62" w:rsidRPr="00E17E76">
        <w:rPr>
          <w:lang w:val="en-GB"/>
        </w:rPr>
        <w:t xml:space="preserve">Pain Using </w:t>
      </w:r>
      <w:r w:rsidR="00160D84" w:rsidRPr="00E17E76">
        <w:rPr>
          <w:lang w:val="en-GB"/>
        </w:rPr>
        <w:t xml:space="preserve">the </w:t>
      </w:r>
      <w:r w:rsidR="00261F94" w:rsidRPr="00E17E76">
        <w:rPr>
          <w:lang w:val="en-GB"/>
        </w:rPr>
        <w:t>Paediatric</w:t>
      </w:r>
      <w:r w:rsidR="00160D84" w:rsidRPr="00E17E76">
        <w:rPr>
          <w:lang w:val="en-GB"/>
        </w:rPr>
        <w:t xml:space="preserve"> </w:t>
      </w:r>
      <w:r w:rsidR="00112B62" w:rsidRPr="00E17E76">
        <w:rPr>
          <w:lang w:val="en-GB"/>
        </w:rPr>
        <w:t>Pain Profile</w:t>
      </w:r>
    </w:p>
    <w:p w14:paraId="3B01A439" w14:textId="58BD181F" w:rsidR="00160D84" w:rsidRPr="00E17E76" w:rsidRDefault="00160D84" w:rsidP="003A41A8">
      <w:pPr>
        <w:pStyle w:val="MDPI31text"/>
        <w:rPr>
          <w:lang w:val="en-GB"/>
        </w:rPr>
      </w:pPr>
      <w:r w:rsidRPr="00E17E76">
        <w:rPr>
          <w:lang w:val="en-GB"/>
        </w:rPr>
        <w:t>The PPP is a validated 20 item behaviour-rating scaled questionnaire for assessing pain behaviour and monitoring responses to treatment in children with neurological impairments [30]. Each item has a four-point ordinal scale (</w:t>
      </w:r>
      <w:r w:rsidR="002C7EF2" w:rsidRPr="00E17E76">
        <w:rPr>
          <w:lang w:val="en-GB"/>
        </w:rPr>
        <w:t>0–3</w:t>
      </w:r>
      <w:r w:rsidRPr="00E17E76">
        <w:rPr>
          <w:lang w:val="en-GB"/>
        </w:rPr>
        <w:t>) with a total score ranging from 0</w:t>
      </w:r>
      <w:r w:rsidR="00987EA6" w:rsidRPr="00E17E76">
        <w:rPr>
          <w:lang w:val="en-GB"/>
        </w:rPr>
        <w:t xml:space="preserve"> to </w:t>
      </w:r>
      <w:r w:rsidRPr="00E17E76">
        <w:rPr>
          <w:lang w:val="en-GB"/>
        </w:rPr>
        <w:t>60. The PPP is a caregiver</w:t>
      </w:r>
      <w:r w:rsidR="00987EA6" w:rsidRPr="00E17E76">
        <w:rPr>
          <w:lang w:val="en-GB"/>
        </w:rPr>
        <w:t>-</w:t>
      </w:r>
      <w:r w:rsidRPr="00E17E76">
        <w:rPr>
          <w:lang w:val="en-GB"/>
        </w:rPr>
        <w:t>held tool to evaluate everyday pain.</w:t>
      </w:r>
    </w:p>
    <w:p w14:paraId="4905F819" w14:textId="577B29B6" w:rsidR="00160D84" w:rsidRPr="00E17E76" w:rsidRDefault="003A41A8" w:rsidP="003A41A8">
      <w:pPr>
        <w:pStyle w:val="MDPI23heading3"/>
        <w:spacing w:before="240"/>
        <w:rPr>
          <w:lang w:val="en-GB"/>
        </w:rPr>
      </w:pPr>
      <w:r w:rsidRPr="00E17E76">
        <w:rPr>
          <w:lang w:val="en-GB"/>
        </w:rPr>
        <w:t xml:space="preserve">2.4.3. </w:t>
      </w:r>
      <w:r w:rsidR="00160D84" w:rsidRPr="00E17E76">
        <w:rPr>
          <w:lang w:val="en-GB"/>
        </w:rPr>
        <w:t xml:space="preserve">Pain </w:t>
      </w:r>
      <w:r w:rsidR="00112B62" w:rsidRPr="00E17E76">
        <w:rPr>
          <w:lang w:val="en-GB"/>
        </w:rPr>
        <w:t>Interviews</w:t>
      </w:r>
    </w:p>
    <w:p w14:paraId="050BA550" w14:textId="1242EB7E" w:rsidR="00160D84" w:rsidRPr="00E17E76" w:rsidRDefault="00160D84" w:rsidP="003A41A8">
      <w:pPr>
        <w:pStyle w:val="MDPI31text"/>
        <w:rPr>
          <w:lang w:val="en-GB"/>
        </w:rPr>
      </w:pPr>
      <w:r w:rsidRPr="00E17E76">
        <w:rPr>
          <w:lang w:val="en-GB"/>
        </w:rPr>
        <w:t>We conducted a structured interview with subjects and caregivers by asking them specific</w:t>
      </w:r>
      <w:r w:rsidR="00987EA6" w:rsidRPr="00E17E76">
        <w:rPr>
          <w:lang w:val="en-GB"/>
        </w:rPr>
        <w:t>,</w:t>
      </w:r>
      <w:r w:rsidRPr="00E17E76">
        <w:rPr>
          <w:lang w:val="en-GB"/>
        </w:rPr>
        <w:t xml:space="preserve"> relevant questions. We inquired specifically if the pain had impediments to the child’s activities in everyday living. Caregivers graded the impact of pain as if this prevented ‘no activities of daily living, few activities of daily living, some activities of daily living or most activities of daily living’. The caregivers were asked about the pain history </w:t>
      </w:r>
      <w:r w:rsidRPr="00E17E76">
        <w:rPr>
          <w:lang w:val="en-GB"/>
        </w:rPr>
        <w:lastRenderedPageBreak/>
        <w:t>after injection</w:t>
      </w:r>
      <w:r w:rsidR="00987EA6" w:rsidRPr="00E17E76">
        <w:rPr>
          <w:lang w:val="en-GB"/>
        </w:rPr>
        <w:t>,</w:t>
      </w:r>
      <w:r w:rsidRPr="00E17E76">
        <w:rPr>
          <w:lang w:val="en-GB"/>
        </w:rPr>
        <w:t xml:space="preserve"> i.e</w:t>
      </w:r>
      <w:r w:rsidR="00987EA6" w:rsidRPr="00E17E76">
        <w:rPr>
          <w:lang w:val="en-GB"/>
        </w:rPr>
        <w:t xml:space="preserve">., </w:t>
      </w:r>
      <w:r w:rsidRPr="00E17E76">
        <w:rPr>
          <w:lang w:val="en-GB"/>
        </w:rPr>
        <w:t>when the pain subsided and then it returned as well as to the overall satisfaction with the treatment and if they warranted another treatment. Changes in medical treatment and rehabilitation during follow</w:t>
      </w:r>
      <w:r w:rsidR="00A2030D" w:rsidRPr="00E17E76">
        <w:rPr>
          <w:lang w:val="en-GB"/>
        </w:rPr>
        <w:t>-</w:t>
      </w:r>
      <w:r w:rsidRPr="00E17E76">
        <w:rPr>
          <w:lang w:val="en-GB"/>
        </w:rPr>
        <w:t>up</w:t>
      </w:r>
      <w:r w:rsidR="0024379B" w:rsidRPr="00E17E76">
        <w:rPr>
          <w:lang w:val="en-GB"/>
        </w:rPr>
        <w:t>s</w:t>
      </w:r>
      <w:r w:rsidRPr="00E17E76">
        <w:rPr>
          <w:lang w:val="en-GB"/>
        </w:rPr>
        <w:t xml:space="preserve"> were recorded.</w:t>
      </w:r>
    </w:p>
    <w:p w14:paraId="2AD19374" w14:textId="5CBD23B6" w:rsidR="00160D84" w:rsidRPr="00E17E76" w:rsidRDefault="003A41A8" w:rsidP="003A41A8">
      <w:pPr>
        <w:pStyle w:val="MDPI23heading3"/>
        <w:spacing w:before="240"/>
        <w:rPr>
          <w:lang w:val="en-GB"/>
        </w:rPr>
      </w:pPr>
      <w:r w:rsidRPr="00E17E76">
        <w:rPr>
          <w:lang w:val="en-GB"/>
        </w:rPr>
        <w:t xml:space="preserve">2.4.4. </w:t>
      </w:r>
      <w:r w:rsidR="00160D84" w:rsidRPr="00E17E76">
        <w:rPr>
          <w:lang w:val="en-GB"/>
        </w:rPr>
        <w:t xml:space="preserve">Functional </w:t>
      </w:r>
      <w:r w:rsidR="00112B62" w:rsidRPr="00E17E76">
        <w:rPr>
          <w:lang w:val="en-GB"/>
        </w:rPr>
        <w:t xml:space="preserve">Changes Evaluated </w:t>
      </w:r>
      <w:r w:rsidR="00160D84" w:rsidRPr="00E17E76">
        <w:rPr>
          <w:lang w:val="en-GB"/>
        </w:rPr>
        <w:t xml:space="preserve">by the Goal </w:t>
      </w:r>
      <w:r w:rsidR="00112B62" w:rsidRPr="00E17E76">
        <w:rPr>
          <w:lang w:val="en-GB"/>
        </w:rPr>
        <w:t xml:space="preserve">Attainment Scale </w:t>
      </w:r>
      <w:r w:rsidR="00160D84" w:rsidRPr="00E17E76">
        <w:rPr>
          <w:lang w:val="en-GB"/>
        </w:rPr>
        <w:t xml:space="preserve">(GAS) </w:t>
      </w:r>
      <w:r w:rsidR="00112B62" w:rsidRPr="00E17E76">
        <w:rPr>
          <w:lang w:val="en-GB"/>
        </w:rPr>
        <w:t xml:space="preserve">Using </w:t>
      </w:r>
      <w:r w:rsidR="00160D84" w:rsidRPr="00E17E76">
        <w:rPr>
          <w:lang w:val="en-GB"/>
        </w:rPr>
        <w:t xml:space="preserve">the </w:t>
      </w:r>
      <w:r w:rsidR="00112B62" w:rsidRPr="00E17E76">
        <w:rPr>
          <w:lang w:val="en-GB"/>
        </w:rPr>
        <w:t>Specific</w:t>
      </w:r>
      <w:r w:rsidR="00160D84" w:rsidRPr="00E17E76">
        <w:rPr>
          <w:lang w:val="en-GB"/>
        </w:rPr>
        <w:t xml:space="preserve">, </w:t>
      </w:r>
      <w:r w:rsidR="00112B62" w:rsidRPr="00E17E76">
        <w:rPr>
          <w:lang w:val="en-GB"/>
        </w:rPr>
        <w:t>Measurable, Achievable, Relevant</w:t>
      </w:r>
      <w:r w:rsidR="0024379B" w:rsidRPr="00E17E76">
        <w:rPr>
          <w:lang w:val="en-GB"/>
        </w:rPr>
        <w:t>,</w:t>
      </w:r>
      <w:r w:rsidR="00112B62" w:rsidRPr="00E17E76">
        <w:rPr>
          <w:lang w:val="en-GB"/>
        </w:rPr>
        <w:t xml:space="preserve"> </w:t>
      </w:r>
      <w:r w:rsidR="00160D84" w:rsidRPr="00E17E76">
        <w:rPr>
          <w:lang w:val="en-GB"/>
        </w:rPr>
        <w:t xml:space="preserve">and </w:t>
      </w:r>
      <w:r w:rsidR="00112B62" w:rsidRPr="00E17E76">
        <w:rPr>
          <w:lang w:val="en-GB"/>
        </w:rPr>
        <w:t xml:space="preserve">Timed </w:t>
      </w:r>
      <w:r w:rsidR="00160D84" w:rsidRPr="00E17E76">
        <w:rPr>
          <w:lang w:val="en-GB"/>
        </w:rPr>
        <w:t xml:space="preserve">(SMART) </w:t>
      </w:r>
      <w:r w:rsidR="00112B62" w:rsidRPr="00E17E76">
        <w:rPr>
          <w:lang w:val="en-GB"/>
        </w:rPr>
        <w:t>Principles</w:t>
      </w:r>
    </w:p>
    <w:p w14:paraId="4512951E" w14:textId="38D0EBC2" w:rsidR="00160D84" w:rsidRPr="00E17E76" w:rsidRDefault="00160D84" w:rsidP="003A41A8">
      <w:pPr>
        <w:pStyle w:val="MDPI31text"/>
        <w:rPr>
          <w:lang w:val="en-GB"/>
        </w:rPr>
      </w:pPr>
      <w:r w:rsidRPr="00E17E76">
        <w:rPr>
          <w:lang w:val="en-GB"/>
        </w:rPr>
        <w:t>During the initial interview, individual and relevant GAS goals using the SMART principles were set for each child. The goals were scaled from the status at baseline and before treatment (</w:t>
      </w:r>
      <w:r w:rsidR="00732A46" w:rsidRPr="00E17E76">
        <w:rPr>
          <w:lang w:val="en-GB"/>
        </w:rPr>
        <w:t>−1</w:t>
      </w:r>
      <w:r w:rsidRPr="00E17E76">
        <w:rPr>
          <w:lang w:val="en-GB"/>
        </w:rPr>
        <w:t xml:space="preserve"> or </w:t>
      </w:r>
      <w:r w:rsidR="00732A46" w:rsidRPr="00E17E76">
        <w:rPr>
          <w:lang w:val="en-GB"/>
        </w:rPr>
        <w:t>−2</w:t>
      </w:r>
      <w:r w:rsidRPr="00E17E76">
        <w:rPr>
          <w:lang w:val="en-GB"/>
        </w:rPr>
        <w:t>), the expected outcome (0), the favourable outcome (+1) and the most favourable outcome (+2). In this study, we set up two to three pain-related unweighted goals [31], evaluated them at each follow</w:t>
      </w:r>
      <w:r w:rsidR="00A2030D" w:rsidRPr="00E17E76">
        <w:rPr>
          <w:lang w:val="en-GB"/>
        </w:rPr>
        <w:t>-</w:t>
      </w:r>
      <w:r w:rsidRPr="00E17E76">
        <w:rPr>
          <w:lang w:val="en-GB"/>
        </w:rPr>
        <w:t>up, and finally calculated the T scores [32].</w:t>
      </w:r>
    </w:p>
    <w:p w14:paraId="74EF80C7" w14:textId="7DEED045" w:rsidR="00160D84" w:rsidRPr="00E17E76" w:rsidRDefault="003A41A8" w:rsidP="003A41A8">
      <w:pPr>
        <w:pStyle w:val="MDPI23heading3"/>
        <w:spacing w:before="240"/>
        <w:rPr>
          <w:lang w:val="en-GB"/>
        </w:rPr>
      </w:pPr>
      <w:r w:rsidRPr="00E17E76">
        <w:rPr>
          <w:lang w:val="en-GB"/>
        </w:rPr>
        <w:t xml:space="preserve">2.4.5. </w:t>
      </w:r>
      <w:r w:rsidR="00160D84" w:rsidRPr="00E17E76">
        <w:rPr>
          <w:lang w:val="en-GB"/>
        </w:rPr>
        <w:t xml:space="preserve">Quality of </w:t>
      </w:r>
      <w:r w:rsidR="00112B62" w:rsidRPr="00E17E76">
        <w:rPr>
          <w:lang w:val="en-GB"/>
        </w:rPr>
        <w:t xml:space="preserve">Life Evaluated </w:t>
      </w:r>
      <w:r w:rsidR="00160D84" w:rsidRPr="00E17E76">
        <w:rPr>
          <w:lang w:val="en-GB"/>
        </w:rPr>
        <w:t>by the Caregiver Priorities and Child Health Index of Life with Disabilities (CPCHILD) and Cerebral Palsy Quality of Life Questionnaire (CPQOL)</w:t>
      </w:r>
    </w:p>
    <w:p w14:paraId="232C4D2D" w14:textId="6ADA100A" w:rsidR="00160D84" w:rsidRPr="00E17E76" w:rsidRDefault="00160D84" w:rsidP="003A41A8">
      <w:pPr>
        <w:pStyle w:val="MDPI31text"/>
        <w:rPr>
          <w:lang w:val="en-GB"/>
        </w:rPr>
      </w:pPr>
      <w:r w:rsidRPr="00E17E76">
        <w:rPr>
          <w:lang w:val="en-GB"/>
        </w:rPr>
        <w:t>Quality of life was evaluated by validated questionnaires</w:t>
      </w:r>
      <w:r w:rsidR="0024379B" w:rsidRPr="00E17E76">
        <w:rPr>
          <w:lang w:val="en-GB"/>
        </w:rPr>
        <w:t>:</w:t>
      </w:r>
      <w:r w:rsidRPr="00E17E76">
        <w:rPr>
          <w:lang w:val="en-GB"/>
        </w:rPr>
        <w:t xml:space="preserve"> CPQOL for GFMCS </w:t>
      </w:r>
      <w:r w:rsidR="002C7EF2" w:rsidRPr="00E17E76">
        <w:rPr>
          <w:lang w:val="en-GB"/>
        </w:rPr>
        <w:t>1–2</w:t>
      </w:r>
      <w:r w:rsidRPr="00E17E76">
        <w:rPr>
          <w:lang w:val="en-GB"/>
        </w:rPr>
        <w:t xml:space="preserve"> and CPCHILD for GFMCS </w:t>
      </w:r>
      <w:r w:rsidR="002C7EF2" w:rsidRPr="00E17E76">
        <w:rPr>
          <w:lang w:val="en-GB"/>
        </w:rPr>
        <w:t>3–5</w:t>
      </w:r>
      <w:r w:rsidRPr="00E17E76">
        <w:rPr>
          <w:lang w:val="en-GB"/>
        </w:rPr>
        <w:t xml:space="preserve"> </w:t>
      </w:r>
      <w:r w:rsidR="005352A8" w:rsidRPr="00E17E76">
        <w:rPr>
          <w:lang w:val="en-GB"/>
        </w:rPr>
        <w:t>[33–35</w:t>
      </w:r>
      <w:r w:rsidRPr="00E17E76">
        <w:rPr>
          <w:lang w:val="en-GB"/>
        </w:rPr>
        <w:t>].</w:t>
      </w:r>
      <w:r w:rsidR="005352A8" w:rsidRPr="00E17E76">
        <w:rPr>
          <w:lang w:val="en-GB"/>
        </w:rPr>
        <w:t xml:space="preserve"> </w:t>
      </w:r>
      <w:r w:rsidRPr="00E17E76">
        <w:rPr>
          <w:lang w:val="en-GB"/>
        </w:rPr>
        <w:t xml:space="preserve">The CPQOL has four patient appropriate versions (self-reported and proxy-reported for teenagers and children respectively), with seven domains each. In children, these were social wellbeing </w:t>
      </w:r>
      <w:r w:rsidR="0024379B" w:rsidRPr="00E17E76">
        <w:rPr>
          <w:lang w:val="en-GB"/>
        </w:rPr>
        <w:t>and</w:t>
      </w:r>
      <w:r w:rsidRPr="00E17E76">
        <w:rPr>
          <w:lang w:val="en-GB"/>
        </w:rPr>
        <w:t xml:space="preserve"> acceptance, feelings about functioning, participation </w:t>
      </w:r>
      <w:r w:rsidR="0024379B" w:rsidRPr="00E17E76">
        <w:rPr>
          <w:lang w:val="en-GB"/>
        </w:rPr>
        <w:t>and</w:t>
      </w:r>
      <w:r w:rsidRPr="00E17E76">
        <w:rPr>
          <w:lang w:val="en-GB"/>
        </w:rPr>
        <w:t xml:space="preserve"> physical health, emotional wellbeing </w:t>
      </w:r>
      <w:r w:rsidR="0024379B" w:rsidRPr="00E17E76">
        <w:rPr>
          <w:lang w:val="en-GB"/>
        </w:rPr>
        <w:t>and</w:t>
      </w:r>
      <w:r w:rsidRPr="00E17E76">
        <w:rPr>
          <w:lang w:val="en-GB"/>
        </w:rPr>
        <w:t xml:space="preserve"> self-esteem, access to services, pain </w:t>
      </w:r>
      <w:r w:rsidR="0024379B" w:rsidRPr="00E17E76">
        <w:rPr>
          <w:lang w:val="en-GB"/>
        </w:rPr>
        <w:t>and</w:t>
      </w:r>
      <w:r w:rsidRPr="00E17E76">
        <w:rPr>
          <w:lang w:val="en-GB"/>
        </w:rPr>
        <w:t xml:space="preserve"> impact of disability</w:t>
      </w:r>
      <w:r w:rsidR="0024379B" w:rsidRPr="00E17E76">
        <w:rPr>
          <w:lang w:val="en-GB"/>
        </w:rPr>
        <w:t>,</w:t>
      </w:r>
      <w:r w:rsidRPr="00E17E76">
        <w:rPr>
          <w:lang w:val="en-GB"/>
        </w:rPr>
        <w:t xml:space="preserve"> and family health [33]. For teenagers, these were general wellbeing </w:t>
      </w:r>
      <w:r w:rsidR="0024379B" w:rsidRPr="00E17E76">
        <w:rPr>
          <w:lang w:val="en-GB"/>
        </w:rPr>
        <w:t>and</w:t>
      </w:r>
      <w:r w:rsidRPr="00E17E76">
        <w:rPr>
          <w:lang w:val="en-GB"/>
        </w:rPr>
        <w:t xml:space="preserve"> participation, feelings about functioning, communication </w:t>
      </w:r>
      <w:r w:rsidR="0024379B" w:rsidRPr="00E17E76">
        <w:rPr>
          <w:lang w:val="en-GB"/>
        </w:rPr>
        <w:t>and</w:t>
      </w:r>
      <w:r w:rsidRPr="00E17E76">
        <w:rPr>
          <w:lang w:val="en-GB"/>
        </w:rPr>
        <w:t xml:space="preserve"> physical health, school wellbeing, access to services, social wellbeing</w:t>
      </w:r>
      <w:r w:rsidR="0024379B" w:rsidRPr="00E17E76">
        <w:rPr>
          <w:lang w:val="en-GB"/>
        </w:rPr>
        <w:t>,</w:t>
      </w:r>
      <w:r w:rsidRPr="00E17E76">
        <w:rPr>
          <w:lang w:val="en-GB"/>
        </w:rPr>
        <w:t xml:space="preserve"> and family health. These are rated on an ordinal scale and transformed to a standardized score. These are reported for each domain [34]. The original CPQOL was translated according to CPQOL translation guidelines into our native language (Danish) for this study.</w:t>
      </w:r>
    </w:p>
    <w:p w14:paraId="75998CFD" w14:textId="5E5B0EF0" w:rsidR="00160D84" w:rsidRPr="00E17E76" w:rsidRDefault="00160D84" w:rsidP="003A41A8">
      <w:pPr>
        <w:pStyle w:val="MDPI31text"/>
        <w:rPr>
          <w:lang w:val="en-GB"/>
        </w:rPr>
      </w:pPr>
      <w:r w:rsidRPr="00E17E76">
        <w:rPr>
          <w:lang w:val="en-GB"/>
        </w:rPr>
        <w:t>The CPCHILD questionnaire consists of six domains with a total of thirty-six items [35]. The domains are pertaining to personal care (8), positioning, transfer, and mobility (8), communication and social interaction (7), comfort, emotions, and behaviour (9), health (3)</w:t>
      </w:r>
      <w:r w:rsidR="000B4460" w:rsidRPr="00E17E76">
        <w:rPr>
          <w:lang w:val="en-GB"/>
        </w:rPr>
        <w:t>,</w:t>
      </w:r>
      <w:r w:rsidRPr="00E17E76">
        <w:rPr>
          <w:lang w:val="en-GB"/>
        </w:rPr>
        <w:t xml:space="preserve"> and overall quality of life (1). These are rated on an ordinal scale and as standardized scores. Each domain is reported separately and as a total score (0–100). Some items also have a modifier that grades the level of assistance from the caregiver.</w:t>
      </w:r>
    </w:p>
    <w:p w14:paraId="1EC2B75B" w14:textId="48C3DCDE" w:rsidR="00160D84" w:rsidRPr="00E17E76" w:rsidRDefault="003A41A8" w:rsidP="003A41A8">
      <w:pPr>
        <w:pStyle w:val="MDPI23heading3"/>
        <w:spacing w:before="240"/>
        <w:rPr>
          <w:lang w:val="en-GB"/>
        </w:rPr>
      </w:pPr>
      <w:r w:rsidRPr="00E17E76">
        <w:rPr>
          <w:lang w:val="en-GB"/>
        </w:rPr>
        <w:t xml:space="preserve">2.4.6. </w:t>
      </w:r>
      <w:r w:rsidR="00160D84" w:rsidRPr="00E17E76">
        <w:rPr>
          <w:lang w:val="en-GB"/>
        </w:rPr>
        <w:t xml:space="preserve">Statistical </w:t>
      </w:r>
      <w:r w:rsidR="00112B62" w:rsidRPr="00E17E76">
        <w:rPr>
          <w:lang w:val="en-GB"/>
        </w:rPr>
        <w:t>Analysis</w:t>
      </w:r>
    </w:p>
    <w:p w14:paraId="2F00D1D6" w14:textId="7F29A3E2" w:rsidR="00112B62" w:rsidRPr="00E17E76" w:rsidRDefault="00160D84" w:rsidP="003A41A8">
      <w:pPr>
        <w:pStyle w:val="MDPI31text"/>
        <w:rPr>
          <w:lang w:val="en-GB"/>
        </w:rPr>
      </w:pPr>
      <w:r w:rsidRPr="00E17E76">
        <w:rPr>
          <w:lang w:val="en-GB"/>
        </w:rPr>
        <w:t>The sample size was estimated to be sixteen subjects. This was determined using Gpower</w:t>
      </w:r>
      <w:r w:rsidRPr="00E17E76">
        <w:rPr>
          <w:vertAlign w:val="superscript"/>
          <w:lang w:val="en-GB"/>
        </w:rPr>
        <w:t>©</w:t>
      </w:r>
      <w:r w:rsidRPr="00E17E76">
        <w:rPr>
          <w:lang w:val="en-GB"/>
        </w:rPr>
        <w:t xml:space="preserve"> with a power (1-β) of 0.95, an α level of 0.05, a change in pain level by the r-FLACC in a two-tailed match pair t-test and based on the standard deviations of 2.7 for video evaluation from Malviya et al. (2006) [28]. The estimated dropout at four weeks was </w:t>
      </w:r>
      <w:r w:rsidR="000B4460" w:rsidRPr="00E17E76">
        <w:rPr>
          <w:lang w:val="en-GB"/>
        </w:rPr>
        <w:t xml:space="preserve">7 </w:t>
      </w:r>
      <w:r w:rsidRPr="00E17E76">
        <w:rPr>
          <w:lang w:val="en-GB"/>
        </w:rPr>
        <w:t>subjects</w:t>
      </w:r>
      <w:r w:rsidR="000B4460" w:rsidRPr="00E17E76">
        <w:rPr>
          <w:lang w:val="en-GB"/>
        </w:rPr>
        <w:t>;</w:t>
      </w:r>
      <w:r w:rsidRPr="00E17E76">
        <w:rPr>
          <w:lang w:val="en-GB"/>
        </w:rPr>
        <w:t xml:space="preserve"> thus</w:t>
      </w:r>
      <w:r w:rsidR="000B4460" w:rsidRPr="00E17E76">
        <w:rPr>
          <w:lang w:val="en-GB"/>
        </w:rPr>
        <w:t>,</w:t>
      </w:r>
      <w:r w:rsidRPr="00E17E76">
        <w:rPr>
          <w:lang w:val="en-GB"/>
        </w:rPr>
        <w:t xml:space="preserve"> at least 24 patients had to be included. The overall comparisons were between the data at baseline and follow</w:t>
      </w:r>
      <w:r w:rsidR="00A2030D" w:rsidRPr="00E17E76">
        <w:rPr>
          <w:lang w:val="en-GB"/>
        </w:rPr>
        <w:t>-</w:t>
      </w:r>
      <w:r w:rsidRPr="00E17E76">
        <w:rPr>
          <w:lang w:val="en-GB"/>
        </w:rPr>
        <w:t>ups. Shapiro</w:t>
      </w:r>
      <w:r w:rsidR="000B4460" w:rsidRPr="00E17E76">
        <w:rPr>
          <w:lang w:val="en-GB"/>
        </w:rPr>
        <w:t>–</w:t>
      </w:r>
      <w:r w:rsidRPr="00E17E76">
        <w:rPr>
          <w:lang w:val="en-GB"/>
        </w:rPr>
        <w:t>Wilk for normality was utilized to determine normal distribution. Data from r-FLACC, PPP</w:t>
      </w:r>
      <w:r w:rsidR="000B4460" w:rsidRPr="00E17E76">
        <w:rPr>
          <w:lang w:val="en-GB"/>
        </w:rPr>
        <w:t>,</w:t>
      </w:r>
      <w:r w:rsidRPr="00E17E76">
        <w:rPr>
          <w:lang w:val="en-GB"/>
        </w:rPr>
        <w:t xml:space="preserve"> and CPCHILD scores were continuous variables and </w:t>
      </w:r>
      <w:r w:rsidR="000B4460" w:rsidRPr="00E17E76">
        <w:rPr>
          <w:lang w:val="en-GB"/>
        </w:rPr>
        <w:t>analysed</w:t>
      </w:r>
      <w:r w:rsidRPr="00E17E76">
        <w:rPr>
          <w:lang w:val="en-GB"/>
        </w:rPr>
        <w:t xml:space="preserve"> using the paired t-test. Ordinal variables such </w:t>
      </w:r>
      <w:bookmarkStart w:id="4" w:name="_Hlk90181850"/>
      <w:r w:rsidRPr="00E17E76">
        <w:rPr>
          <w:lang w:val="en-GB"/>
        </w:rPr>
        <w:t xml:space="preserve">as </w:t>
      </w:r>
      <w:bookmarkEnd w:id="4"/>
      <w:r w:rsidRPr="00E17E76">
        <w:rPr>
          <w:lang w:val="en-GB"/>
        </w:rPr>
        <w:t xml:space="preserve">impact on activity and SMART goals were not normally distributed and </w:t>
      </w:r>
      <w:r w:rsidR="000B4460" w:rsidRPr="00E17E76">
        <w:rPr>
          <w:lang w:val="en-GB"/>
        </w:rPr>
        <w:t>analysed</w:t>
      </w:r>
      <w:r w:rsidRPr="00E17E76">
        <w:rPr>
          <w:lang w:val="en-GB"/>
        </w:rPr>
        <w:t xml:space="preserve"> using the Wilcoxon signed</w:t>
      </w:r>
      <w:r w:rsidR="00A2030D" w:rsidRPr="00E17E76">
        <w:rPr>
          <w:lang w:val="en-GB"/>
        </w:rPr>
        <w:t>-</w:t>
      </w:r>
      <w:r w:rsidRPr="00E17E76">
        <w:rPr>
          <w:lang w:val="en-GB"/>
        </w:rPr>
        <w:t xml:space="preserve">rank test. </w:t>
      </w:r>
      <w:r w:rsidR="002C7EF2" w:rsidRPr="00E17E76">
        <w:rPr>
          <w:i/>
          <w:lang w:val="en-GB"/>
        </w:rPr>
        <w:t>p</w:t>
      </w:r>
      <w:r w:rsidRPr="00E17E76">
        <w:rPr>
          <w:lang w:val="en-GB"/>
        </w:rPr>
        <w:t xml:space="preserve">-values of ≤0.05 were considered statistically significant. Bonferroni corrections were applied to the r-FLACC since we </w:t>
      </w:r>
      <w:r w:rsidR="000B4460" w:rsidRPr="00E17E76">
        <w:rPr>
          <w:lang w:val="en-GB"/>
        </w:rPr>
        <w:t>analysed</w:t>
      </w:r>
      <w:r w:rsidRPr="00E17E76">
        <w:rPr>
          <w:lang w:val="en-GB"/>
        </w:rPr>
        <w:t xml:space="preserve"> the mean and maximum scores (</w:t>
      </w:r>
      <w:r w:rsidR="00BE2D2B" w:rsidRPr="00E17E76">
        <w:rPr>
          <w:i/>
          <w:lang w:val="en-GB"/>
        </w:rPr>
        <w:t xml:space="preserve">p </w:t>
      </w:r>
      <w:r w:rsidR="00BE2D2B" w:rsidRPr="00E17E76">
        <w:rPr>
          <w:lang w:val="en-GB"/>
        </w:rPr>
        <w:t>&lt;</w:t>
      </w:r>
      <w:r w:rsidR="00BE2D2B" w:rsidRPr="00E17E76">
        <w:rPr>
          <w:i/>
          <w:lang w:val="en-GB"/>
        </w:rPr>
        <w:t xml:space="preserve"> </w:t>
      </w:r>
      <w:r w:rsidR="00BE2D2B" w:rsidRPr="00E17E76">
        <w:rPr>
          <w:lang w:val="en-GB"/>
        </w:rPr>
        <w:t>0</w:t>
      </w:r>
      <w:r w:rsidRPr="00E17E76">
        <w:rPr>
          <w:lang w:val="en-GB"/>
        </w:rPr>
        <w:t>.05/</w:t>
      </w:r>
      <w:r w:rsidR="00BE2D2B" w:rsidRPr="00E17E76">
        <w:rPr>
          <w:lang w:val="en-GB"/>
        </w:rPr>
        <w:t>2 = 0</w:t>
      </w:r>
      <w:r w:rsidRPr="00E17E76">
        <w:rPr>
          <w:lang w:val="en-GB"/>
        </w:rPr>
        <w:t xml:space="preserve">.025) and to CPCHILD when </w:t>
      </w:r>
      <w:r w:rsidR="000B4460" w:rsidRPr="00E17E76">
        <w:rPr>
          <w:lang w:val="en-GB"/>
        </w:rPr>
        <w:t>analysing</w:t>
      </w:r>
      <w:r w:rsidRPr="00E17E76">
        <w:rPr>
          <w:lang w:val="en-GB"/>
        </w:rPr>
        <w:t xml:space="preserve"> the six domains (</w:t>
      </w:r>
      <w:r w:rsidR="00BE2D2B" w:rsidRPr="00E17E76">
        <w:rPr>
          <w:i/>
          <w:lang w:val="en-GB"/>
        </w:rPr>
        <w:t xml:space="preserve">p </w:t>
      </w:r>
      <w:r w:rsidR="00BE2D2B" w:rsidRPr="00E17E76">
        <w:rPr>
          <w:lang w:val="en-GB"/>
        </w:rPr>
        <w:t>&lt;</w:t>
      </w:r>
      <w:r w:rsidR="00BE2D2B" w:rsidRPr="00E17E76">
        <w:rPr>
          <w:i/>
          <w:lang w:val="en-GB"/>
        </w:rPr>
        <w:t xml:space="preserve"> </w:t>
      </w:r>
      <w:r w:rsidR="00BE2D2B" w:rsidRPr="00E17E76">
        <w:rPr>
          <w:lang w:val="en-GB"/>
        </w:rPr>
        <w:t>0</w:t>
      </w:r>
      <w:r w:rsidRPr="00E17E76">
        <w:rPr>
          <w:lang w:val="en-GB"/>
        </w:rPr>
        <w:t>.05/</w:t>
      </w:r>
      <w:r w:rsidR="00BE2D2B" w:rsidRPr="00E17E76">
        <w:rPr>
          <w:lang w:val="en-GB"/>
        </w:rPr>
        <w:t>6 = 0</w:t>
      </w:r>
      <w:r w:rsidRPr="00E17E76">
        <w:rPr>
          <w:lang w:val="en-GB"/>
        </w:rPr>
        <w:t>.008) to reduce type I error. All tests were performed using IBM SPSS Statistics, Version 25 (IBM, Richmond, VA, USA).</w:t>
      </w:r>
    </w:p>
    <w:p w14:paraId="2BD8424A" w14:textId="77777777" w:rsidR="00112B62" w:rsidRPr="00E17E76" w:rsidRDefault="00112B62">
      <w:pPr>
        <w:spacing w:line="240" w:lineRule="auto"/>
        <w:jc w:val="left"/>
        <w:rPr>
          <w:rFonts w:eastAsia="Times New Roman"/>
          <w:noProof w:val="0"/>
          <w:snapToGrid w:val="0"/>
          <w:szCs w:val="22"/>
          <w:lang w:val="en-GB" w:eastAsia="de-DE" w:bidi="en-US"/>
        </w:rPr>
      </w:pPr>
      <w:r w:rsidRPr="00E17E76">
        <w:rPr>
          <w:noProof w:val="0"/>
          <w:lang w:val="en-GB"/>
        </w:rPr>
        <w:br w:type="page"/>
      </w:r>
    </w:p>
    <w:p w14:paraId="4D7EC5EC" w14:textId="77777777" w:rsidR="00160D84" w:rsidRPr="00E17E76" w:rsidRDefault="003A41A8" w:rsidP="003A41A8">
      <w:pPr>
        <w:pStyle w:val="MDPI21heading1"/>
        <w:rPr>
          <w:lang w:val="en-GB"/>
        </w:rPr>
      </w:pPr>
      <w:r w:rsidRPr="00E17E76">
        <w:rPr>
          <w:lang w:val="en-GB"/>
        </w:rPr>
        <w:lastRenderedPageBreak/>
        <w:t xml:space="preserve">3. </w:t>
      </w:r>
      <w:r w:rsidR="00160D84" w:rsidRPr="00E17E76">
        <w:rPr>
          <w:lang w:val="en-GB"/>
        </w:rPr>
        <w:t>Results</w:t>
      </w:r>
    </w:p>
    <w:p w14:paraId="137BDE02" w14:textId="425C6614" w:rsidR="00160D84" w:rsidRPr="00E17E76" w:rsidRDefault="003A41A8" w:rsidP="003A41A8">
      <w:pPr>
        <w:pStyle w:val="MDPI22heading2"/>
        <w:rPr>
          <w:noProof w:val="0"/>
          <w:lang w:val="en-GB"/>
        </w:rPr>
      </w:pPr>
      <w:r w:rsidRPr="00E17E76">
        <w:rPr>
          <w:noProof w:val="0"/>
          <w:lang w:val="en-GB"/>
        </w:rPr>
        <w:t xml:space="preserve">3.1. </w:t>
      </w:r>
      <w:r w:rsidR="00112B62" w:rsidRPr="00E17E76">
        <w:rPr>
          <w:noProof w:val="0"/>
          <w:lang w:val="en-GB"/>
        </w:rPr>
        <w:t>Subjects</w:t>
      </w:r>
    </w:p>
    <w:p w14:paraId="12009C17" w14:textId="2F136BE0" w:rsidR="00160D84" w:rsidRPr="00E17E76" w:rsidRDefault="00160D84" w:rsidP="003A41A8">
      <w:pPr>
        <w:pStyle w:val="MDPI31text"/>
        <w:rPr>
          <w:lang w:val="en-GB"/>
        </w:rPr>
      </w:pPr>
      <w:r w:rsidRPr="00E17E76">
        <w:rPr>
          <w:lang w:val="en-GB"/>
        </w:rPr>
        <w:t xml:space="preserve">Children with CP in our general service area were screened for eligibility. Fifty-one of them had pain and were contacted through their caregivers for inclusion after a formal invitation by letter. After caregivers accepted participation, their medical records were screened according to the inclusion and exclusion criteria. If still eligible, the patients were examined for lower extremity muscular pain by the r-FLACC during pROM (≥4). Twenty patients had pain levels too low to participate, four patients declined to participate and two had other ongoing changes in medical treatment, hence were excluded. Twenty-five patients with spastic cerebral palsy and an r-FLACC pain level larger than four were included as subjects and received a single injection of AboA. The majority had previous BoNT–A treatment (21/25). Twenty-two subjects were evaluated at </w:t>
      </w:r>
      <w:r w:rsidR="0037298C" w:rsidRPr="00E17E76">
        <w:rPr>
          <w:lang w:val="en-GB"/>
        </w:rPr>
        <w:t>a 4-</w:t>
      </w:r>
      <w:r w:rsidRPr="00E17E76">
        <w:rPr>
          <w:lang w:val="en-GB"/>
        </w:rPr>
        <w:t>week follow</w:t>
      </w:r>
      <w:r w:rsidR="0037298C" w:rsidRPr="00E17E76">
        <w:rPr>
          <w:lang w:val="en-GB"/>
        </w:rPr>
        <w:t xml:space="preserve"> </w:t>
      </w:r>
      <w:r w:rsidRPr="00E17E76">
        <w:rPr>
          <w:lang w:val="en-GB"/>
        </w:rPr>
        <w:t>up, 20 at 12 weeks</w:t>
      </w:r>
      <w:r w:rsidR="000B4460" w:rsidRPr="00E17E76">
        <w:rPr>
          <w:lang w:val="en-GB"/>
        </w:rPr>
        <w:t>,</w:t>
      </w:r>
      <w:r w:rsidRPr="00E17E76">
        <w:rPr>
          <w:lang w:val="en-GB"/>
        </w:rPr>
        <w:t xml:space="preserve"> and 15 at 28 weeks. The total withdrawals were nine, whereas seven had </w:t>
      </w:r>
      <w:r w:rsidR="00B82ACA" w:rsidRPr="00E17E76">
        <w:rPr>
          <w:lang w:val="en-GB"/>
        </w:rPr>
        <w:t xml:space="preserve">a </w:t>
      </w:r>
      <w:r w:rsidRPr="00E17E76">
        <w:rPr>
          <w:lang w:val="en-GB"/>
        </w:rPr>
        <w:t xml:space="preserve">good but subsiding pain-relieving effect and there was no effect on pain in two subjects. One subject was treated with AboA with good effect, but the storage temperature of the AboA was not monitored adequately before injection, </w:t>
      </w:r>
      <w:r w:rsidR="00B82ACA" w:rsidRPr="00E17E76">
        <w:rPr>
          <w:lang w:val="en-GB"/>
        </w:rPr>
        <w:t xml:space="preserve">and </w:t>
      </w:r>
      <w:r w:rsidRPr="00E17E76">
        <w:rPr>
          <w:lang w:val="en-GB"/>
        </w:rPr>
        <w:t>thus</w:t>
      </w:r>
      <w:r w:rsidR="00B82ACA" w:rsidRPr="00E17E76">
        <w:rPr>
          <w:lang w:val="en-GB"/>
        </w:rPr>
        <w:t xml:space="preserve"> is</w:t>
      </w:r>
      <w:r w:rsidRPr="00E17E76">
        <w:rPr>
          <w:lang w:val="en-GB"/>
        </w:rPr>
        <w:t xml:space="preserve"> excluded. Figure 1 shows a flow chart of the history of the subject’s participation and exclusion.</w:t>
      </w:r>
    </w:p>
    <w:p w14:paraId="24D8AFEF" w14:textId="0F9B339B" w:rsidR="00E55C3D" w:rsidRPr="00E17E76" w:rsidRDefault="00E55C3D" w:rsidP="003A41A8">
      <w:pPr>
        <w:pStyle w:val="MDPI51figurecaption"/>
        <w:jc w:val="both"/>
        <w:rPr>
          <w:b/>
          <w:lang w:val="en-GB"/>
        </w:rPr>
      </w:pPr>
      <w:r w:rsidRPr="00E17E76">
        <w:rPr>
          <w:noProof/>
          <w:lang w:eastAsia="zh-CN" w:bidi="ar-SA"/>
        </w:rPr>
        <w:drawing>
          <wp:inline distT="0" distB="0" distL="0" distR="0" wp14:anchorId="09F3FE49" wp14:editId="4387D9C1">
            <wp:extent cx="3898232" cy="5262213"/>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03025" cy="5268683"/>
                    </a:xfrm>
                    <a:prstGeom prst="rect">
                      <a:avLst/>
                    </a:prstGeom>
                    <a:noFill/>
                    <a:ln>
                      <a:noFill/>
                    </a:ln>
                  </pic:spPr>
                </pic:pic>
              </a:graphicData>
            </a:graphic>
          </wp:inline>
        </w:drawing>
      </w:r>
    </w:p>
    <w:p w14:paraId="3C70DC06" w14:textId="50995181" w:rsidR="00160D84" w:rsidRPr="00E17E76" w:rsidRDefault="003A41A8" w:rsidP="003A41A8">
      <w:pPr>
        <w:pStyle w:val="MDPI51figurecaption"/>
        <w:jc w:val="both"/>
        <w:rPr>
          <w:lang w:val="en-GB"/>
        </w:rPr>
      </w:pPr>
      <w:r w:rsidRPr="00E17E76">
        <w:rPr>
          <w:b/>
          <w:lang w:val="en-GB"/>
        </w:rPr>
        <w:t xml:space="preserve">Figure 1. </w:t>
      </w:r>
      <w:r w:rsidR="00160D84" w:rsidRPr="00E17E76">
        <w:rPr>
          <w:lang w:val="en-GB"/>
        </w:rPr>
        <w:t>Timeline of the history of the subject’s participation. *</w:t>
      </w:r>
      <w:r w:rsidR="00112B62" w:rsidRPr="00E17E76">
        <w:rPr>
          <w:lang w:val="en-GB"/>
        </w:rPr>
        <w:t xml:space="preserve"> </w:t>
      </w:r>
      <w:r w:rsidR="00160D84" w:rsidRPr="00E17E76">
        <w:rPr>
          <w:lang w:val="en-GB"/>
        </w:rPr>
        <w:t>20 subjects due to r-FLACC</w:t>
      </w:r>
      <w:r w:rsidR="00112B62" w:rsidRPr="00E17E76">
        <w:rPr>
          <w:lang w:val="en-GB"/>
        </w:rPr>
        <w:t xml:space="preserve"> </w:t>
      </w:r>
      <w:r w:rsidR="00160D84" w:rsidRPr="00E17E76">
        <w:rPr>
          <w:lang w:val="en-GB"/>
        </w:rPr>
        <w:t xml:space="preserve">&lt; 4, 2 due to other treatments, </w:t>
      </w:r>
      <w:r w:rsidR="00B82ACA" w:rsidRPr="00E17E76">
        <w:rPr>
          <w:lang w:val="en-GB"/>
        </w:rPr>
        <w:t xml:space="preserve">4 </w:t>
      </w:r>
      <w:r w:rsidR="00160D84" w:rsidRPr="00E17E76">
        <w:rPr>
          <w:lang w:val="en-GB"/>
        </w:rPr>
        <w:t>did not want to participate,</w:t>
      </w:r>
      <w:r w:rsidR="00112B62" w:rsidRPr="00E17E76">
        <w:rPr>
          <w:lang w:val="en-GB"/>
        </w:rPr>
        <w:t xml:space="preserve"> </w:t>
      </w:r>
      <w:r w:rsidR="00160D84" w:rsidRPr="00E17E76">
        <w:rPr>
          <w:lang w:val="en-GB"/>
        </w:rPr>
        <w:t xml:space="preserve">** with r-FLACC &gt; 4, *** </w:t>
      </w:r>
      <w:r w:rsidR="00B82ACA" w:rsidRPr="00E17E76">
        <w:rPr>
          <w:lang w:val="en-GB"/>
        </w:rPr>
        <w:t>T</w:t>
      </w:r>
      <w:r w:rsidR="00160D84" w:rsidRPr="00E17E76">
        <w:rPr>
          <w:lang w:val="en-GB"/>
        </w:rPr>
        <w:t xml:space="preserve">wo due to no effect and treated shortly after with another botulinum toxin injection treatment with higher dose and </w:t>
      </w:r>
      <w:r w:rsidR="00160D84" w:rsidRPr="00E17E76">
        <w:rPr>
          <w:lang w:val="en-GB"/>
        </w:rPr>
        <w:lastRenderedPageBreak/>
        <w:t xml:space="preserve">other muscles. One had a good effect but was treated with AboA </w:t>
      </w:r>
      <w:r w:rsidR="00B82ACA" w:rsidRPr="00E17E76">
        <w:rPr>
          <w:lang w:val="en-GB"/>
        </w:rPr>
        <w:t xml:space="preserve">that was </w:t>
      </w:r>
      <w:r w:rsidR="00160D84" w:rsidRPr="00E17E76">
        <w:rPr>
          <w:lang w:val="en-GB"/>
        </w:rPr>
        <w:t xml:space="preserve">not monitored </w:t>
      </w:r>
      <w:r w:rsidR="00B82ACA" w:rsidRPr="00E17E76">
        <w:rPr>
          <w:lang w:val="en-GB"/>
        </w:rPr>
        <w:t xml:space="preserve">adequately and was </w:t>
      </w:r>
      <w:r w:rsidR="00160D84" w:rsidRPr="00E17E76">
        <w:rPr>
          <w:lang w:val="en-GB"/>
        </w:rPr>
        <w:t>thus excluded. ****</w:t>
      </w:r>
      <w:r w:rsidR="00112B62" w:rsidRPr="00E17E76">
        <w:rPr>
          <w:lang w:val="en-GB"/>
        </w:rPr>
        <w:t xml:space="preserve"> </w:t>
      </w:r>
      <w:r w:rsidR="00B82ACA" w:rsidRPr="00E17E76">
        <w:rPr>
          <w:lang w:val="en-GB"/>
        </w:rPr>
        <w:t>T</w:t>
      </w:r>
      <w:r w:rsidR="00160D84" w:rsidRPr="00E17E76">
        <w:rPr>
          <w:lang w:val="en-GB"/>
        </w:rPr>
        <w:t xml:space="preserve">wo excluded since pain reoccurred and had additional pain treatment and ***** </w:t>
      </w:r>
      <w:r w:rsidR="00B82ACA" w:rsidRPr="00E17E76">
        <w:rPr>
          <w:lang w:val="en-GB"/>
        </w:rPr>
        <w:t>F</w:t>
      </w:r>
      <w:r w:rsidR="00160D84" w:rsidRPr="00E17E76">
        <w:rPr>
          <w:lang w:val="en-GB"/>
        </w:rPr>
        <w:t>ive subjects were excluded due to deteriorating effect and were excluded to have another AboA injection.</w:t>
      </w:r>
    </w:p>
    <w:p w14:paraId="293877F3" w14:textId="5106C1A6" w:rsidR="00444BC6" w:rsidRDefault="00160D84" w:rsidP="00444BC6">
      <w:pPr>
        <w:pStyle w:val="MDPI31text"/>
        <w:rPr>
          <w:lang w:val="en-GB"/>
        </w:rPr>
      </w:pPr>
      <w:r w:rsidRPr="00E17E76">
        <w:rPr>
          <w:lang w:val="en-GB"/>
        </w:rPr>
        <w:t xml:space="preserve">The average age was 9.1 years with a range </w:t>
      </w:r>
      <w:r w:rsidR="00B82ACA" w:rsidRPr="00E17E76">
        <w:rPr>
          <w:lang w:val="en-GB"/>
        </w:rPr>
        <w:t>from</w:t>
      </w:r>
      <w:r w:rsidRPr="00E17E76">
        <w:rPr>
          <w:lang w:val="en-GB"/>
        </w:rPr>
        <w:t xml:space="preserve"> </w:t>
      </w:r>
      <w:r w:rsidR="00B82ACA" w:rsidRPr="00E17E76">
        <w:rPr>
          <w:lang w:val="en-GB"/>
        </w:rPr>
        <w:t xml:space="preserve">2 </w:t>
      </w:r>
      <w:r w:rsidRPr="00E17E76">
        <w:rPr>
          <w:lang w:val="en-GB"/>
        </w:rPr>
        <w:t xml:space="preserve">to 17 (SD: 3.6) for the 22 subjects that were still included at the </w:t>
      </w:r>
      <w:r w:rsidR="00B82ACA" w:rsidRPr="00E17E76">
        <w:rPr>
          <w:lang w:val="en-GB"/>
        </w:rPr>
        <w:t>4</w:t>
      </w:r>
      <w:r w:rsidR="0037298C" w:rsidRPr="00E17E76">
        <w:rPr>
          <w:lang w:val="en-GB"/>
        </w:rPr>
        <w:t>-</w:t>
      </w:r>
      <w:r w:rsidRPr="00E17E76">
        <w:rPr>
          <w:lang w:val="en-GB"/>
        </w:rPr>
        <w:t>week</w:t>
      </w:r>
      <w:r w:rsidR="00B82ACA" w:rsidRPr="00E17E76">
        <w:rPr>
          <w:lang w:val="en-GB"/>
        </w:rPr>
        <w:t xml:space="preserve"> </w:t>
      </w:r>
      <w:r w:rsidRPr="00E17E76">
        <w:rPr>
          <w:lang w:val="en-GB"/>
        </w:rPr>
        <w:t>follow</w:t>
      </w:r>
      <w:r w:rsidR="00B82ACA" w:rsidRPr="00E17E76">
        <w:rPr>
          <w:lang w:val="en-GB"/>
        </w:rPr>
        <w:t xml:space="preserve"> </w:t>
      </w:r>
      <w:r w:rsidRPr="00E17E76">
        <w:rPr>
          <w:lang w:val="en-GB"/>
        </w:rPr>
        <w:t>up. The gender ratio (</w:t>
      </w:r>
      <w:proofErr w:type="gramStart"/>
      <w:r w:rsidRPr="00E17E76">
        <w:rPr>
          <w:lang w:val="en-GB"/>
        </w:rPr>
        <w:t>female:male</w:t>
      </w:r>
      <w:proofErr w:type="gramEnd"/>
      <w:r w:rsidRPr="00E17E76">
        <w:rPr>
          <w:lang w:val="en-GB"/>
        </w:rPr>
        <w:t>) was 8:14. They were classified as unilateral:bilateral with a ratio of 3:19 (hemilegia:3, diplegia:9 and tetraplegia:10). Figure 2 shows a characterisation of the subjects according to the GFMCS and other classifications.</w:t>
      </w:r>
    </w:p>
    <w:p w14:paraId="0B3FEA2E" w14:textId="77777777" w:rsidR="00444BC6" w:rsidRDefault="00444BC6" w:rsidP="00444BC6">
      <w:pPr>
        <w:pStyle w:val="MDPI31text"/>
        <w:rPr>
          <w:lang w:val="en-GB"/>
        </w:rPr>
      </w:pPr>
    </w:p>
    <w:p w14:paraId="23003189" w14:textId="31EEC15D" w:rsidR="00444BC6" w:rsidRPr="00E17E76" w:rsidRDefault="00444BC6" w:rsidP="003A41A8">
      <w:pPr>
        <w:pStyle w:val="MDPI31text"/>
        <w:rPr>
          <w:lang w:val="en-GB"/>
        </w:rPr>
      </w:pPr>
      <w:r>
        <w:rPr>
          <w:noProof/>
        </w:rPr>
        <w:drawing>
          <wp:inline distT="0" distB="0" distL="0" distR="0" wp14:anchorId="2FD0A785" wp14:editId="44C8A7C9">
            <wp:extent cx="2219325" cy="1590675"/>
            <wp:effectExtent l="0" t="0" r="9525" b="9525"/>
            <wp:docPr id="7" name="Diagram 7">
              <a:extLst xmlns:a="http://schemas.openxmlformats.org/drawingml/2006/main">
                <a:ext uri="{FF2B5EF4-FFF2-40B4-BE49-F238E27FC236}">
                  <a16:creationId xmlns:a16="http://schemas.microsoft.com/office/drawing/2014/main" id="{0D44C731-9166-44D3-ABC1-60222B82199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Pr>
          <w:noProof/>
        </w:rPr>
        <w:drawing>
          <wp:inline distT="0" distB="0" distL="0" distR="0" wp14:anchorId="4794ECE2" wp14:editId="2574F835">
            <wp:extent cx="2466975" cy="1600200"/>
            <wp:effectExtent l="0" t="0" r="9525" b="0"/>
            <wp:docPr id="9" name="Diagram 9">
              <a:extLst xmlns:a="http://schemas.openxmlformats.org/drawingml/2006/main">
                <a:ext uri="{FF2B5EF4-FFF2-40B4-BE49-F238E27FC236}">
                  <a16:creationId xmlns:a16="http://schemas.microsoft.com/office/drawing/2014/main" id="{00CD47FE-1773-4712-B530-8B3640EE784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Pr>
          <w:noProof/>
        </w:rPr>
        <w:drawing>
          <wp:inline distT="0" distB="0" distL="0" distR="0" wp14:anchorId="2F7CCE93" wp14:editId="1722B735">
            <wp:extent cx="2266950" cy="1495425"/>
            <wp:effectExtent l="0" t="0" r="0" b="9525"/>
            <wp:docPr id="12" name="Diagram 12">
              <a:extLst xmlns:a="http://schemas.openxmlformats.org/drawingml/2006/main">
                <a:ext uri="{FF2B5EF4-FFF2-40B4-BE49-F238E27FC236}">
                  <a16:creationId xmlns:a16="http://schemas.microsoft.com/office/drawing/2014/main" id="{31A3DACB-75C4-4834-8766-A51814F3488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59F871F" w14:textId="1833799E" w:rsidR="00E55C3D" w:rsidRPr="00E17E76" w:rsidRDefault="00E55C3D" w:rsidP="00E55C3D">
      <w:pPr>
        <w:pStyle w:val="MDPI51figurecaption"/>
        <w:ind w:left="425" w:right="425"/>
        <w:jc w:val="both"/>
        <w:rPr>
          <w:b/>
          <w:lang w:val="en-GB"/>
        </w:rPr>
      </w:pPr>
    </w:p>
    <w:p w14:paraId="61A6CF3E" w14:textId="37DA9BE4" w:rsidR="00160D84" w:rsidRPr="00E17E76" w:rsidRDefault="00E55C3D" w:rsidP="00E55C3D">
      <w:pPr>
        <w:pStyle w:val="MDPI51figurecaption"/>
        <w:ind w:left="425" w:right="425"/>
        <w:jc w:val="both"/>
        <w:rPr>
          <w:lang w:val="en-GB"/>
        </w:rPr>
      </w:pPr>
      <w:r w:rsidRPr="00E17E76">
        <w:rPr>
          <w:b/>
          <w:lang w:val="en-GB"/>
        </w:rPr>
        <w:t xml:space="preserve">Figure 2. </w:t>
      </w:r>
      <w:r w:rsidR="00160D84" w:rsidRPr="00E17E76">
        <w:rPr>
          <w:lang w:val="en-GB"/>
        </w:rPr>
        <w:t>Characterisation of the subjects according to the GFMCS and other classifications of the subjects that were still included at the four</w:t>
      </w:r>
      <w:r w:rsidR="0037298C" w:rsidRPr="00E17E76">
        <w:rPr>
          <w:lang w:val="en-GB"/>
        </w:rPr>
        <w:t>-</w:t>
      </w:r>
      <w:r w:rsidR="00160D84" w:rsidRPr="00E17E76">
        <w:rPr>
          <w:lang w:val="en-GB"/>
        </w:rPr>
        <w:t>week</w:t>
      </w:r>
      <w:r w:rsidR="00B82ACA" w:rsidRPr="00E17E76">
        <w:rPr>
          <w:lang w:val="en-GB"/>
        </w:rPr>
        <w:t xml:space="preserve"> </w:t>
      </w:r>
      <w:r w:rsidR="00160D84" w:rsidRPr="00E17E76">
        <w:rPr>
          <w:lang w:val="en-GB"/>
        </w:rPr>
        <w:t>follow</w:t>
      </w:r>
      <w:r w:rsidR="00B82ACA" w:rsidRPr="00E17E76">
        <w:rPr>
          <w:lang w:val="en-GB"/>
        </w:rPr>
        <w:t xml:space="preserve"> </w:t>
      </w:r>
      <w:r w:rsidR="00160D84" w:rsidRPr="00E17E76">
        <w:rPr>
          <w:lang w:val="en-GB"/>
        </w:rPr>
        <w:t>up.</w:t>
      </w:r>
    </w:p>
    <w:p w14:paraId="57695856" w14:textId="208E74EF" w:rsidR="00160D84" w:rsidRPr="00E17E76" w:rsidRDefault="00160D84" w:rsidP="003A41A8">
      <w:pPr>
        <w:pStyle w:val="MDPI31text"/>
        <w:rPr>
          <w:lang w:val="en-GB"/>
        </w:rPr>
      </w:pPr>
      <w:r w:rsidRPr="00E17E76">
        <w:rPr>
          <w:lang w:val="en-GB"/>
        </w:rPr>
        <w:t>The ultrasound-guided injections with AboA were carried out by a single doctor at the primary centre except for three injections, which were performed by two neuro</w:t>
      </w:r>
      <w:r w:rsidR="004035F9" w:rsidRPr="00E17E76">
        <w:rPr>
          <w:lang w:val="en-GB"/>
        </w:rPr>
        <w:t>-</w:t>
      </w:r>
      <w:r w:rsidRPr="00E17E76">
        <w:rPr>
          <w:lang w:val="en-GB"/>
        </w:rPr>
        <w:t xml:space="preserve">paediatricians. All procedures but one </w:t>
      </w:r>
      <w:proofErr w:type="gramStart"/>
      <w:r w:rsidRPr="00E17E76">
        <w:rPr>
          <w:lang w:val="en-GB"/>
        </w:rPr>
        <w:t>were</w:t>
      </w:r>
      <w:proofErr w:type="gramEnd"/>
      <w:r w:rsidRPr="00E17E76">
        <w:rPr>
          <w:lang w:val="en-GB"/>
        </w:rPr>
        <w:t xml:space="preserve"> performed under general anaesthesia. The average injected dose was 21.8 units/kg of AboA. This was 15 units/kg and 25</w:t>
      </w:r>
      <w:r w:rsidR="007A1B4F" w:rsidRPr="00E17E76">
        <w:rPr>
          <w:lang w:val="en-GB"/>
        </w:rPr>
        <w:t>.3</w:t>
      </w:r>
      <w:r w:rsidRPr="00E17E76">
        <w:rPr>
          <w:lang w:val="en-GB"/>
        </w:rPr>
        <w:t xml:space="preserve"> units/kg for unilateral and bilateral CP, respectively. The AboA injections were injected into a combination of one muscle (Adductor Femoris) for two subjects, two muscles groups (often Psoas of the hip, Adductor Femoris or the Gastro and Soleus muscle of the Gastrosoleus muscle of the calf) in seventeen, and three muscle groups (Psoas the hip, Adductor Femoris combined with either Gastrosoleus of the calf or medial hamstrings or Rectus Femoris) in three. The injected muscles are shown in </w:t>
      </w:r>
      <w:r w:rsidR="005352A8" w:rsidRPr="00E17E76">
        <w:rPr>
          <w:lang w:val="en-GB"/>
        </w:rPr>
        <w:t>Figure 3</w:t>
      </w:r>
      <w:r w:rsidRPr="00E17E76">
        <w:rPr>
          <w:lang w:val="en-GB"/>
        </w:rPr>
        <w:t xml:space="preserve">. After the injections, the subjects had additional physiotherapy combined with their ongoing rehabilitation. The medical status in general and at baseline are shown in </w:t>
      </w:r>
      <w:r w:rsidR="005352A8" w:rsidRPr="00E17E76">
        <w:rPr>
          <w:lang w:val="en-GB"/>
        </w:rPr>
        <w:t>Table 1</w:t>
      </w:r>
      <w:r w:rsidRPr="00E17E76">
        <w:rPr>
          <w:lang w:val="en-GB"/>
        </w:rPr>
        <w:t>. However, the latter part of this study was conducted when the COVID-19 pandemic demanded the closure of non-vital clinical contacts. Consequently, we conducted four video/telephone consultations instead of in-person follow-up visits, five follow</w:t>
      </w:r>
      <w:r w:rsidR="00A2030D" w:rsidRPr="00E17E76">
        <w:rPr>
          <w:lang w:val="en-GB"/>
        </w:rPr>
        <w:t>-</w:t>
      </w:r>
      <w:r w:rsidRPr="00E17E76">
        <w:rPr>
          <w:lang w:val="en-GB"/>
        </w:rPr>
        <w:t>ups were postponed (median delay four weeks, ranging from three to eight weeks) and some of the planned post-injection physiotherapies were cancelled during this period.</w:t>
      </w:r>
    </w:p>
    <w:p w14:paraId="5705B9E6" w14:textId="113D9AD9" w:rsidR="00E55C3D" w:rsidRPr="00E17E76" w:rsidRDefault="00E55C3D" w:rsidP="003A41A8">
      <w:pPr>
        <w:pStyle w:val="MDPI51figurecaption"/>
        <w:rPr>
          <w:b/>
          <w:lang w:val="en-GB"/>
        </w:rPr>
      </w:pPr>
      <w:r w:rsidRPr="00E17E76">
        <w:rPr>
          <w:noProof/>
          <w:lang w:eastAsia="zh-CN" w:bidi="ar-SA"/>
        </w:rPr>
        <w:lastRenderedPageBreak/>
        <w:drawing>
          <wp:inline distT="0" distB="0" distL="0" distR="0" wp14:anchorId="59911643" wp14:editId="3FC6981F">
            <wp:extent cx="4373479" cy="2656926"/>
            <wp:effectExtent l="0" t="0" r="825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74015" cy="2657252"/>
                    </a:xfrm>
                    <a:prstGeom prst="rect">
                      <a:avLst/>
                    </a:prstGeom>
                    <a:noFill/>
                    <a:ln>
                      <a:noFill/>
                    </a:ln>
                  </pic:spPr>
                </pic:pic>
              </a:graphicData>
            </a:graphic>
          </wp:inline>
        </w:drawing>
      </w:r>
    </w:p>
    <w:p w14:paraId="7F6EBAC6" w14:textId="589B407C" w:rsidR="00160D84" w:rsidRPr="00E17E76" w:rsidRDefault="003A41A8" w:rsidP="003A41A8">
      <w:pPr>
        <w:pStyle w:val="MDPI51figurecaption"/>
        <w:rPr>
          <w:lang w:val="en-GB"/>
        </w:rPr>
      </w:pPr>
      <w:r w:rsidRPr="00E17E76">
        <w:rPr>
          <w:b/>
          <w:lang w:val="en-GB"/>
        </w:rPr>
        <w:t xml:space="preserve">Figure 3. </w:t>
      </w:r>
      <w:r w:rsidR="00160D84" w:rsidRPr="00E17E76">
        <w:rPr>
          <w:lang w:val="en-GB"/>
        </w:rPr>
        <w:t>Distribution of the injected muscles of the lower extremity.</w:t>
      </w:r>
    </w:p>
    <w:p w14:paraId="56002E79" w14:textId="73FD795E" w:rsidR="003A41A8" w:rsidRPr="00E17E76" w:rsidRDefault="003A41A8" w:rsidP="003A41A8">
      <w:pPr>
        <w:pStyle w:val="MDPI41tablecaption"/>
        <w:jc w:val="both"/>
        <w:rPr>
          <w:snapToGrid w:val="0"/>
          <w:lang w:val="en-GB"/>
        </w:rPr>
      </w:pPr>
      <w:r w:rsidRPr="00E17E76">
        <w:rPr>
          <w:b/>
          <w:lang w:val="en-GB"/>
        </w:rPr>
        <w:t xml:space="preserve">Table 1. </w:t>
      </w:r>
      <w:r w:rsidRPr="00E17E76">
        <w:rPr>
          <w:snapToGrid w:val="0"/>
          <w:lang w:val="en-GB"/>
        </w:rPr>
        <w:t xml:space="preserve">Status of medication at baseline, ongoing </w:t>
      </w:r>
      <w:r w:rsidR="004035F9" w:rsidRPr="00E17E76">
        <w:rPr>
          <w:snapToGrid w:val="0"/>
          <w:lang w:val="en-GB"/>
        </w:rPr>
        <w:t>physiotherapy,</w:t>
      </w:r>
      <w:r w:rsidRPr="00E17E76">
        <w:rPr>
          <w:snapToGrid w:val="0"/>
          <w:lang w:val="en-GB"/>
        </w:rPr>
        <w:t xml:space="preserve"> and previous surgeries. * </w:t>
      </w:r>
      <w:r w:rsidR="004035F9" w:rsidRPr="00E17E76">
        <w:rPr>
          <w:snapToGrid w:val="0"/>
          <w:lang w:val="en-GB"/>
        </w:rPr>
        <w:t>P</w:t>
      </w:r>
      <w:r w:rsidRPr="00E17E76">
        <w:rPr>
          <w:snapToGrid w:val="0"/>
          <w:lang w:val="en-GB"/>
        </w:rPr>
        <w:t>aracetamol excluded</w:t>
      </w:r>
      <w:r w:rsidR="004035F9" w:rsidRPr="00E17E76">
        <w:rPr>
          <w:snapToGrid w:val="0"/>
          <w:lang w:val="en-GB"/>
        </w:rPr>
        <w:t>.</w:t>
      </w:r>
      <w:r w:rsidRPr="00E17E76">
        <w:rPr>
          <w:snapToGrid w:val="0"/>
          <w:lang w:val="en-GB"/>
        </w:rPr>
        <w:t xml:space="preserve"> ** </w:t>
      </w:r>
      <w:r w:rsidR="004035F9" w:rsidRPr="00E17E76">
        <w:rPr>
          <w:snapToGrid w:val="0"/>
          <w:lang w:val="en-GB"/>
        </w:rPr>
        <w:t>H</w:t>
      </w:r>
      <w:r w:rsidRPr="00E17E76">
        <w:rPr>
          <w:snapToGrid w:val="0"/>
          <w:lang w:val="en-GB"/>
        </w:rPr>
        <w:t>ow many previous botulinum toxin injections on average</w:t>
      </w:r>
      <w:r w:rsidR="004035F9" w:rsidRPr="00E17E76">
        <w:rPr>
          <w:snapToGrid w:val="0"/>
          <w:lang w:val="en-GB"/>
        </w:rPr>
        <w:t>.</w:t>
      </w:r>
      <w:r w:rsidRPr="00E17E76">
        <w:rPr>
          <w:snapToGrid w:val="0"/>
          <w:lang w:val="en-GB"/>
        </w:rPr>
        <w:t xml:space="preserve"> *** </w:t>
      </w:r>
      <w:r w:rsidR="004035F9" w:rsidRPr="00E17E76">
        <w:rPr>
          <w:snapToGrid w:val="0"/>
          <w:lang w:val="en-GB"/>
        </w:rPr>
        <w:t>R</w:t>
      </w:r>
      <w:r w:rsidRPr="00E17E76">
        <w:rPr>
          <w:snapToGrid w:val="0"/>
          <w:lang w:val="en-GB"/>
        </w:rPr>
        <w:t>egion of surgery</w:t>
      </w:r>
      <w:r w:rsidR="004035F9" w:rsidRPr="00E17E76">
        <w:rPr>
          <w:snapToGrid w:val="0"/>
          <w:lang w:val="en-GB"/>
        </w:rPr>
        <w:t>.</w:t>
      </w:r>
    </w:p>
    <w:tbl>
      <w:tblPr>
        <w:tblW w:w="5978" w:type="dxa"/>
        <w:tblInd w:w="2608" w:type="dxa"/>
        <w:tblBorders>
          <w:top w:val="single" w:sz="12" w:space="0" w:color="008000"/>
          <w:bottom w:val="single" w:sz="12" w:space="0" w:color="008000"/>
        </w:tblBorders>
        <w:tblLayout w:type="fixed"/>
        <w:tblCellMar>
          <w:left w:w="0" w:type="dxa"/>
          <w:right w:w="0" w:type="dxa"/>
        </w:tblCellMar>
        <w:tblLook w:val="04A0" w:firstRow="1" w:lastRow="0" w:firstColumn="1" w:lastColumn="0" w:noHBand="0" w:noVBand="1"/>
      </w:tblPr>
      <w:tblGrid>
        <w:gridCol w:w="3937"/>
        <w:gridCol w:w="2041"/>
      </w:tblGrid>
      <w:tr w:rsidR="00145CEB" w:rsidRPr="00E17E76" w14:paraId="4A8C3BB2" w14:textId="77777777" w:rsidTr="00145CEB">
        <w:trPr>
          <w:trHeight w:val="213"/>
        </w:trPr>
        <w:tc>
          <w:tcPr>
            <w:tcW w:w="3937" w:type="dxa"/>
            <w:tcBorders>
              <w:top w:val="single" w:sz="8" w:space="0" w:color="auto"/>
              <w:bottom w:val="single" w:sz="4" w:space="0" w:color="auto"/>
            </w:tcBorders>
          </w:tcPr>
          <w:p w14:paraId="30C0BEFA" w14:textId="2A8B2E07" w:rsidR="00145CEB" w:rsidRPr="00E17E76" w:rsidRDefault="00444BC6" w:rsidP="004F7E97">
            <w:pPr>
              <w:pStyle w:val="MDPI42tablebody"/>
              <w:autoSpaceDE w:val="0"/>
              <w:autoSpaceDN w:val="0"/>
              <w:rPr>
                <w:b/>
                <w:color w:val="000000" w:themeColor="text1"/>
                <w:sz w:val="18"/>
              </w:rPr>
            </w:pPr>
            <w:r>
              <w:rPr>
                <w:b/>
                <w:color w:val="000000" w:themeColor="text1"/>
                <w:sz w:val="18"/>
              </w:rPr>
              <w:t>Overview of medical and surgical tre</w:t>
            </w:r>
            <w:r w:rsidR="000F3849">
              <w:rPr>
                <w:b/>
                <w:color w:val="000000" w:themeColor="text1"/>
                <w:sz w:val="18"/>
              </w:rPr>
              <w:t>a</w:t>
            </w:r>
            <w:r>
              <w:rPr>
                <w:b/>
                <w:color w:val="000000" w:themeColor="text1"/>
                <w:sz w:val="18"/>
              </w:rPr>
              <w:t xml:space="preserve">tments </w:t>
            </w:r>
          </w:p>
        </w:tc>
        <w:tc>
          <w:tcPr>
            <w:tcW w:w="2041" w:type="dxa"/>
            <w:tcBorders>
              <w:top w:val="single" w:sz="8" w:space="0" w:color="auto"/>
              <w:bottom w:val="single" w:sz="4" w:space="0" w:color="auto"/>
            </w:tcBorders>
          </w:tcPr>
          <w:p w14:paraId="6D6B5AEE" w14:textId="59D7760E" w:rsidR="00145CEB" w:rsidRPr="00E17E76" w:rsidRDefault="00145CEB" w:rsidP="004F7E97">
            <w:pPr>
              <w:pStyle w:val="MDPI42tablebody"/>
              <w:autoSpaceDE w:val="0"/>
              <w:autoSpaceDN w:val="0"/>
              <w:rPr>
                <w:b/>
                <w:color w:val="000000" w:themeColor="text1"/>
                <w:sz w:val="18"/>
              </w:rPr>
            </w:pPr>
            <w:r w:rsidRPr="00E17E76">
              <w:rPr>
                <w:rFonts w:hint="eastAsia"/>
                <w:b/>
                <w:color w:val="000000" w:themeColor="text1"/>
                <w:sz w:val="18"/>
              </w:rPr>
              <w:t>%</w:t>
            </w:r>
          </w:p>
        </w:tc>
      </w:tr>
      <w:tr w:rsidR="00145CEB" w:rsidRPr="00E17E76" w14:paraId="6F4E8CCB" w14:textId="77777777" w:rsidTr="00145CEB">
        <w:trPr>
          <w:trHeight w:val="233"/>
        </w:trPr>
        <w:tc>
          <w:tcPr>
            <w:tcW w:w="3937" w:type="dxa"/>
            <w:tcBorders>
              <w:top w:val="nil"/>
              <w:bottom w:val="nil"/>
            </w:tcBorders>
          </w:tcPr>
          <w:p w14:paraId="6A45B054" w14:textId="4A22BE28" w:rsidR="00145CEB" w:rsidRPr="00E17E76" w:rsidRDefault="00145CEB" w:rsidP="00145CEB">
            <w:pPr>
              <w:pStyle w:val="MDPI42tablebody"/>
              <w:autoSpaceDE w:val="0"/>
              <w:autoSpaceDN w:val="0"/>
              <w:rPr>
                <w:bCs/>
                <w:color w:val="000000" w:themeColor="text1"/>
                <w:sz w:val="18"/>
              </w:rPr>
            </w:pPr>
            <w:r w:rsidRPr="00E17E76">
              <w:rPr>
                <w:bCs/>
                <w:color w:val="000000" w:themeColor="text1"/>
                <w:sz w:val="18"/>
              </w:rPr>
              <w:t>Receive other medical treatment</w:t>
            </w:r>
          </w:p>
        </w:tc>
        <w:tc>
          <w:tcPr>
            <w:tcW w:w="2041" w:type="dxa"/>
            <w:tcBorders>
              <w:top w:val="nil"/>
              <w:bottom w:val="nil"/>
            </w:tcBorders>
          </w:tcPr>
          <w:p w14:paraId="0E8A6B99" w14:textId="40408E03" w:rsidR="00145CEB" w:rsidRPr="00E17E76" w:rsidRDefault="00145CEB" w:rsidP="00145CEB">
            <w:pPr>
              <w:pStyle w:val="MDPI42tablebody"/>
              <w:autoSpaceDE w:val="0"/>
              <w:autoSpaceDN w:val="0"/>
              <w:rPr>
                <w:bCs/>
                <w:color w:val="000000" w:themeColor="text1"/>
                <w:sz w:val="18"/>
              </w:rPr>
            </w:pPr>
            <w:r w:rsidRPr="00E17E76">
              <w:rPr>
                <w:bCs/>
                <w:color w:val="000000" w:themeColor="text1"/>
                <w:sz w:val="18"/>
              </w:rPr>
              <w:t>73</w:t>
            </w:r>
          </w:p>
        </w:tc>
      </w:tr>
      <w:tr w:rsidR="00145CEB" w:rsidRPr="00E17E76" w14:paraId="6D1FE8AC" w14:textId="77777777" w:rsidTr="00145CEB">
        <w:trPr>
          <w:trHeight w:val="242"/>
        </w:trPr>
        <w:tc>
          <w:tcPr>
            <w:tcW w:w="3937" w:type="dxa"/>
            <w:tcBorders>
              <w:top w:val="nil"/>
              <w:bottom w:val="nil"/>
            </w:tcBorders>
          </w:tcPr>
          <w:p w14:paraId="3FF57D10" w14:textId="5D316162" w:rsidR="00145CEB" w:rsidRPr="00E17E76" w:rsidRDefault="00145CEB" w:rsidP="00145CEB">
            <w:pPr>
              <w:pStyle w:val="MDPI42tablebody"/>
              <w:autoSpaceDE w:val="0"/>
              <w:autoSpaceDN w:val="0"/>
              <w:rPr>
                <w:bCs/>
                <w:color w:val="000000" w:themeColor="text1"/>
                <w:sz w:val="18"/>
              </w:rPr>
            </w:pPr>
            <w:r w:rsidRPr="00E17E76">
              <w:rPr>
                <w:bCs/>
                <w:color w:val="000000" w:themeColor="text1"/>
                <w:sz w:val="18"/>
              </w:rPr>
              <w:t>Muscle relaxant</w:t>
            </w:r>
          </w:p>
        </w:tc>
        <w:tc>
          <w:tcPr>
            <w:tcW w:w="2041" w:type="dxa"/>
            <w:tcBorders>
              <w:top w:val="nil"/>
              <w:bottom w:val="nil"/>
            </w:tcBorders>
          </w:tcPr>
          <w:p w14:paraId="47CBB65D" w14:textId="31C7E298" w:rsidR="00145CEB" w:rsidRPr="00E17E76" w:rsidRDefault="00145CEB" w:rsidP="00145CEB">
            <w:pPr>
              <w:pStyle w:val="MDPI42tablebody"/>
              <w:autoSpaceDE w:val="0"/>
              <w:autoSpaceDN w:val="0"/>
              <w:rPr>
                <w:bCs/>
                <w:color w:val="000000" w:themeColor="text1"/>
                <w:sz w:val="18"/>
              </w:rPr>
            </w:pPr>
            <w:r w:rsidRPr="00E17E76">
              <w:rPr>
                <w:bCs/>
                <w:color w:val="000000" w:themeColor="text1"/>
                <w:sz w:val="18"/>
              </w:rPr>
              <w:t>32</w:t>
            </w:r>
          </w:p>
        </w:tc>
      </w:tr>
      <w:tr w:rsidR="00145CEB" w:rsidRPr="00E17E76" w14:paraId="2E606F5C" w14:textId="77777777" w:rsidTr="00145CEB">
        <w:trPr>
          <w:trHeight w:val="233"/>
        </w:trPr>
        <w:tc>
          <w:tcPr>
            <w:tcW w:w="3937" w:type="dxa"/>
            <w:tcBorders>
              <w:top w:val="nil"/>
              <w:bottom w:val="nil"/>
            </w:tcBorders>
          </w:tcPr>
          <w:p w14:paraId="0A1C53F9" w14:textId="0D88642E" w:rsidR="00145CEB" w:rsidRPr="00E17E76" w:rsidRDefault="00145CEB" w:rsidP="00145CEB">
            <w:pPr>
              <w:pStyle w:val="MDPI42tablebody"/>
              <w:autoSpaceDE w:val="0"/>
              <w:autoSpaceDN w:val="0"/>
              <w:rPr>
                <w:bCs/>
                <w:color w:val="000000" w:themeColor="text1"/>
                <w:sz w:val="18"/>
              </w:rPr>
            </w:pPr>
            <w:r w:rsidRPr="00E17E76">
              <w:rPr>
                <w:bCs/>
                <w:color w:val="000000" w:themeColor="text1"/>
                <w:sz w:val="18"/>
              </w:rPr>
              <w:t>Sleep medication</w:t>
            </w:r>
          </w:p>
        </w:tc>
        <w:tc>
          <w:tcPr>
            <w:tcW w:w="2041" w:type="dxa"/>
            <w:tcBorders>
              <w:top w:val="nil"/>
              <w:bottom w:val="nil"/>
            </w:tcBorders>
          </w:tcPr>
          <w:p w14:paraId="7BCE24A3" w14:textId="27DF5018" w:rsidR="00145CEB" w:rsidRPr="00E17E76" w:rsidRDefault="00145CEB" w:rsidP="00145CEB">
            <w:pPr>
              <w:pStyle w:val="MDPI42tablebody"/>
              <w:autoSpaceDE w:val="0"/>
              <w:autoSpaceDN w:val="0"/>
              <w:rPr>
                <w:bCs/>
                <w:color w:val="000000" w:themeColor="text1"/>
                <w:sz w:val="18"/>
              </w:rPr>
            </w:pPr>
            <w:r w:rsidRPr="00E17E76">
              <w:rPr>
                <w:bCs/>
                <w:color w:val="000000" w:themeColor="text1"/>
                <w:sz w:val="18"/>
              </w:rPr>
              <w:t>14</w:t>
            </w:r>
          </w:p>
        </w:tc>
      </w:tr>
      <w:tr w:rsidR="00145CEB" w:rsidRPr="00E17E76" w14:paraId="053DE489" w14:textId="77777777" w:rsidTr="00145CEB">
        <w:trPr>
          <w:trHeight w:val="233"/>
        </w:trPr>
        <w:tc>
          <w:tcPr>
            <w:tcW w:w="3937" w:type="dxa"/>
            <w:tcBorders>
              <w:top w:val="nil"/>
              <w:bottom w:val="nil"/>
            </w:tcBorders>
          </w:tcPr>
          <w:p w14:paraId="54B738FA" w14:textId="45A47684" w:rsidR="00145CEB" w:rsidRPr="00E17E76" w:rsidRDefault="00145CEB" w:rsidP="00145CEB">
            <w:pPr>
              <w:pStyle w:val="MDPI42tablebody"/>
              <w:autoSpaceDE w:val="0"/>
              <w:autoSpaceDN w:val="0"/>
              <w:rPr>
                <w:bCs/>
                <w:color w:val="000000" w:themeColor="text1"/>
                <w:sz w:val="18"/>
              </w:rPr>
            </w:pPr>
            <w:r w:rsidRPr="00E17E76">
              <w:rPr>
                <w:bCs/>
                <w:color w:val="000000" w:themeColor="text1"/>
                <w:sz w:val="18"/>
              </w:rPr>
              <w:t>Medication for epilepsy</w:t>
            </w:r>
          </w:p>
        </w:tc>
        <w:tc>
          <w:tcPr>
            <w:tcW w:w="2041" w:type="dxa"/>
            <w:tcBorders>
              <w:top w:val="nil"/>
              <w:bottom w:val="nil"/>
            </w:tcBorders>
          </w:tcPr>
          <w:p w14:paraId="1411AD9C" w14:textId="14EDD448" w:rsidR="00145CEB" w:rsidRPr="00E17E76" w:rsidRDefault="00145CEB" w:rsidP="00145CEB">
            <w:pPr>
              <w:pStyle w:val="MDPI42tablebody"/>
              <w:autoSpaceDE w:val="0"/>
              <w:autoSpaceDN w:val="0"/>
              <w:rPr>
                <w:bCs/>
                <w:color w:val="000000" w:themeColor="text1"/>
                <w:sz w:val="18"/>
              </w:rPr>
            </w:pPr>
            <w:r w:rsidRPr="00E17E76">
              <w:rPr>
                <w:bCs/>
                <w:color w:val="000000" w:themeColor="text1"/>
                <w:sz w:val="18"/>
              </w:rPr>
              <w:t>41</w:t>
            </w:r>
          </w:p>
        </w:tc>
      </w:tr>
      <w:tr w:rsidR="00145CEB" w:rsidRPr="00E17E76" w14:paraId="30D0EC26" w14:textId="77777777" w:rsidTr="00145CEB">
        <w:trPr>
          <w:trHeight w:val="233"/>
        </w:trPr>
        <w:tc>
          <w:tcPr>
            <w:tcW w:w="3937" w:type="dxa"/>
            <w:tcBorders>
              <w:top w:val="nil"/>
              <w:bottom w:val="nil"/>
            </w:tcBorders>
          </w:tcPr>
          <w:p w14:paraId="6439C6D4" w14:textId="5163905A" w:rsidR="00145CEB" w:rsidRPr="00E17E76" w:rsidRDefault="00145CEB" w:rsidP="00145CEB">
            <w:pPr>
              <w:pStyle w:val="MDPI42tablebody"/>
              <w:autoSpaceDE w:val="0"/>
              <w:autoSpaceDN w:val="0"/>
              <w:rPr>
                <w:bCs/>
                <w:color w:val="000000" w:themeColor="text1"/>
                <w:sz w:val="18"/>
              </w:rPr>
            </w:pPr>
            <w:r w:rsidRPr="00E17E76">
              <w:rPr>
                <w:bCs/>
                <w:color w:val="000000" w:themeColor="text1"/>
                <w:sz w:val="18"/>
              </w:rPr>
              <w:t>Pain medication *</w:t>
            </w:r>
          </w:p>
        </w:tc>
        <w:tc>
          <w:tcPr>
            <w:tcW w:w="2041" w:type="dxa"/>
            <w:tcBorders>
              <w:top w:val="nil"/>
              <w:bottom w:val="nil"/>
            </w:tcBorders>
          </w:tcPr>
          <w:p w14:paraId="178DAA74" w14:textId="620F9687" w:rsidR="00145CEB" w:rsidRPr="00E17E76" w:rsidRDefault="00145CEB" w:rsidP="00145CEB">
            <w:pPr>
              <w:pStyle w:val="MDPI42tablebody"/>
              <w:autoSpaceDE w:val="0"/>
              <w:autoSpaceDN w:val="0"/>
              <w:rPr>
                <w:bCs/>
                <w:color w:val="000000" w:themeColor="text1"/>
                <w:sz w:val="18"/>
              </w:rPr>
            </w:pPr>
            <w:r w:rsidRPr="00E17E76">
              <w:rPr>
                <w:bCs/>
                <w:color w:val="000000" w:themeColor="text1"/>
                <w:sz w:val="18"/>
              </w:rPr>
              <w:t>27</w:t>
            </w:r>
          </w:p>
        </w:tc>
      </w:tr>
      <w:tr w:rsidR="00145CEB" w:rsidRPr="00E17E76" w14:paraId="4162B44C" w14:textId="77777777" w:rsidTr="00145CEB">
        <w:trPr>
          <w:trHeight w:val="233"/>
        </w:trPr>
        <w:tc>
          <w:tcPr>
            <w:tcW w:w="3937" w:type="dxa"/>
            <w:tcBorders>
              <w:top w:val="nil"/>
              <w:bottom w:val="nil"/>
            </w:tcBorders>
          </w:tcPr>
          <w:p w14:paraId="15E336A5" w14:textId="73A5A3D6" w:rsidR="00145CEB" w:rsidRPr="00E17E76" w:rsidRDefault="00145CEB" w:rsidP="00145CEB">
            <w:pPr>
              <w:pStyle w:val="MDPI42tablebody"/>
              <w:autoSpaceDE w:val="0"/>
              <w:autoSpaceDN w:val="0"/>
              <w:rPr>
                <w:bCs/>
                <w:color w:val="000000" w:themeColor="text1"/>
                <w:sz w:val="18"/>
              </w:rPr>
            </w:pPr>
            <w:r w:rsidRPr="00E17E76">
              <w:rPr>
                <w:bCs/>
                <w:color w:val="000000" w:themeColor="text1"/>
                <w:sz w:val="18"/>
              </w:rPr>
              <w:t>Paracetamol</w:t>
            </w:r>
          </w:p>
        </w:tc>
        <w:tc>
          <w:tcPr>
            <w:tcW w:w="2041" w:type="dxa"/>
            <w:tcBorders>
              <w:top w:val="nil"/>
              <w:bottom w:val="nil"/>
            </w:tcBorders>
          </w:tcPr>
          <w:p w14:paraId="48B420FF" w14:textId="499014FD" w:rsidR="00145CEB" w:rsidRPr="00E17E76" w:rsidRDefault="00145CEB" w:rsidP="00145CEB">
            <w:pPr>
              <w:pStyle w:val="MDPI42tablebody"/>
              <w:autoSpaceDE w:val="0"/>
              <w:autoSpaceDN w:val="0"/>
              <w:rPr>
                <w:bCs/>
                <w:color w:val="000000" w:themeColor="text1"/>
                <w:sz w:val="18"/>
              </w:rPr>
            </w:pPr>
            <w:r w:rsidRPr="00E17E76">
              <w:rPr>
                <w:bCs/>
                <w:color w:val="000000" w:themeColor="text1"/>
                <w:sz w:val="18"/>
              </w:rPr>
              <w:t>41</w:t>
            </w:r>
          </w:p>
        </w:tc>
      </w:tr>
      <w:tr w:rsidR="00145CEB" w:rsidRPr="00E17E76" w14:paraId="5B21EEBD" w14:textId="77777777" w:rsidTr="00145CEB">
        <w:trPr>
          <w:trHeight w:val="233"/>
        </w:trPr>
        <w:tc>
          <w:tcPr>
            <w:tcW w:w="3937" w:type="dxa"/>
            <w:tcBorders>
              <w:top w:val="nil"/>
              <w:bottom w:val="nil"/>
            </w:tcBorders>
          </w:tcPr>
          <w:p w14:paraId="3C10BA7A" w14:textId="348B2C19" w:rsidR="00145CEB" w:rsidRPr="00E17E76" w:rsidRDefault="00145CEB" w:rsidP="00145CEB">
            <w:pPr>
              <w:pStyle w:val="MDPI42tablebody"/>
              <w:autoSpaceDE w:val="0"/>
              <w:autoSpaceDN w:val="0"/>
              <w:rPr>
                <w:bCs/>
                <w:color w:val="000000" w:themeColor="text1"/>
                <w:sz w:val="18"/>
              </w:rPr>
            </w:pPr>
            <w:r w:rsidRPr="00E17E76">
              <w:rPr>
                <w:bCs/>
                <w:color w:val="000000" w:themeColor="text1"/>
                <w:sz w:val="18"/>
              </w:rPr>
              <w:t>Obstipation</w:t>
            </w:r>
          </w:p>
        </w:tc>
        <w:tc>
          <w:tcPr>
            <w:tcW w:w="2041" w:type="dxa"/>
            <w:tcBorders>
              <w:top w:val="nil"/>
              <w:bottom w:val="nil"/>
            </w:tcBorders>
          </w:tcPr>
          <w:p w14:paraId="68CEA878" w14:textId="12844185" w:rsidR="00145CEB" w:rsidRPr="00E17E76" w:rsidRDefault="00145CEB" w:rsidP="00145CEB">
            <w:pPr>
              <w:pStyle w:val="MDPI42tablebody"/>
              <w:autoSpaceDE w:val="0"/>
              <w:autoSpaceDN w:val="0"/>
              <w:rPr>
                <w:bCs/>
                <w:color w:val="000000" w:themeColor="text1"/>
                <w:sz w:val="18"/>
              </w:rPr>
            </w:pPr>
            <w:r w:rsidRPr="00E17E76">
              <w:rPr>
                <w:bCs/>
                <w:color w:val="000000" w:themeColor="text1"/>
                <w:sz w:val="18"/>
              </w:rPr>
              <w:t>32</w:t>
            </w:r>
          </w:p>
        </w:tc>
      </w:tr>
      <w:tr w:rsidR="00145CEB" w:rsidRPr="00E17E76" w14:paraId="00B4819F" w14:textId="77777777" w:rsidTr="00145CEB">
        <w:trPr>
          <w:trHeight w:val="233"/>
        </w:trPr>
        <w:tc>
          <w:tcPr>
            <w:tcW w:w="3937" w:type="dxa"/>
            <w:tcBorders>
              <w:top w:val="nil"/>
              <w:bottom w:val="nil"/>
            </w:tcBorders>
          </w:tcPr>
          <w:p w14:paraId="1F0BD828" w14:textId="5A278F86" w:rsidR="00145CEB" w:rsidRPr="00E17E76" w:rsidRDefault="00145CEB" w:rsidP="00145CEB">
            <w:pPr>
              <w:pStyle w:val="MDPI42tablebody"/>
              <w:autoSpaceDE w:val="0"/>
              <w:autoSpaceDN w:val="0"/>
              <w:rPr>
                <w:bCs/>
                <w:color w:val="000000" w:themeColor="text1"/>
                <w:sz w:val="18"/>
              </w:rPr>
            </w:pPr>
            <w:r w:rsidRPr="00E17E76">
              <w:rPr>
                <w:bCs/>
                <w:color w:val="000000" w:themeColor="text1"/>
                <w:sz w:val="18"/>
              </w:rPr>
              <w:t>Pervious Botulinum toxin</w:t>
            </w:r>
          </w:p>
        </w:tc>
        <w:tc>
          <w:tcPr>
            <w:tcW w:w="2041" w:type="dxa"/>
            <w:tcBorders>
              <w:top w:val="nil"/>
              <w:bottom w:val="nil"/>
            </w:tcBorders>
          </w:tcPr>
          <w:p w14:paraId="24703BD8" w14:textId="1B8FE2D8" w:rsidR="00145CEB" w:rsidRPr="00E17E76" w:rsidRDefault="00145CEB" w:rsidP="00145CEB">
            <w:pPr>
              <w:pStyle w:val="MDPI42tablebody"/>
              <w:autoSpaceDE w:val="0"/>
              <w:autoSpaceDN w:val="0"/>
              <w:rPr>
                <w:bCs/>
                <w:color w:val="000000" w:themeColor="text1"/>
                <w:sz w:val="18"/>
              </w:rPr>
            </w:pPr>
            <w:r w:rsidRPr="00E17E76">
              <w:rPr>
                <w:bCs/>
                <w:color w:val="000000" w:themeColor="text1"/>
                <w:sz w:val="18"/>
              </w:rPr>
              <w:t>82</w:t>
            </w:r>
          </w:p>
        </w:tc>
      </w:tr>
      <w:tr w:rsidR="00145CEB" w:rsidRPr="00E17E76" w14:paraId="397A1F03" w14:textId="77777777" w:rsidTr="00145CEB">
        <w:trPr>
          <w:trHeight w:val="233"/>
        </w:trPr>
        <w:tc>
          <w:tcPr>
            <w:tcW w:w="3937" w:type="dxa"/>
            <w:tcBorders>
              <w:top w:val="nil"/>
              <w:bottom w:val="nil"/>
            </w:tcBorders>
          </w:tcPr>
          <w:p w14:paraId="547A3539" w14:textId="3AB9FCB8" w:rsidR="00145CEB" w:rsidRPr="00E17E76" w:rsidRDefault="00145CEB" w:rsidP="00145CEB">
            <w:pPr>
              <w:pStyle w:val="MDPI42tablebody"/>
              <w:autoSpaceDE w:val="0"/>
              <w:autoSpaceDN w:val="0"/>
              <w:rPr>
                <w:bCs/>
                <w:color w:val="000000" w:themeColor="text1"/>
                <w:sz w:val="18"/>
              </w:rPr>
            </w:pPr>
            <w:r w:rsidRPr="00E17E76">
              <w:rPr>
                <w:bCs/>
                <w:color w:val="000000" w:themeColor="text1"/>
                <w:sz w:val="18"/>
              </w:rPr>
              <w:t>How often **</w:t>
            </w:r>
          </w:p>
        </w:tc>
        <w:tc>
          <w:tcPr>
            <w:tcW w:w="2041" w:type="dxa"/>
            <w:tcBorders>
              <w:top w:val="nil"/>
              <w:bottom w:val="nil"/>
            </w:tcBorders>
          </w:tcPr>
          <w:p w14:paraId="6F58B73A" w14:textId="7BFCBD34" w:rsidR="00145CEB" w:rsidRPr="00E17E76" w:rsidRDefault="00145CEB" w:rsidP="00145CEB">
            <w:pPr>
              <w:pStyle w:val="MDPI42tablebody"/>
              <w:autoSpaceDE w:val="0"/>
              <w:autoSpaceDN w:val="0"/>
              <w:rPr>
                <w:bCs/>
                <w:color w:val="000000" w:themeColor="text1"/>
                <w:sz w:val="18"/>
              </w:rPr>
            </w:pPr>
            <w:r w:rsidRPr="00E17E76">
              <w:rPr>
                <w:bCs/>
                <w:color w:val="000000" w:themeColor="text1"/>
                <w:sz w:val="18"/>
              </w:rPr>
              <w:t>5</w:t>
            </w:r>
          </w:p>
        </w:tc>
      </w:tr>
      <w:tr w:rsidR="00145CEB" w:rsidRPr="00E17E76" w14:paraId="2DF25A12" w14:textId="77777777" w:rsidTr="00145CEB">
        <w:trPr>
          <w:trHeight w:val="233"/>
        </w:trPr>
        <w:tc>
          <w:tcPr>
            <w:tcW w:w="3937" w:type="dxa"/>
            <w:tcBorders>
              <w:top w:val="nil"/>
              <w:bottom w:val="nil"/>
            </w:tcBorders>
          </w:tcPr>
          <w:p w14:paraId="281BC61C" w14:textId="70AD7434" w:rsidR="00145CEB" w:rsidRPr="00E17E76" w:rsidRDefault="00145CEB" w:rsidP="003176C5">
            <w:pPr>
              <w:pStyle w:val="MDPI42tablebody"/>
              <w:autoSpaceDE w:val="0"/>
              <w:autoSpaceDN w:val="0"/>
              <w:jc w:val="both"/>
              <w:rPr>
                <w:bCs/>
                <w:color w:val="000000" w:themeColor="text1"/>
                <w:sz w:val="18"/>
              </w:rPr>
            </w:pPr>
          </w:p>
        </w:tc>
        <w:tc>
          <w:tcPr>
            <w:tcW w:w="2041" w:type="dxa"/>
            <w:tcBorders>
              <w:top w:val="nil"/>
              <w:bottom w:val="nil"/>
            </w:tcBorders>
          </w:tcPr>
          <w:p w14:paraId="4C8BE58E" w14:textId="77777777" w:rsidR="00145CEB" w:rsidRPr="00E17E76" w:rsidRDefault="00145CEB" w:rsidP="00145CEB">
            <w:pPr>
              <w:pStyle w:val="MDPI42tablebody"/>
              <w:autoSpaceDE w:val="0"/>
              <w:autoSpaceDN w:val="0"/>
              <w:rPr>
                <w:bCs/>
                <w:color w:val="000000" w:themeColor="text1"/>
                <w:sz w:val="18"/>
              </w:rPr>
            </w:pPr>
          </w:p>
        </w:tc>
      </w:tr>
      <w:tr w:rsidR="00145CEB" w:rsidRPr="00E17E76" w14:paraId="79FF9081" w14:textId="77777777" w:rsidTr="00145CEB">
        <w:trPr>
          <w:trHeight w:val="233"/>
        </w:trPr>
        <w:tc>
          <w:tcPr>
            <w:tcW w:w="3937" w:type="dxa"/>
            <w:tcBorders>
              <w:top w:val="nil"/>
              <w:bottom w:val="nil"/>
            </w:tcBorders>
          </w:tcPr>
          <w:p w14:paraId="670EF85F" w14:textId="6658F59C" w:rsidR="00145CEB" w:rsidRPr="00E17E76" w:rsidRDefault="00145CEB" w:rsidP="00145CEB">
            <w:pPr>
              <w:pStyle w:val="MDPI42tablebody"/>
              <w:autoSpaceDE w:val="0"/>
              <w:autoSpaceDN w:val="0"/>
              <w:rPr>
                <w:bCs/>
                <w:color w:val="000000" w:themeColor="text1"/>
                <w:sz w:val="18"/>
              </w:rPr>
            </w:pPr>
            <w:r w:rsidRPr="00E17E76">
              <w:rPr>
                <w:bCs/>
                <w:color w:val="000000" w:themeColor="text1"/>
                <w:sz w:val="18"/>
              </w:rPr>
              <w:t>Previous surgery</w:t>
            </w:r>
          </w:p>
        </w:tc>
        <w:tc>
          <w:tcPr>
            <w:tcW w:w="2041" w:type="dxa"/>
            <w:tcBorders>
              <w:top w:val="nil"/>
              <w:bottom w:val="nil"/>
            </w:tcBorders>
          </w:tcPr>
          <w:p w14:paraId="445B34A6" w14:textId="67099FE6" w:rsidR="00145CEB" w:rsidRPr="00E17E76" w:rsidRDefault="00145CEB" w:rsidP="00145CEB">
            <w:pPr>
              <w:pStyle w:val="MDPI42tablebody"/>
              <w:autoSpaceDE w:val="0"/>
              <w:autoSpaceDN w:val="0"/>
              <w:rPr>
                <w:bCs/>
                <w:color w:val="000000" w:themeColor="text1"/>
                <w:sz w:val="18"/>
              </w:rPr>
            </w:pPr>
            <w:r w:rsidRPr="00E17E76">
              <w:rPr>
                <w:bCs/>
                <w:color w:val="000000" w:themeColor="text1"/>
                <w:sz w:val="18"/>
              </w:rPr>
              <w:t>63</w:t>
            </w:r>
          </w:p>
        </w:tc>
      </w:tr>
      <w:tr w:rsidR="00145CEB" w:rsidRPr="00E17E76" w14:paraId="6010A182" w14:textId="77777777" w:rsidTr="00145CEB">
        <w:trPr>
          <w:trHeight w:val="233"/>
        </w:trPr>
        <w:tc>
          <w:tcPr>
            <w:tcW w:w="3937" w:type="dxa"/>
            <w:tcBorders>
              <w:top w:val="nil"/>
              <w:bottom w:val="nil"/>
            </w:tcBorders>
          </w:tcPr>
          <w:p w14:paraId="7096F849" w14:textId="7DD344CC" w:rsidR="00145CEB" w:rsidRPr="00E17E76" w:rsidRDefault="00145CEB" w:rsidP="00145CEB">
            <w:pPr>
              <w:pStyle w:val="MDPI42tablebody"/>
              <w:autoSpaceDE w:val="0"/>
              <w:autoSpaceDN w:val="0"/>
              <w:rPr>
                <w:bCs/>
                <w:color w:val="000000" w:themeColor="text1"/>
                <w:sz w:val="18"/>
              </w:rPr>
            </w:pPr>
            <w:r w:rsidRPr="00E17E76">
              <w:rPr>
                <w:bCs/>
                <w:color w:val="000000" w:themeColor="text1"/>
                <w:sz w:val="18"/>
              </w:rPr>
              <w:t>hip ***</w:t>
            </w:r>
          </w:p>
        </w:tc>
        <w:tc>
          <w:tcPr>
            <w:tcW w:w="2041" w:type="dxa"/>
            <w:tcBorders>
              <w:top w:val="nil"/>
              <w:bottom w:val="nil"/>
            </w:tcBorders>
          </w:tcPr>
          <w:p w14:paraId="6ABFEDBF" w14:textId="3FB584BE" w:rsidR="00145CEB" w:rsidRPr="00E17E76" w:rsidRDefault="00145CEB" w:rsidP="00145CEB">
            <w:pPr>
              <w:pStyle w:val="MDPI42tablebody"/>
              <w:autoSpaceDE w:val="0"/>
              <w:autoSpaceDN w:val="0"/>
              <w:rPr>
                <w:bCs/>
                <w:color w:val="000000" w:themeColor="text1"/>
                <w:sz w:val="18"/>
              </w:rPr>
            </w:pPr>
            <w:r w:rsidRPr="00E17E76">
              <w:rPr>
                <w:bCs/>
                <w:color w:val="000000" w:themeColor="text1"/>
                <w:sz w:val="18"/>
              </w:rPr>
              <w:t>36</w:t>
            </w:r>
          </w:p>
        </w:tc>
      </w:tr>
      <w:tr w:rsidR="00145CEB" w:rsidRPr="00E17E76" w14:paraId="168AB5D9" w14:textId="77777777" w:rsidTr="00145CEB">
        <w:trPr>
          <w:trHeight w:val="233"/>
        </w:trPr>
        <w:tc>
          <w:tcPr>
            <w:tcW w:w="3937" w:type="dxa"/>
            <w:tcBorders>
              <w:top w:val="nil"/>
              <w:bottom w:val="nil"/>
            </w:tcBorders>
          </w:tcPr>
          <w:p w14:paraId="3545A781" w14:textId="2D03523A" w:rsidR="00145CEB" w:rsidRPr="00E17E76" w:rsidRDefault="00145CEB" w:rsidP="00145CEB">
            <w:pPr>
              <w:pStyle w:val="MDPI42tablebody"/>
              <w:autoSpaceDE w:val="0"/>
              <w:autoSpaceDN w:val="0"/>
              <w:rPr>
                <w:bCs/>
                <w:color w:val="000000" w:themeColor="text1"/>
                <w:sz w:val="18"/>
              </w:rPr>
            </w:pPr>
            <w:r w:rsidRPr="00E17E76">
              <w:rPr>
                <w:bCs/>
                <w:color w:val="000000" w:themeColor="text1"/>
                <w:sz w:val="18"/>
              </w:rPr>
              <w:t>thigh ***</w:t>
            </w:r>
          </w:p>
        </w:tc>
        <w:tc>
          <w:tcPr>
            <w:tcW w:w="2041" w:type="dxa"/>
            <w:tcBorders>
              <w:top w:val="nil"/>
              <w:bottom w:val="nil"/>
            </w:tcBorders>
          </w:tcPr>
          <w:p w14:paraId="4C37DF9F" w14:textId="2E79670B" w:rsidR="00145CEB" w:rsidRPr="00E17E76" w:rsidRDefault="00145CEB" w:rsidP="00145CEB">
            <w:pPr>
              <w:pStyle w:val="MDPI42tablebody"/>
              <w:autoSpaceDE w:val="0"/>
              <w:autoSpaceDN w:val="0"/>
              <w:rPr>
                <w:bCs/>
                <w:color w:val="000000" w:themeColor="text1"/>
                <w:sz w:val="18"/>
              </w:rPr>
            </w:pPr>
            <w:r w:rsidRPr="00E17E76">
              <w:rPr>
                <w:bCs/>
                <w:color w:val="000000" w:themeColor="text1"/>
                <w:sz w:val="18"/>
              </w:rPr>
              <w:t>5</w:t>
            </w:r>
          </w:p>
        </w:tc>
      </w:tr>
      <w:tr w:rsidR="00145CEB" w:rsidRPr="00E17E76" w14:paraId="1FCC754A" w14:textId="77777777" w:rsidTr="00145CEB">
        <w:trPr>
          <w:trHeight w:val="242"/>
        </w:trPr>
        <w:tc>
          <w:tcPr>
            <w:tcW w:w="3937" w:type="dxa"/>
            <w:tcBorders>
              <w:top w:val="nil"/>
              <w:bottom w:val="nil"/>
            </w:tcBorders>
          </w:tcPr>
          <w:p w14:paraId="4F413C48" w14:textId="1BC1560C" w:rsidR="00145CEB" w:rsidRPr="00E17E76" w:rsidRDefault="00145CEB" w:rsidP="00145CEB">
            <w:pPr>
              <w:pStyle w:val="MDPI42tablebody"/>
              <w:autoSpaceDE w:val="0"/>
              <w:autoSpaceDN w:val="0"/>
              <w:rPr>
                <w:bCs/>
                <w:color w:val="000000" w:themeColor="text1"/>
                <w:sz w:val="18"/>
              </w:rPr>
            </w:pPr>
            <w:r w:rsidRPr="00E17E76">
              <w:rPr>
                <w:bCs/>
                <w:color w:val="000000" w:themeColor="text1"/>
                <w:sz w:val="18"/>
              </w:rPr>
              <w:t>knee ***</w:t>
            </w:r>
          </w:p>
        </w:tc>
        <w:tc>
          <w:tcPr>
            <w:tcW w:w="2041" w:type="dxa"/>
            <w:tcBorders>
              <w:top w:val="nil"/>
              <w:bottom w:val="nil"/>
            </w:tcBorders>
          </w:tcPr>
          <w:p w14:paraId="14B28607" w14:textId="197DCED1" w:rsidR="00145CEB" w:rsidRPr="00E17E76" w:rsidRDefault="00145CEB" w:rsidP="00145CEB">
            <w:pPr>
              <w:pStyle w:val="MDPI42tablebody"/>
              <w:autoSpaceDE w:val="0"/>
              <w:autoSpaceDN w:val="0"/>
              <w:rPr>
                <w:bCs/>
                <w:color w:val="000000" w:themeColor="text1"/>
                <w:sz w:val="18"/>
              </w:rPr>
            </w:pPr>
            <w:r w:rsidRPr="00E17E76">
              <w:rPr>
                <w:bCs/>
                <w:color w:val="000000" w:themeColor="text1"/>
                <w:sz w:val="18"/>
              </w:rPr>
              <w:t>32</w:t>
            </w:r>
          </w:p>
        </w:tc>
      </w:tr>
      <w:tr w:rsidR="00145CEB" w:rsidRPr="00E17E76" w14:paraId="148FD594" w14:textId="77777777" w:rsidTr="00145CEB">
        <w:trPr>
          <w:trHeight w:val="233"/>
        </w:trPr>
        <w:tc>
          <w:tcPr>
            <w:tcW w:w="3937" w:type="dxa"/>
            <w:tcBorders>
              <w:top w:val="nil"/>
              <w:bottom w:val="nil"/>
            </w:tcBorders>
          </w:tcPr>
          <w:p w14:paraId="31F9BF32" w14:textId="47CF09D4" w:rsidR="00145CEB" w:rsidRPr="00E17E76" w:rsidRDefault="00145CEB" w:rsidP="00145CEB">
            <w:pPr>
              <w:pStyle w:val="MDPI42tablebody"/>
              <w:autoSpaceDE w:val="0"/>
              <w:autoSpaceDN w:val="0"/>
              <w:rPr>
                <w:bCs/>
                <w:color w:val="000000" w:themeColor="text1"/>
                <w:sz w:val="18"/>
              </w:rPr>
            </w:pPr>
            <w:r w:rsidRPr="00E17E76">
              <w:rPr>
                <w:bCs/>
                <w:color w:val="000000" w:themeColor="text1"/>
                <w:sz w:val="18"/>
              </w:rPr>
              <w:t>calf ***</w:t>
            </w:r>
          </w:p>
        </w:tc>
        <w:tc>
          <w:tcPr>
            <w:tcW w:w="2041" w:type="dxa"/>
            <w:tcBorders>
              <w:top w:val="nil"/>
              <w:bottom w:val="nil"/>
            </w:tcBorders>
          </w:tcPr>
          <w:p w14:paraId="5528AD5E" w14:textId="2A48DB5E" w:rsidR="00145CEB" w:rsidRPr="00E17E76" w:rsidRDefault="00145CEB" w:rsidP="00145CEB">
            <w:pPr>
              <w:pStyle w:val="MDPI42tablebody"/>
              <w:autoSpaceDE w:val="0"/>
              <w:autoSpaceDN w:val="0"/>
              <w:rPr>
                <w:bCs/>
                <w:color w:val="000000" w:themeColor="text1"/>
                <w:sz w:val="18"/>
              </w:rPr>
            </w:pPr>
            <w:r w:rsidRPr="00E17E76">
              <w:rPr>
                <w:bCs/>
                <w:color w:val="000000" w:themeColor="text1"/>
                <w:sz w:val="18"/>
              </w:rPr>
              <w:t>32</w:t>
            </w:r>
          </w:p>
        </w:tc>
      </w:tr>
      <w:tr w:rsidR="00145CEB" w:rsidRPr="00E17E76" w14:paraId="3D92E758" w14:textId="77777777" w:rsidTr="00145CEB">
        <w:trPr>
          <w:trHeight w:val="233"/>
        </w:trPr>
        <w:tc>
          <w:tcPr>
            <w:tcW w:w="3937" w:type="dxa"/>
            <w:tcBorders>
              <w:top w:val="nil"/>
              <w:bottom w:val="nil"/>
            </w:tcBorders>
          </w:tcPr>
          <w:p w14:paraId="792C1187" w14:textId="6CB8DDB5" w:rsidR="00145CEB" w:rsidRPr="00E17E76" w:rsidRDefault="00145CEB" w:rsidP="00145CEB">
            <w:pPr>
              <w:pStyle w:val="MDPI42tablebody"/>
              <w:autoSpaceDE w:val="0"/>
              <w:autoSpaceDN w:val="0"/>
              <w:rPr>
                <w:bCs/>
                <w:color w:val="000000" w:themeColor="text1"/>
                <w:sz w:val="18"/>
              </w:rPr>
            </w:pPr>
            <w:r w:rsidRPr="00E17E76">
              <w:rPr>
                <w:bCs/>
                <w:color w:val="000000" w:themeColor="text1"/>
                <w:sz w:val="18"/>
              </w:rPr>
              <w:t>Physiotherapy</w:t>
            </w:r>
          </w:p>
        </w:tc>
        <w:tc>
          <w:tcPr>
            <w:tcW w:w="2041" w:type="dxa"/>
            <w:tcBorders>
              <w:top w:val="nil"/>
              <w:bottom w:val="nil"/>
            </w:tcBorders>
          </w:tcPr>
          <w:p w14:paraId="2AA9579D" w14:textId="50D7D571" w:rsidR="00145CEB" w:rsidRPr="00E17E76" w:rsidRDefault="00145CEB" w:rsidP="00145CEB">
            <w:pPr>
              <w:pStyle w:val="MDPI42tablebody"/>
              <w:autoSpaceDE w:val="0"/>
              <w:autoSpaceDN w:val="0"/>
              <w:rPr>
                <w:bCs/>
                <w:color w:val="000000" w:themeColor="text1"/>
                <w:sz w:val="18"/>
              </w:rPr>
            </w:pPr>
            <w:r w:rsidRPr="00E17E76">
              <w:rPr>
                <w:bCs/>
                <w:color w:val="000000" w:themeColor="text1"/>
                <w:sz w:val="18"/>
              </w:rPr>
              <w:t>96</w:t>
            </w:r>
          </w:p>
        </w:tc>
      </w:tr>
      <w:tr w:rsidR="00145CEB" w:rsidRPr="00E17E76" w14:paraId="7345661C" w14:textId="77777777" w:rsidTr="00145CEB">
        <w:trPr>
          <w:trHeight w:val="233"/>
        </w:trPr>
        <w:tc>
          <w:tcPr>
            <w:tcW w:w="3937" w:type="dxa"/>
            <w:tcBorders>
              <w:top w:val="nil"/>
              <w:bottom w:val="single" w:sz="8" w:space="0" w:color="auto"/>
            </w:tcBorders>
          </w:tcPr>
          <w:p w14:paraId="6614A226" w14:textId="0B1E64D7" w:rsidR="00145CEB" w:rsidRPr="00E17E76" w:rsidRDefault="00145CEB" w:rsidP="00145CEB">
            <w:pPr>
              <w:pStyle w:val="MDPI42tablebody"/>
              <w:autoSpaceDE w:val="0"/>
              <w:autoSpaceDN w:val="0"/>
              <w:rPr>
                <w:bCs/>
                <w:color w:val="000000" w:themeColor="text1"/>
                <w:sz w:val="18"/>
              </w:rPr>
            </w:pPr>
            <w:r w:rsidRPr="00E17E76">
              <w:rPr>
                <w:bCs/>
                <w:color w:val="000000" w:themeColor="text1"/>
                <w:sz w:val="18"/>
              </w:rPr>
              <w:t>How often **</w:t>
            </w:r>
          </w:p>
        </w:tc>
        <w:tc>
          <w:tcPr>
            <w:tcW w:w="2041" w:type="dxa"/>
            <w:tcBorders>
              <w:top w:val="nil"/>
              <w:bottom w:val="single" w:sz="8" w:space="0" w:color="auto"/>
            </w:tcBorders>
          </w:tcPr>
          <w:p w14:paraId="409D72AE" w14:textId="29DC88BC" w:rsidR="00145CEB" w:rsidRPr="00E17E76" w:rsidRDefault="00444BC6" w:rsidP="00145CEB">
            <w:pPr>
              <w:pStyle w:val="MDPI42tablebody"/>
              <w:autoSpaceDE w:val="0"/>
              <w:autoSpaceDN w:val="0"/>
              <w:rPr>
                <w:bCs/>
                <w:color w:val="000000" w:themeColor="text1"/>
                <w:sz w:val="18"/>
              </w:rPr>
            </w:pPr>
            <w:r>
              <w:rPr>
                <w:bCs/>
                <w:color w:val="000000" w:themeColor="text1"/>
                <w:sz w:val="18"/>
              </w:rPr>
              <w:t>3</w:t>
            </w:r>
          </w:p>
        </w:tc>
      </w:tr>
    </w:tbl>
    <w:p w14:paraId="07CBBC2A" w14:textId="40C6B3CE" w:rsidR="00160D84" w:rsidRPr="00E17E76" w:rsidRDefault="003A41A8" w:rsidP="003A41A8">
      <w:pPr>
        <w:pStyle w:val="MDPI22heading2"/>
        <w:spacing w:before="240"/>
        <w:rPr>
          <w:noProof w:val="0"/>
          <w:lang w:val="en-GB"/>
        </w:rPr>
      </w:pPr>
      <w:r w:rsidRPr="00E17E76">
        <w:rPr>
          <w:noProof w:val="0"/>
          <w:lang w:val="en-GB"/>
        </w:rPr>
        <w:t xml:space="preserve">3.2. </w:t>
      </w:r>
      <w:r w:rsidR="00160D84" w:rsidRPr="00E17E76">
        <w:rPr>
          <w:noProof w:val="0"/>
          <w:lang w:val="en-GB"/>
        </w:rPr>
        <w:t xml:space="preserve">PAIN </w:t>
      </w:r>
      <w:r w:rsidR="00CF650A" w:rsidRPr="00E17E76">
        <w:rPr>
          <w:noProof w:val="0"/>
          <w:lang w:val="en-GB"/>
        </w:rPr>
        <w:t>Assessment</w:t>
      </w:r>
      <w:r w:rsidR="00112B62" w:rsidRPr="00E17E76">
        <w:rPr>
          <w:noProof w:val="0"/>
          <w:lang w:val="en-GB"/>
        </w:rPr>
        <w:t xml:space="preserve"> </w:t>
      </w:r>
      <w:r w:rsidR="00C57636" w:rsidRPr="00E17E76">
        <w:rPr>
          <w:noProof w:val="0"/>
          <w:lang w:val="en-GB"/>
        </w:rPr>
        <w:t xml:space="preserve">and </w:t>
      </w:r>
      <w:r w:rsidR="00112B62" w:rsidRPr="00E17E76">
        <w:rPr>
          <w:noProof w:val="0"/>
          <w:lang w:val="en-GB"/>
        </w:rPr>
        <w:t>Questionnaires</w:t>
      </w:r>
    </w:p>
    <w:p w14:paraId="2DFE5BAB" w14:textId="2E943630" w:rsidR="00160D84" w:rsidRPr="00E17E76" w:rsidRDefault="003A41A8" w:rsidP="003A41A8">
      <w:pPr>
        <w:pStyle w:val="MDPI23heading3"/>
        <w:rPr>
          <w:lang w:val="en-GB"/>
        </w:rPr>
      </w:pPr>
      <w:r w:rsidRPr="00E17E76">
        <w:rPr>
          <w:lang w:val="en-GB"/>
        </w:rPr>
        <w:t xml:space="preserve">3.2.1. </w:t>
      </w:r>
      <w:r w:rsidR="00160D84" w:rsidRPr="00E17E76">
        <w:rPr>
          <w:lang w:val="en-GB"/>
        </w:rPr>
        <w:t xml:space="preserve">r-FLACC for </w:t>
      </w:r>
      <w:r w:rsidR="00112B62" w:rsidRPr="00E17E76">
        <w:rPr>
          <w:lang w:val="en-GB"/>
        </w:rPr>
        <w:t>Localized Pain</w:t>
      </w:r>
    </w:p>
    <w:p w14:paraId="120F82BF" w14:textId="1208EE5D" w:rsidR="00160D84" w:rsidRPr="00E17E76" w:rsidRDefault="00160D84" w:rsidP="003A41A8">
      <w:pPr>
        <w:pStyle w:val="MDPI31text"/>
        <w:rPr>
          <w:lang w:val="en-GB"/>
        </w:rPr>
      </w:pPr>
      <w:r w:rsidRPr="00E17E76">
        <w:rPr>
          <w:lang w:val="en-GB"/>
        </w:rPr>
        <w:t>We found a pain-relieving effect on localized muscle pain in 96</w:t>
      </w:r>
      <w:r w:rsidR="00A15C19" w:rsidRPr="00E17E76">
        <w:rPr>
          <w:lang w:val="en-GB"/>
        </w:rPr>
        <w:t>%</w:t>
      </w:r>
      <w:r w:rsidRPr="00E17E76">
        <w:rPr>
          <w:lang w:val="en-GB"/>
        </w:rPr>
        <w:t xml:space="preserve"> (21/22) of the subjects at four weeks with a significant mean and maximum r-FLACC score reduction of 2.53 points (SD:2.07, </w:t>
      </w:r>
      <w:r w:rsidR="00BE2D2B" w:rsidRPr="00E17E76">
        <w:rPr>
          <w:i/>
          <w:lang w:val="en-GB"/>
        </w:rPr>
        <w:t xml:space="preserve">p </w:t>
      </w:r>
      <w:r w:rsidR="00BE2D2B" w:rsidRPr="00E17E76">
        <w:rPr>
          <w:lang w:val="en-GB"/>
        </w:rPr>
        <w:t>&lt;</w:t>
      </w:r>
      <w:r w:rsidR="00BE2D2B" w:rsidRPr="00E17E76">
        <w:rPr>
          <w:i/>
          <w:lang w:val="en-GB"/>
        </w:rPr>
        <w:t xml:space="preserve"> </w:t>
      </w:r>
      <w:r w:rsidR="00BE2D2B" w:rsidRPr="00E17E76">
        <w:rPr>
          <w:lang w:val="en-GB"/>
        </w:rPr>
        <w:t>0</w:t>
      </w:r>
      <w:r w:rsidRPr="00E17E76">
        <w:rPr>
          <w:lang w:val="en-GB"/>
        </w:rPr>
        <w:t xml:space="preserve">.001) and 2.57 points (SD:2.42, </w:t>
      </w:r>
      <w:r w:rsidR="00BE2D2B" w:rsidRPr="00E17E76">
        <w:rPr>
          <w:i/>
          <w:lang w:val="en-GB"/>
        </w:rPr>
        <w:t xml:space="preserve">p </w:t>
      </w:r>
      <w:r w:rsidR="00BE2D2B" w:rsidRPr="00E17E76">
        <w:rPr>
          <w:lang w:val="en-GB"/>
        </w:rPr>
        <w:t>&lt;</w:t>
      </w:r>
      <w:r w:rsidR="00BE2D2B" w:rsidRPr="00E17E76">
        <w:rPr>
          <w:i/>
          <w:lang w:val="en-GB"/>
        </w:rPr>
        <w:t xml:space="preserve"> </w:t>
      </w:r>
      <w:r w:rsidR="00BE2D2B" w:rsidRPr="00E17E76">
        <w:rPr>
          <w:lang w:val="en-GB"/>
        </w:rPr>
        <w:t>0</w:t>
      </w:r>
      <w:r w:rsidRPr="00E17E76">
        <w:rPr>
          <w:lang w:val="en-GB"/>
        </w:rPr>
        <w:t xml:space="preserve">.001), respectively. The significant pain reduction was maintained in the period 12 (19/19, missing data in 1; mean 3.02 (SD:1.91), </w:t>
      </w:r>
      <w:r w:rsidR="00BE2D2B" w:rsidRPr="00E17E76">
        <w:rPr>
          <w:i/>
          <w:lang w:val="en-GB"/>
        </w:rPr>
        <w:t xml:space="preserve">p </w:t>
      </w:r>
      <w:r w:rsidR="00BE2D2B" w:rsidRPr="00E17E76">
        <w:rPr>
          <w:lang w:val="en-GB"/>
        </w:rPr>
        <w:t>&lt;</w:t>
      </w:r>
      <w:r w:rsidR="00BE2D2B" w:rsidRPr="00E17E76">
        <w:rPr>
          <w:i/>
          <w:lang w:val="en-GB"/>
        </w:rPr>
        <w:t xml:space="preserve"> </w:t>
      </w:r>
      <w:r w:rsidR="00BE2D2B" w:rsidRPr="00E17E76">
        <w:rPr>
          <w:lang w:val="en-GB"/>
        </w:rPr>
        <w:t>0</w:t>
      </w:r>
      <w:r w:rsidRPr="00E17E76">
        <w:rPr>
          <w:lang w:val="en-GB"/>
        </w:rPr>
        <w:t xml:space="preserve">.001; max 2.25 (SD:2.60), </w:t>
      </w:r>
      <w:r w:rsidR="00BE2D2B" w:rsidRPr="00E17E76">
        <w:rPr>
          <w:i/>
          <w:lang w:val="en-GB"/>
        </w:rPr>
        <w:t xml:space="preserve">p </w:t>
      </w:r>
      <w:r w:rsidR="00BE2D2B" w:rsidRPr="00E17E76">
        <w:rPr>
          <w:lang w:val="en-GB"/>
        </w:rPr>
        <w:t>=</w:t>
      </w:r>
      <w:r w:rsidR="00BE2D2B" w:rsidRPr="00E17E76">
        <w:rPr>
          <w:i/>
          <w:lang w:val="en-GB"/>
        </w:rPr>
        <w:t xml:space="preserve"> </w:t>
      </w:r>
      <w:r w:rsidR="00BE2D2B" w:rsidRPr="00E17E76">
        <w:rPr>
          <w:lang w:val="en-GB"/>
        </w:rPr>
        <w:t>0</w:t>
      </w:r>
      <w:r w:rsidRPr="00E17E76">
        <w:rPr>
          <w:lang w:val="en-GB"/>
        </w:rPr>
        <w:t xml:space="preserve">.001) and 28 weeks (12/15; mean 2.33 (SD:2.50), </w:t>
      </w:r>
      <w:r w:rsidR="00BE2D2B" w:rsidRPr="00E17E76">
        <w:rPr>
          <w:i/>
          <w:lang w:val="en-GB"/>
        </w:rPr>
        <w:t xml:space="preserve">p </w:t>
      </w:r>
      <w:r w:rsidR="00BE2D2B" w:rsidRPr="00E17E76">
        <w:rPr>
          <w:lang w:val="en-GB"/>
        </w:rPr>
        <w:t>=</w:t>
      </w:r>
      <w:r w:rsidR="00BE2D2B" w:rsidRPr="00E17E76">
        <w:rPr>
          <w:i/>
          <w:lang w:val="en-GB"/>
        </w:rPr>
        <w:t xml:space="preserve"> </w:t>
      </w:r>
      <w:r w:rsidR="00BE2D2B" w:rsidRPr="00E17E76">
        <w:rPr>
          <w:lang w:val="en-GB"/>
        </w:rPr>
        <w:t>0</w:t>
      </w:r>
      <w:r w:rsidRPr="00E17E76">
        <w:rPr>
          <w:lang w:val="en-GB"/>
        </w:rPr>
        <w:t xml:space="preserve">.006; max 2.46 (SD:2.33), </w:t>
      </w:r>
      <w:r w:rsidR="00BE2D2B" w:rsidRPr="00E17E76">
        <w:rPr>
          <w:i/>
          <w:lang w:val="en-GB"/>
        </w:rPr>
        <w:t xml:space="preserve">p </w:t>
      </w:r>
      <w:r w:rsidR="00BE2D2B" w:rsidRPr="00E17E76">
        <w:rPr>
          <w:lang w:val="en-GB"/>
        </w:rPr>
        <w:t>=</w:t>
      </w:r>
      <w:r w:rsidR="00BE2D2B" w:rsidRPr="00E17E76">
        <w:rPr>
          <w:i/>
          <w:lang w:val="en-GB"/>
        </w:rPr>
        <w:t xml:space="preserve"> </w:t>
      </w:r>
      <w:r w:rsidR="00BE2D2B" w:rsidRPr="00E17E76">
        <w:rPr>
          <w:lang w:val="en-GB"/>
        </w:rPr>
        <w:t>0</w:t>
      </w:r>
      <w:r w:rsidRPr="00E17E76">
        <w:rPr>
          <w:lang w:val="en-GB"/>
        </w:rPr>
        <w:t xml:space="preserve">.002). The changes in pain level evaluated by three pain scales are shown in </w:t>
      </w:r>
      <w:r w:rsidR="005352A8" w:rsidRPr="00E17E76">
        <w:rPr>
          <w:lang w:val="en-GB"/>
        </w:rPr>
        <w:t>Figure 4</w:t>
      </w:r>
      <w:r w:rsidRPr="00E17E76">
        <w:rPr>
          <w:lang w:val="en-GB"/>
        </w:rPr>
        <w:t>.</w:t>
      </w:r>
    </w:p>
    <w:p w14:paraId="14C6C766" w14:textId="3177E45F" w:rsidR="00E55C3D" w:rsidRPr="00E17E76" w:rsidRDefault="00E55C3D" w:rsidP="003A41A8">
      <w:pPr>
        <w:pStyle w:val="MDPI51figurecaption"/>
        <w:jc w:val="both"/>
        <w:rPr>
          <w:b/>
          <w:lang w:val="en-GB"/>
        </w:rPr>
      </w:pPr>
      <w:r w:rsidRPr="00E17E76">
        <w:rPr>
          <w:noProof/>
          <w:lang w:eastAsia="zh-CN" w:bidi="ar-SA"/>
        </w:rPr>
        <w:lastRenderedPageBreak/>
        <w:drawing>
          <wp:inline distT="0" distB="0" distL="0" distR="0" wp14:anchorId="058ED3A7" wp14:editId="4567EABD">
            <wp:extent cx="4782553" cy="2909583"/>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786100" cy="2911741"/>
                    </a:xfrm>
                    <a:prstGeom prst="rect">
                      <a:avLst/>
                    </a:prstGeom>
                    <a:noFill/>
                    <a:ln>
                      <a:noFill/>
                    </a:ln>
                  </pic:spPr>
                </pic:pic>
              </a:graphicData>
            </a:graphic>
          </wp:inline>
        </w:drawing>
      </w:r>
    </w:p>
    <w:p w14:paraId="781781C5" w14:textId="21ECCED0" w:rsidR="00160D84" w:rsidRPr="00E17E76" w:rsidRDefault="003A41A8" w:rsidP="003A41A8">
      <w:pPr>
        <w:pStyle w:val="MDPI51figurecaption"/>
        <w:jc w:val="both"/>
        <w:rPr>
          <w:lang w:val="en-GB"/>
        </w:rPr>
      </w:pPr>
      <w:r w:rsidRPr="00E17E76">
        <w:rPr>
          <w:b/>
          <w:lang w:val="en-GB"/>
        </w:rPr>
        <w:t xml:space="preserve">Figure 4. </w:t>
      </w:r>
      <w:r w:rsidR="00160D84" w:rsidRPr="00E17E76">
        <w:rPr>
          <w:lang w:val="en-GB"/>
        </w:rPr>
        <w:t>Observed and reported pain by mean r-FLACC, Wong</w:t>
      </w:r>
      <w:r w:rsidR="007D0407" w:rsidRPr="00E17E76">
        <w:rPr>
          <w:lang w:val="en-GB"/>
        </w:rPr>
        <w:t>–</w:t>
      </w:r>
      <w:r w:rsidR="00160D84" w:rsidRPr="00E17E76">
        <w:rPr>
          <w:lang w:val="en-GB"/>
        </w:rPr>
        <w:t>Baker</w:t>
      </w:r>
      <w:r w:rsidR="007D0407" w:rsidRPr="00E17E76">
        <w:rPr>
          <w:lang w:val="en-GB"/>
        </w:rPr>
        <w:t>,</w:t>
      </w:r>
      <w:r w:rsidR="00160D84" w:rsidRPr="00E17E76">
        <w:rPr>
          <w:lang w:val="en-GB"/>
        </w:rPr>
        <w:t xml:space="preserve"> and the numeric pain scale before injection at baseline and after</w:t>
      </w:r>
      <w:r w:rsidR="005352A8" w:rsidRPr="00E17E76">
        <w:rPr>
          <w:lang w:val="en-GB"/>
        </w:rPr>
        <w:t xml:space="preserve"> </w:t>
      </w:r>
      <w:r w:rsidR="00160D84" w:rsidRPr="00E17E76">
        <w:rPr>
          <w:lang w:val="en-GB"/>
        </w:rPr>
        <w:t>4,12</w:t>
      </w:r>
      <w:r w:rsidR="007D0407" w:rsidRPr="00E17E76">
        <w:rPr>
          <w:lang w:val="en-GB"/>
        </w:rPr>
        <w:t>,</w:t>
      </w:r>
      <w:r w:rsidR="00160D84" w:rsidRPr="00E17E76">
        <w:rPr>
          <w:lang w:val="en-GB"/>
        </w:rPr>
        <w:t xml:space="preserve"> and 28 weeks (error ba</w:t>
      </w:r>
      <w:r w:rsidR="00BE2D2B" w:rsidRPr="00E17E76">
        <w:rPr>
          <w:lang w:val="en-GB"/>
        </w:rPr>
        <w:t>r = 1</w:t>
      </w:r>
      <w:r w:rsidR="00160D84" w:rsidRPr="00E17E76">
        <w:rPr>
          <w:lang w:val="en-GB"/>
        </w:rPr>
        <w:t xml:space="preserve"> standard deviation).</w:t>
      </w:r>
    </w:p>
    <w:p w14:paraId="38DA5F19" w14:textId="328A7042" w:rsidR="00160D84" w:rsidRPr="00E17E76" w:rsidRDefault="003A41A8" w:rsidP="003A41A8">
      <w:pPr>
        <w:pStyle w:val="MDPI23heading3"/>
        <w:spacing w:before="240"/>
        <w:rPr>
          <w:lang w:val="en-GB"/>
        </w:rPr>
      </w:pPr>
      <w:r w:rsidRPr="00E17E76">
        <w:rPr>
          <w:lang w:val="en-GB"/>
        </w:rPr>
        <w:t xml:space="preserve">3.2.2. </w:t>
      </w:r>
      <w:r w:rsidR="007D0407" w:rsidRPr="00E17E76">
        <w:rPr>
          <w:lang w:val="en-GB"/>
        </w:rPr>
        <w:t>Paediatric</w:t>
      </w:r>
      <w:r w:rsidR="00160D84" w:rsidRPr="00E17E76">
        <w:rPr>
          <w:lang w:val="en-GB"/>
        </w:rPr>
        <w:t xml:space="preserve"> Pain Profile for </w:t>
      </w:r>
      <w:r w:rsidR="00112B62" w:rsidRPr="00E17E76">
        <w:rPr>
          <w:lang w:val="en-GB"/>
        </w:rPr>
        <w:t>Daily Pain</w:t>
      </w:r>
    </w:p>
    <w:p w14:paraId="2C7F17BA" w14:textId="430A02E8" w:rsidR="00160D84" w:rsidRPr="00E17E76" w:rsidRDefault="00160D84" w:rsidP="003A41A8">
      <w:pPr>
        <w:pStyle w:val="MDPI31text"/>
        <w:rPr>
          <w:lang w:val="en-GB"/>
        </w:rPr>
      </w:pPr>
      <w:r w:rsidRPr="00E17E76">
        <w:rPr>
          <w:lang w:val="en-GB"/>
        </w:rPr>
        <w:t xml:space="preserve">The PPP was significantly reduced at four weeks with a mean reduction of 8.77 points (SD:12.11, </w:t>
      </w:r>
      <w:r w:rsidR="00BE2D2B" w:rsidRPr="00E17E76">
        <w:rPr>
          <w:i/>
          <w:lang w:val="en-GB"/>
        </w:rPr>
        <w:t xml:space="preserve">p </w:t>
      </w:r>
      <w:r w:rsidR="00BE2D2B" w:rsidRPr="00E17E76">
        <w:rPr>
          <w:lang w:val="en-GB"/>
        </w:rPr>
        <w:t>=</w:t>
      </w:r>
      <w:r w:rsidR="00BE2D2B" w:rsidRPr="00E17E76">
        <w:rPr>
          <w:i/>
          <w:lang w:val="en-GB"/>
        </w:rPr>
        <w:t xml:space="preserve"> </w:t>
      </w:r>
      <w:r w:rsidR="00BE2D2B" w:rsidRPr="00E17E76">
        <w:rPr>
          <w:lang w:val="en-GB"/>
        </w:rPr>
        <w:t>0</w:t>
      </w:r>
      <w:r w:rsidRPr="00E17E76">
        <w:rPr>
          <w:lang w:val="en-GB"/>
        </w:rPr>
        <w:t xml:space="preserve">.003). This reduction in PPP was maintained with 9.28 points (SD: 10.65, </w:t>
      </w:r>
      <w:r w:rsidR="00BE2D2B" w:rsidRPr="00E17E76">
        <w:rPr>
          <w:i/>
          <w:lang w:val="en-GB"/>
        </w:rPr>
        <w:t xml:space="preserve">p </w:t>
      </w:r>
      <w:r w:rsidR="00BE2D2B" w:rsidRPr="00E17E76">
        <w:rPr>
          <w:lang w:val="en-GB"/>
        </w:rPr>
        <w:t>=</w:t>
      </w:r>
      <w:r w:rsidR="00BE2D2B" w:rsidRPr="00E17E76">
        <w:rPr>
          <w:i/>
          <w:lang w:val="en-GB"/>
        </w:rPr>
        <w:t xml:space="preserve"> </w:t>
      </w:r>
      <w:r w:rsidR="00BE2D2B" w:rsidRPr="00E17E76">
        <w:rPr>
          <w:lang w:val="en-GB"/>
        </w:rPr>
        <w:t>0</w:t>
      </w:r>
      <w:r w:rsidRPr="00E17E76">
        <w:rPr>
          <w:lang w:val="en-GB"/>
        </w:rPr>
        <w:t xml:space="preserve">.002) and 7.13 (SD: 11.85, </w:t>
      </w:r>
      <w:r w:rsidR="00BE2D2B" w:rsidRPr="00E17E76">
        <w:rPr>
          <w:i/>
          <w:lang w:val="en-GB"/>
        </w:rPr>
        <w:t xml:space="preserve">p </w:t>
      </w:r>
      <w:r w:rsidR="00BE2D2B" w:rsidRPr="00E17E76">
        <w:rPr>
          <w:lang w:val="en-GB"/>
        </w:rPr>
        <w:t>=</w:t>
      </w:r>
      <w:r w:rsidR="00BE2D2B" w:rsidRPr="00E17E76">
        <w:rPr>
          <w:i/>
          <w:lang w:val="en-GB"/>
        </w:rPr>
        <w:t xml:space="preserve"> </w:t>
      </w:r>
      <w:r w:rsidR="00BE2D2B" w:rsidRPr="00E17E76">
        <w:rPr>
          <w:lang w:val="en-GB"/>
        </w:rPr>
        <w:t>0</w:t>
      </w:r>
      <w:r w:rsidRPr="00E17E76">
        <w:rPr>
          <w:lang w:val="en-GB"/>
        </w:rPr>
        <w:t>.03) at 12 and 28 weeks, respectively. The changes in PPP at baseline and after 4,</w:t>
      </w:r>
      <w:r w:rsidR="00112B62" w:rsidRPr="00E17E76">
        <w:rPr>
          <w:lang w:val="en-GB"/>
        </w:rPr>
        <w:t xml:space="preserve"> </w:t>
      </w:r>
      <w:r w:rsidRPr="00E17E76">
        <w:rPr>
          <w:lang w:val="en-GB"/>
        </w:rPr>
        <w:t>12,</w:t>
      </w:r>
      <w:r w:rsidR="00112B62" w:rsidRPr="00E17E76">
        <w:rPr>
          <w:lang w:val="en-GB"/>
        </w:rPr>
        <w:t xml:space="preserve"> </w:t>
      </w:r>
      <w:r w:rsidRPr="00E17E76">
        <w:rPr>
          <w:lang w:val="en-GB"/>
        </w:rPr>
        <w:t xml:space="preserve">24 weeks are shown in Figure </w:t>
      </w:r>
      <w:r w:rsidR="001A5563" w:rsidRPr="00E17E76">
        <w:rPr>
          <w:lang w:val="en-GB"/>
        </w:rPr>
        <w:t>5.</w:t>
      </w:r>
    </w:p>
    <w:p w14:paraId="7517AC80" w14:textId="7CDC5868" w:rsidR="001A5563" w:rsidRPr="00E17E76" w:rsidRDefault="001A5563" w:rsidP="00684DEB">
      <w:pPr>
        <w:pStyle w:val="MDPI51figurecaption"/>
        <w:jc w:val="both"/>
        <w:rPr>
          <w:lang w:val="en-GB"/>
        </w:rPr>
      </w:pPr>
      <w:r w:rsidRPr="00E17E76">
        <w:rPr>
          <w:b/>
          <w:lang w:val="en-GB"/>
        </w:rPr>
        <w:t xml:space="preserve">                           </w:t>
      </w:r>
      <w:r w:rsidRPr="00E17E76">
        <w:rPr>
          <w:b/>
          <w:noProof/>
          <w:lang w:eastAsia="zh-CN" w:bidi="ar-SA"/>
        </w:rPr>
        <w:drawing>
          <wp:inline distT="0" distB="0" distL="0" distR="0" wp14:anchorId="05453627" wp14:editId="7171CAA2">
            <wp:extent cx="4968875" cy="2993390"/>
            <wp:effectExtent l="0" t="0" r="3175" b="0"/>
            <wp:docPr id="8" name="Billed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68875" cy="2993390"/>
                    </a:xfrm>
                    <a:prstGeom prst="rect">
                      <a:avLst/>
                    </a:prstGeom>
                    <a:noFill/>
                  </pic:spPr>
                </pic:pic>
              </a:graphicData>
            </a:graphic>
          </wp:inline>
        </w:drawing>
      </w:r>
      <w:r w:rsidRPr="00E17E76">
        <w:rPr>
          <w:b/>
          <w:lang w:val="en-GB"/>
        </w:rPr>
        <w:t xml:space="preserve">Figure 5. </w:t>
      </w:r>
      <w:r w:rsidRPr="00E17E76">
        <w:rPr>
          <w:lang w:val="en-GB"/>
        </w:rPr>
        <w:t>Reported pain by paediatric pain profile (PPP), T score for GAS and quality of life by the CPCHILD before injection at baseline and after 4, 12, and 28 weeks (error bar = 1 standard deviation for CPCHILD and PPP, 1 IQR for the T score).</w:t>
      </w:r>
    </w:p>
    <w:p w14:paraId="22BE05A7" w14:textId="333653B0" w:rsidR="00160D84" w:rsidRPr="00E17E76" w:rsidRDefault="003A41A8" w:rsidP="003A41A8">
      <w:pPr>
        <w:pStyle w:val="MDPI23heading3"/>
        <w:spacing w:before="240"/>
        <w:rPr>
          <w:lang w:val="en-GB"/>
        </w:rPr>
      </w:pPr>
      <w:r w:rsidRPr="00E17E76">
        <w:rPr>
          <w:lang w:val="en-GB"/>
        </w:rPr>
        <w:t xml:space="preserve">3.2.3. </w:t>
      </w:r>
      <w:r w:rsidR="00160D84" w:rsidRPr="00E17E76">
        <w:rPr>
          <w:lang w:val="en-GB"/>
        </w:rPr>
        <w:t xml:space="preserve">SMART GAS for </w:t>
      </w:r>
      <w:r w:rsidR="00112B62" w:rsidRPr="00E17E76">
        <w:rPr>
          <w:lang w:val="en-GB"/>
        </w:rPr>
        <w:t>Functional Cha</w:t>
      </w:r>
      <w:r w:rsidR="00160D84" w:rsidRPr="00E17E76">
        <w:rPr>
          <w:lang w:val="en-GB"/>
        </w:rPr>
        <w:t>nges</w:t>
      </w:r>
    </w:p>
    <w:p w14:paraId="1481E363" w14:textId="406021CF" w:rsidR="00241E36" w:rsidRPr="00E17E76" w:rsidRDefault="00160D84" w:rsidP="0043226C">
      <w:pPr>
        <w:pStyle w:val="MDPI31text"/>
        <w:rPr>
          <w:lang w:val="en-GB"/>
        </w:rPr>
      </w:pPr>
      <w:r w:rsidRPr="00E17E76">
        <w:rPr>
          <w:lang w:val="en-GB"/>
        </w:rPr>
        <w:t xml:space="preserve">The pain-related SMART goals were related to improvements in sleep (40%), standing in a standing frame (10%), falling/tripping (6.7%), gait-related (3.3%), pain-related </w:t>
      </w:r>
      <w:r w:rsidRPr="00E17E76">
        <w:rPr>
          <w:lang w:val="en-GB"/>
        </w:rPr>
        <w:lastRenderedPageBreak/>
        <w:t>(16.7%)</w:t>
      </w:r>
      <w:r w:rsidR="007D0407" w:rsidRPr="00E17E76">
        <w:rPr>
          <w:lang w:val="en-GB"/>
        </w:rPr>
        <w:t>,</w:t>
      </w:r>
      <w:r w:rsidRPr="00E17E76">
        <w:rPr>
          <w:lang w:val="en-GB"/>
        </w:rPr>
        <w:t xml:space="preserve"> and other goals (16.7%).</w:t>
      </w:r>
      <w:r w:rsidR="005352A8" w:rsidRPr="00E17E76">
        <w:rPr>
          <w:lang w:val="en-GB"/>
        </w:rPr>
        <w:t xml:space="preserve"> </w:t>
      </w:r>
      <w:r w:rsidRPr="00E17E76">
        <w:rPr>
          <w:lang w:val="en-GB"/>
        </w:rPr>
        <w:t>Table 2 shows an overview of the number and types of SMART goals. There was a significant increase in the mean T score</w:t>
      </w:r>
      <w:r w:rsidR="007D0407" w:rsidRPr="00E17E76">
        <w:rPr>
          <w:lang w:val="en-GB"/>
        </w:rPr>
        <w:t>, which</w:t>
      </w:r>
      <w:r w:rsidRPr="00E17E76">
        <w:rPr>
          <w:lang w:val="en-GB"/>
        </w:rPr>
        <w:t xml:space="preserve"> changed from 33.25 at baseline to 52.31 at four weeks (</w:t>
      </w:r>
      <w:r w:rsidR="00BE2D2B" w:rsidRPr="00E17E76">
        <w:rPr>
          <w:lang w:val="en-GB"/>
        </w:rPr>
        <w:t>Z = 3</w:t>
      </w:r>
      <w:r w:rsidRPr="00E17E76">
        <w:rPr>
          <w:lang w:val="en-GB"/>
        </w:rPr>
        <w:t xml:space="preserve">.61, </w:t>
      </w:r>
      <w:r w:rsidR="00BE2D2B" w:rsidRPr="00E17E76">
        <w:rPr>
          <w:i/>
          <w:lang w:val="en-GB"/>
        </w:rPr>
        <w:t xml:space="preserve">p </w:t>
      </w:r>
      <w:r w:rsidR="00BE2D2B" w:rsidRPr="00E17E76">
        <w:rPr>
          <w:lang w:val="en-GB"/>
        </w:rPr>
        <w:t>&gt;</w:t>
      </w:r>
      <w:r w:rsidR="00BE2D2B" w:rsidRPr="00E17E76">
        <w:rPr>
          <w:i/>
          <w:lang w:val="en-GB"/>
        </w:rPr>
        <w:t xml:space="preserve"> </w:t>
      </w:r>
      <w:r w:rsidR="00BE2D2B" w:rsidRPr="00E17E76">
        <w:rPr>
          <w:lang w:val="en-GB"/>
        </w:rPr>
        <w:t>0</w:t>
      </w:r>
      <w:r w:rsidRPr="00E17E76">
        <w:rPr>
          <w:lang w:val="en-GB"/>
        </w:rPr>
        <w:t>.001). Seventy-three percent (16/22) achieved one or more goals to the expected or higher level. This was maintained significantly at 12 (</w:t>
      </w:r>
      <w:r w:rsidR="00BE2D2B" w:rsidRPr="00E17E76">
        <w:rPr>
          <w:lang w:val="en-GB"/>
        </w:rPr>
        <w:t>T = 5</w:t>
      </w:r>
      <w:r w:rsidRPr="00E17E76">
        <w:rPr>
          <w:lang w:val="en-GB"/>
        </w:rPr>
        <w:t xml:space="preserve">0.31, </w:t>
      </w:r>
      <w:r w:rsidR="00BE2D2B" w:rsidRPr="00E17E76">
        <w:rPr>
          <w:lang w:val="en-GB"/>
        </w:rPr>
        <w:t>Z = 3</w:t>
      </w:r>
      <w:r w:rsidRPr="00E17E76">
        <w:rPr>
          <w:lang w:val="en-GB"/>
        </w:rPr>
        <w:t xml:space="preserve">.08, </w:t>
      </w:r>
      <w:r w:rsidR="002C7EF2" w:rsidRPr="00E17E76">
        <w:rPr>
          <w:i/>
          <w:lang w:val="en-GB"/>
        </w:rPr>
        <w:t>p</w:t>
      </w:r>
      <w:r w:rsidRPr="00E17E76">
        <w:rPr>
          <w:lang w:val="en-GB"/>
        </w:rPr>
        <w:t xml:space="preserve"> =0.002) and 28 weeks (</w:t>
      </w:r>
      <w:r w:rsidR="00BE2D2B" w:rsidRPr="00E17E76">
        <w:rPr>
          <w:lang w:val="en-GB"/>
        </w:rPr>
        <w:t>T = 4</w:t>
      </w:r>
      <w:r w:rsidRPr="00E17E76">
        <w:rPr>
          <w:lang w:val="en-GB"/>
        </w:rPr>
        <w:t xml:space="preserve">6.85, </w:t>
      </w:r>
      <w:r w:rsidR="002942CE" w:rsidRPr="00E17E76">
        <w:rPr>
          <w:lang w:val="en-GB"/>
        </w:rPr>
        <w:t>Z</w:t>
      </w:r>
      <w:r w:rsidR="00BE2D2B" w:rsidRPr="00E17E76">
        <w:rPr>
          <w:lang w:val="en-GB"/>
        </w:rPr>
        <w:t xml:space="preserve"> = 2</w:t>
      </w:r>
      <w:r w:rsidRPr="00E17E76">
        <w:rPr>
          <w:lang w:val="en-GB"/>
        </w:rPr>
        <w:t xml:space="preserve">.535, </w:t>
      </w:r>
      <w:r w:rsidR="00BE2D2B" w:rsidRPr="00E17E76">
        <w:rPr>
          <w:i/>
          <w:lang w:val="en-GB"/>
        </w:rPr>
        <w:t xml:space="preserve">p </w:t>
      </w:r>
      <w:r w:rsidR="00BE2D2B" w:rsidRPr="00E17E76">
        <w:rPr>
          <w:lang w:val="en-GB"/>
        </w:rPr>
        <w:t>=</w:t>
      </w:r>
      <w:r w:rsidR="00BE2D2B" w:rsidRPr="00E17E76">
        <w:rPr>
          <w:i/>
          <w:lang w:val="en-GB"/>
        </w:rPr>
        <w:t xml:space="preserve"> </w:t>
      </w:r>
      <w:r w:rsidR="00BE2D2B" w:rsidRPr="00E17E76">
        <w:rPr>
          <w:lang w:val="en-GB"/>
        </w:rPr>
        <w:t>0</w:t>
      </w:r>
      <w:r w:rsidRPr="00E17E76">
        <w:rPr>
          <w:lang w:val="en-GB"/>
        </w:rPr>
        <w:t>.011). The changes in the distribution of achieved goals during the 28 weeks and changes in T score are shown in Figures 5 and 6, respectively.</w:t>
      </w:r>
    </w:p>
    <w:p w14:paraId="5D4B9BDA" w14:textId="0433E2AB" w:rsidR="003A41A8" w:rsidRPr="00E17E76" w:rsidRDefault="003A41A8" w:rsidP="003A41A8">
      <w:pPr>
        <w:pStyle w:val="MDPI41tablecaption"/>
        <w:jc w:val="both"/>
        <w:rPr>
          <w:snapToGrid w:val="0"/>
          <w:lang w:val="en-GB"/>
        </w:rPr>
      </w:pPr>
      <w:r w:rsidRPr="00E17E76">
        <w:rPr>
          <w:b/>
          <w:lang w:val="en-GB"/>
        </w:rPr>
        <w:t xml:space="preserve">Table 2. </w:t>
      </w:r>
      <w:r w:rsidRPr="00E17E76">
        <w:rPr>
          <w:snapToGrid w:val="0"/>
          <w:lang w:val="en-GB"/>
        </w:rPr>
        <w:t>Overview of the SMART goals; types of goals according to ICF classification and evaluated by the goal attainment scale. *</w:t>
      </w:r>
      <w:r w:rsidR="00241E36" w:rsidRPr="00E17E76">
        <w:rPr>
          <w:snapToGrid w:val="0"/>
          <w:lang w:val="en-GB"/>
        </w:rPr>
        <w:t xml:space="preserve"> </w:t>
      </w:r>
      <w:r w:rsidRPr="00E17E76">
        <w:rPr>
          <w:snapToGrid w:val="0"/>
          <w:lang w:val="en-GB"/>
        </w:rPr>
        <w:t xml:space="preserve">Quality of sleep, </w:t>
      </w:r>
      <w:r w:rsidR="007D0407" w:rsidRPr="00E17E76">
        <w:rPr>
          <w:snapToGrid w:val="0"/>
          <w:lang w:val="en-GB"/>
        </w:rPr>
        <w:t>o</w:t>
      </w:r>
      <w:r w:rsidRPr="00E17E76">
        <w:rPr>
          <w:snapToGrid w:val="0"/>
          <w:lang w:val="en-GB"/>
        </w:rPr>
        <w:t>nset of sleep, awakenings, amount of sleep ** in a standing frame, *** frequency of falls, ****</w:t>
      </w:r>
      <w:r w:rsidR="00241E36" w:rsidRPr="00E17E76">
        <w:rPr>
          <w:snapToGrid w:val="0"/>
          <w:lang w:val="en-GB"/>
        </w:rPr>
        <w:t xml:space="preserve"> </w:t>
      </w:r>
      <w:r w:rsidRPr="00E17E76">
        <w:rPr>
          <w:snapToGrid w:val="0"/>
          <w:lang w:val="en-GB"/>
        </w:rPr>
        <w:t>diaper change,</w:t>
      </w:r>
      <w:r w:rsidR="00241E36" w:rsidRPr="00E17E76">
        <w:rPr>
          <w:snapToGrid w:val="0"/>
          <w:lang w:val="en-GB"/>
        </w:rPr>
        <w:t xml:space="preserve"> </w:t>
      </w:r>
      <w:r w:rsidRPr="00E17E76">
        <w:rPr>
          <w:snapToGrid w:val="0"/>
          <w:lang w:val="en-GB"/>
        </w:rPr>
        <w:t>*****</w:t>
      </w:r>
      <w:r w:rsidR="00241E36" w:rsidRPr="00E17E76">
        <w:rPr>
          <w:snapToGrid w:val="0"/>
          <w:lang w:val="en-GB"/>
        </w:rPr>
        <w:t xml:space="preserve"> </w:t>
      </w:r>
      <w:r w:rsidRPr="00E17E76">
        <w:rPr>
          <w:snapToGrid w:val="0"/>
          <w:lang w:val="en-GB"/>
        </w:rPr>
        <w:t>better ROM, putting on shoes, good/bad days and ******</w:t>
      </w:r>
      <w:r w:rsidR="00241E36" w:rsidRPr="00E17E76">
        <w:rPr>
          <w:snapToGrid w:val="0"/>
          <w:lang w:val="en-GB"/>
        </w:rPr>
        <w:t xml:space="preserve"> </w:t>
      </w:r>
      <w:r w:rsidRPr="00E17E76">
        <w:rPr>
          <w:snapToGrid w:val="0"/>
          <w:lang w:val="en-GB"/>
        </w:rPr>
        <w:t>painful days, pain when performing sports, pain when placed in a resting position, pain putting on orthosis,</w:t>
      </w:r>
      <w:r w:rsidR="007D0407" w:rsidRPr="00E17E76">
        <w:rPr>
          <w:snapToGrid w:val="0"/>
          <w:lang w:val="en-GB"/>
        </w:rPr>
        <w:t xml:space="preserve"> and</w:t>
      </w:r>
      <w:r w:rsidRPr="00E17E76">
        <w:rPr>
          <w:snapToGrid w:val="0"/>
          <w:lang w:val="en-GB"/>
        </w:rPr>
        <w:t xml:space="preserve"> pain during the examination.</w:t>
      </w:r>
    </w:p>
    <w:tbl>
      <w:tblPr>
        <w:tblW w:w="7797" w:type="dxa"/>
        <w:tblInd w:w="2608" w:type="dxa"/>
        <w:tblBorders>
          <w:top w:val="single" w:sz="12" w:space="0" w:color="008000"/>
          <w:bottom w:val="single" w:sz="12" w:space="0" w:color="008000"/>
        </w:tblBorders>
        <w:tblLayout w:type="fixed"/>
        <w:tblCellMar>
          <w:left w:w="0" w:type="dxa"/>
          <w:right w:w="0" w:type="dxa"/>
        </w:tblCellMar>
        <w:tblLook w:val="04A0" w:firstRow="1" w:lastRow="0" w:firstColumn="1" w:lastColumn="0" w:noHBand="0" w:noVBand="1"/>
      </w:tblPr>
      <w:tblGrid>
        <w:gridCol w:w="1819"/>
        <w:gridCol w:w="4362"/>
        <w:gridCol w:w="1616"/>
      </w:tblGrid>
      <w:tr w:rsidR="00684DEB" w:rsidRPr="00E17E76" w14:paraId="24DE5290" w14:textId="77777777" w:rsidTr="00684DEB">
        <w:trPr>
          <w:trHeight w:val="213"/>
        </w:trPr>
        <w:tc>
          <w:tcPr>
            <w:tcW w:w="1819" w:type="dxa"/>
            <w:tcBorders>
              <w:top w:val="single" w:sz="8" w:space="0" w:color="auto"/>
              <w:bottom w:val="single" w:sz="4" w:space="0" w:color="auto"/>
            </w:tcBorders>
            <w:shd w:val="clear" w:color="auto" w:fill="auto"/>
            <w:vAlign w:val="center"/>
          </w:tcPr>
          <w:p w14:paraId="052E5149" w14:textId="622A450D" w:rsidR="00684DEB" w:rsidRPr="00E17E76" w:rsidRDefault="00684DEB" w:rsidP="00684DEB">
            <w:pPr>
              <w:pStyle w:val="MDPI42tablebody"/>
              <w:autoSpaceDE w:val="0"/>
              <w:autoSpaceDN w:val="0"/>
              <w:rPr>
                <w:b/>
                <w:color w:val="000000" w:themeColor="text1"/>
                <w:sz w:val="18"/>
              </w:rPr>
            </w:pPr>
            <w:r w:rsidRPr="00E17E76">
              <w:rPr>
                <w:b/>
                <w:color w:val="000000" w:themeColor="text1"/>
                <w:sz w:val="18"/>
              </w:rPr>
              <w:t>ICF code</w:t>
            </w:r>
          </w:p>
        </w:tc>
        <w:tc>
          <w:tcPr>
            <w:tcW w:w="4362" w:type="dxa"/>
            <w:tcBorders>
              <w:top w:val="single" w:sz="8" w:space="0" w:color="auto"/>
              <w:bottom w:val="single" w:sz="4" w:space="0" w:color="auto"/>
            </w:tcBorders>
          </w:tcPr>
          <w:p w14:paraId="499246A2" w14:textId="1D49B45F" w:rsidR="00684DEB" w:rsidRPr="00E17E76" w:rsidRDefault="00684DEB" w:rsidP="00684DEB">
            <w:pPr>
              <w:pStyle w:val="MDPI42tablebody"/>
              <w:autoSpaceDE w:val="0"/>
              <w:autoSpaceDN w:val="0"/>
              <w:rPr>
                <w:b/>
                <w:color w:val="000000" w:themeColor="text1"/>
                <w:sz w:val="18"/>
              </w:rPr>
            </w:pPr>
            <w:r w:rsidRPr="00E17E76">
              <w:rPr>
                <w:b/>
                <w:color w:val="000000" w:themeColor="text1"/>
                <w:sz w:val="18"/>
              </w:rPr>
              <w:t>Description</w:t>
            </w:r>
          </w:p>
        </w:tc>
        <w:tc>
          <w:tcPr>
            <w:tcW w:w="1616" w:type="dxa"/>
            <w:tcBorders>
              <w:top w:val="single" w:sz="8" w:space="0" w:color="auto"/>
              <w:bottom w:val="single" w:sz="4" w:space="0" w:color="auto"/>
            </w:tcBorders>
          </w:tcPr>
          <w:p w14:paraId="5CF101C9" w14:textId="7D61FB99" w:rsidR="00684DEB" w:rsidRPr="00E17E76" w:rsidRDefault="00684DEB" w:rsidP="00684DEB">
            <w:pPr>
              <w:pStyle w:val="MDPI42tablebody"/>
              <w:autoSpaceDE w:val="0"/>
              <w:autoSpaceDN w:val="0"/>
              <w:rPr>
                <w:b/>
                <w:color w:val="000000" w:themeColor="text1"/>
                <w:sz w:val="18"/>
              </w:rPr>
            </w:pPr>
            <w:r w:rsidRPr="00E17E76">
              <w:rPr>
                <w:b/>
                <w:color w:val="000000" w:themeColor="text1"/>
                <w:sz w:val="18"/>
              </w:rPr>
              <w:t>Frequency</w:t>
            </w:r>
          </w:p>
        </w:tc>
      </w:tr>
      <w:tr w:rsidR="00500E29" w:rsidRPr="00E17E76" w14:paraId="79D8FB98" w14:textId="77777777" w:rsidTr="00684DEB">
        <w:trPr>
          <w:trHeight w:val="233"/>
        </w:trPr>
        <w:tc>
          <w:tcPr>
            <w:tcW w:w="1819" w:type="dxa"/>
            <w:tcBorders>
              <w:top w:val="nil"/>
              <w:bottom w:val="nil"/>
            </w:tcBorders>
            <w:shd w:val="clear" w:color="auto" w:fill="auto"/>
          </w:tcPr>
          <w:p w14:paraId="4A4F3E28" w14:textId="7396469F" w:rsidR="00500E29" w:rsidRPr="00E17E76" w:rsidRDefault="00500E29" w:rsidP="00684DEB">
            <w:pPr>
              <w:pStyle w:val="MDPI42tablebody"/>
              <w:autoSpaceDE w:val="0"/>
              <w:autoSpaceDN w:val="0"/>
              <w:rPr>
                <w:color w:val="000000" w:themeColor="text1"/>
                <w:sz w:val="18"/>
              </w:rPr>
            </w:pPr>
            <w:r>
              <w:rPr>
                <w:color w:val="000000" w:themeColor="text1"/>
                <w:sz w:val="18"/>
              </w:rPr>
              <w:t>b134</w:t>
            </w:r>
          </w:p>
        </w:tc>
        <w:tc>
          <w:tcPr>
            <w:tcW w:w="4362" w:type="dxa"/>
            <w:tcBorders>
              <w:top w:val="nil"/>
              <w:bottom w:val="nil"/>
            </w:tcBorders>
          </w:tcPr>
          <w:p w14:paraId="5D107226" w14:textId="46C946CE" w:rsidR="00500E29" w:rsidRPr="00E17E76" w:rsidRDefault="00500E29" w:rsidP="00684DEB">
            <w:pPr>
              <w:pStyle w:val="MDPI42tablebody"/>
              <w:autoSpaceDE w:val="0"/>
              <w:autoSpaceDN w:val="0"/>
              <w:rPr>
                <w:color w:val="000000" w:themeColor="text1"/>
                <w:sz w:val="18"/>
              </w:rPr>
            </w:pPr>
            <w:r>
              <w:rPr>
                <w:color w:val="000000" w:themeColor="text1"/>
                <w:sz w:val="18"/>
              </w:rPr>
              <w:t>Sleep function *</w:t>
            </w:r>
          </w:p>
        </w:tc>
        <w:tc>
          <w:tcPr>
            <w:tcW w:w="1616" w:type="dxa"/>
            <w:tcBorders>
              <w:top w:val="nil"/>
              <w:bottom w:val="nil"/>
            </w:tcBorders>
          </w:tcPr>
          <w:p w14:paraId="5AF8120A" w14:textId="5D341659" w:rsidR="00500E29" w:rsidRPr="00E17E76" w:rsidRDefault="00500E29" w:rsidP="00684DEB">
            <w:pPr>
              <w:pStyle w:val="MDPI42tablebody"/>
              <w:autoSpaceDE w:val="0"/>
              <w:autoSpaceDN w:val="0"/>
              <w:rPr>
                <w:color w:val="000000" w:themeColor="text1"/>
                <w:sz w:val="18"/>
              </w:rPr>
            </w:pPr>
            <w:r>
              <w:rPr>
                <w:color w:val="000000" w:themeColor="text1"/>
                <w:sz w:val="18"/>
              </w:rPr>
              <w:t>12</w:t>
            </w:r>
          </w:p>
        </w:tc>
      </w:tr>
      <w:tr w:rsidR="00684DEB" w:rsidRPr="00E17E76" w14:paraId="15166C0A" w14:textId="77777777" w:rsidTr="00684DEB">
        <w:trPr>
          <w:trHeight w:val="233"/>
        </w:trPr>
        <w:tc>
          <w:tcPr>
            <w:tcW w:w="1819" w:type="dxa"/>
            <w:tcBorders>
              <w:top w:val="nil"/>
              <w:bottom w:val="nil"/>
            </w:tcBorders>
            <w:shd w:val="clear" w:color="auto" w:fill="auto"/>
          </w:tcPr>
          <w:p w14:paraId="543EF4B5" w14:textId="24EEA3C6" w:rsidR="00684DEB" w:rsidRPr="00E17E76" w:rsidRDefault="00684DEB" w:rsidP="00684DEB">
            <w:pPr>
              <w:pStyle w:val="MDPI42tablebody"/>
              <w:autoSpaceDE w:val="0"/>
              <w:autoSpaceDN w:val="0"/>
              <w:rPr>
                <w:color w:val="000000" w:themeColor="text1"/>
                <w:sz w:val="18"/>
              </w:rPr>
            </w:pPr>
            <w:r w:rsidRPr="00E17E76">
              <w:rPr>
                <w:color w:val="000000" w:themeColor="text1"/>
                <w:sz w:val="18"/>
              </w:rPr>
              <w:t>d4154</w:t>
            </w:r>
          </w:p>
        </w:tc>
        <w:tc>
          <w:tcPr>
            <w:tcW w:w="4362" w:type="dxa"/>
            <w:tcBorders>
              <w:top w:val="nil"/>
              <w:bottom w:val="nil"/>
            </w:tcBorders>
          </w:tcPr>
          <w:p w14:paraId="43FCC506" w14:textId="40A7277F" w:rsidR="00684DEB" w:rsidRPr="00E17E76" w:rsidRDefault="00684DEB" w:rsidP="00684DEB">
            <w:pPr>
              <w:pStyle w:val="MDPI42tablebody"/>
              <w:autoSpaceDE w:val="0"/>
              <w:autoSpaceDN w:val="0"/>
              <w:rPr>
                <w:color w:val="000000" w:themeColor="text1"/>
                <w:sz w:val="18"/>
              </w:rPr>
            </w:pPr>
            <w:r w:rsidRPr="00E17E76">
              <w:rPr>
                <w:color w:val="000000" w:themeColor="text1"/>
                <w:sz w:val="18"/>
              </w:rPr>
              <w:t>Maintaining a standing position**</w:t>
            </w:r>
          </w:p>
        </w:tc>
        <w:tc>
          <w:tcPr>
            <w:tcW w:w="1616" w:type="dxa"/>
            <w:tcBorders>
              <w:top w:val="nil"/>
              <w:bottom w:val="nil"/>
            </w:tcBorders>
          </w:tcPr>
          <w:p w14:paraId="0E3EAA42" w14:textId="7E2BC042" w:rsidR="00684DEB" w:rsidRPr="00E17E76" w:rsidRDefault="00684DEB" w:rsidP="00684DEB">
            <w:pPr>
              <w:pStyle w:val="MDPI42tablebody"/>
              <w:autoSpaceDE w:val="0"/>
              <w:autoSpaceDN w:val="0"/>
              <w:rPr>
                <w:color w:val="000000" w:themeColor="text1"/>
                <w:sz w:val="18"/>
              </w:rPr>
            </w:pPr>
            <w:r w:rsidRPr="00E17E76">
              <w:rPr>
                <w:color w:val="000000" w:themeColor="text1"/>
                <w:sz w:val="18"/>
              </w:rPr>
              <w:t>3</w:t>
            </w:r>
          </w:p>
        </w:tc>
      </w:tr>
      <w:tr w:rsidR="00684DEB" w:rsidRPr="00E17E76" w14:paraId="7597A979" w14:textId="77777777" w:rsidTr="00684DEB">
        <w:trPr>
          <w:trHeight w:val="242"/>
        </w:trPr>
        <w:tc>
          <w:tcPr>
            <w:tcW w:w="1819" w:type="dxa"/>
            <w:tcBorders>
              <w:top w:val="nil"/>
              <w:bottom w:val="nil"/>
            </w:tcBorders>
            <w:shd w:val="clear" w:color="auto" w:fill="auto"/>
          </w:tcPr>
          <w:p w14:paraId="2E2B07C8" w14:textId="7C72F9EC" w:rsidR="00684DEB" w:rsidRPr="00E17E76" w:rsidRDefault="00684DEB" w:rsidP="00684DEB">
            <w:pPr>
              <w:pStyle w:val="MDPI42tablebody"/>
              <w:autoSpaceDE w:val="0"/>
              <w:autoSpaceDN w:val="0"/>
              <w:rPr>
                <w:color w:val="000000" w:themeColor="text1"/>
                <w:sz w:val="18"/>
              </w:rPr>
            </w:pPr>
            <w:r w:rsidRPr="00E17E76">
              <w:rPr>
                <w:color w:val="000000" w:themeColor="text1"/>
                <w:sz w:val="18"/>
              </w:rPr>
              <w:t>d498</w:t>
            </w:r>
          </w:p>
        </w:tc>
        <w:tc>
          <w:tcPr>
            <w:tcW w:w="4362" w:type="dxa"/>
            <w:tcBorders>
              <w:top w:val="nil"/>
              <w:bottom w:val="nil"/>
            </w:tcBorders>
          </w:tcPr>
          <w:p w14:paraId="43D658C6" w14:textId="25417C48" w:rsidR="00684DEB" w:rsidRPr="00E17E76" w:rsidRDefault="00684DEB" w:rsidP="00684DEB">
            <w:pPr>
              <w:pStyle w:val="MDPI42tablebody"/>
              <w:autoSpaceDE w:val="0"/>
              <w:autoSpaceDN w:val="0"/>
              <w:rPr>
                <w:color w:val="000000" w:themeColor="text1"/>
                <w:sz w:val="18"/>
              </w:rPr>
            </w:pPr>
            <w:r w:rsidRPr="00E17E76">
              <w:rPr>
                <w:color w:val="000000" w:themeColor="text1"/>
                <w:sz w:val="18"/>
              </w:rPr>
              <w:t>Mobility, other specified***</w:t>
            </w:r>
          </w:p>
        </w:tc>
        <w:tc>
          <w:tcPr>
            <w:tcW w:w="1616" w:type="dxa"/>
            <w:tcBorders>
              <w:top w:val="nil"/>
              <w:bottom w:val="nil"/>
            </w:tcBorders>
          </w:tcPr>
          <w:p w14:paraId="11188AF6" w14:textId="24804013" w:rsidR="00684DEB" w:rsidRPr="00E17E76" w:rsidRDefault="00684DEB" w:rsidP="00684DEB">
            <w:pPr>
              <w:pStyle w:val="MDPI42tablebody"/>
              <w:autoSpaceDE w:val="0"/>
              <w:autoSpaceDN w:val="0"/>
            </w:pPr>
            <w:r w:rsidRPr="00E17E76">
              <w:t>2</w:t>
            </w:r>
          </w:p>
        </w:tc>
      </w:tr>
      <w:tr w:rsidR="00684DEB" w:rsidRPr="00E17E76" w14:paraId="755154A4" w14:textId="77777777" w:rsidTr="00684DEB">
        <w:trPr>
          <w:trHeight w:val="233"/>
        </w:trPr>
        <w:tc>
          <w:tcPr>
            <w:tcW w:w="1819" w:type="dxa"/>
            <w:tcBorders>
              <w:top w:val="nil"/>
              <w:bottom w:val="nil"/>
            </w:tcBorders>
            <w:shd w:val="clear" w:color="auto" w:fill="auto"/>
          </w:tcPr>
          <w:p w14:paraId="62DF79CE" w14:textId="61EABF9A" w:rsidR="00684DEB" w:rsidRPr="00E17E76" w:rsidRDefault="00684DEB" w:rsidP="00684DEB">
            <w:pPr>
              <w:pStyle w:val="MDPI42tablebody"/>
              <w:autoSpaceDE w:val="0"/>
              <w:autoSpaceDN w:val="0"/>
              <w:rPr>
                <w:color w:val="000000" w:themeColor="text1"/>
                <w:sz w:val="18"/>
              </w:rPr>
            </w:pPr>
            <w:r w:rsidRPr="00E17E76">
              <w:rPr>
                <w:color w:val="000000" w:themeColor="text1"/>
                <w:sz w:val="18"/>
              </w:rPr>
              <w:t>b</w:t>
            </w:r>
          </w:p>
        </w:tc>
        <w:tc>
          <w:tcPr>
            <w:tcW w:w="4362" w:type="dxa"/>
            <w:tcBorders>
              <w:top w:val="nil"/>
              <w:bottom w:val="nil"/>
            </w:tcBorders>
          </w:tcPr>
          <w:p w14:paraId="3250CBDF" w14:textId="105C4D8C" w:rsidR="00684DEB" w:rsidRPr="00E17E76" w:rsidRDefault="00684DEB" w:rsidP="00684DEB">
            <w:pPr>
              <w:pStyle w:val="MDPI42tablebody"/>
              <w:autoSpaceDE w:val="0"/>
              <w:autoSpaceDN w:val="0"/>
              <w:rPr>
                <w:color w:val="000000" w:themeColor="text1"/>
                <w:sz w:val="18"/>
              </w:rPr>
            </w:pPr>
            <w:r w:rsidRPr="00E17E76">
              <w:rPr>
                <w:color w:val="000000" w:themeColor="text1"/>
                <w:sz w:val="18"/>
              </w:rPr>
              <w:t>Body function****</w:t>
            </w:r>
          </w:p>
        </w:tc>
        <w:tc>
          <w:tcPr>
            <w:tcW w:w="1616" w:type="dxa"/>
            <w:tcBorders>
              <w:top w:val="nil"/>
              <w:bottom w:val="nil"/>
            </w:tcBorders>
          </w:tcPr>
          <w:p w14:paraId="60AA0366" w14:textId="6726DE5C" w:rsidR="00684DEB" w:rsidRPr="00E17E76" w:rsidRDefault="00684DEB" w:rsidP="00684DEB">
            <w:pPr>
              <w:pStyle w:val="MDPI42tablebody"/>
              <w:autoSpaceDE w:val="0"/>
              <w:autoSpaceDN w:val="0"/>
            </w:pPr>
            <w:r w:rsidRPr="00E17E76">
              <w:t>1</w:t>
            </w:r>
          </w:p>
        </w:tc>
      </w:tr>
      <w:tr w:rsidR="00684DEB" w:rsidRPr="00E17E76" w14:paraId="1F3A00A6" w14:textId="77777777" w:rsidTr="00684DEB">
        <w:trPr>
          <w:trHeight w:val="233"/>
        </w:trPr>
        <w:tc>
          <w:tcPr>
            <w:tcW w:w="1819" w:type="dxa"/>
            <w:tcBorders>
              <w:top w:val="nil"/>
              <w:bottom w:val="nil"/>
            </w:tcBorders>
            <w:shd w:val="clear" w:color="auto" w:fill="auto"/>
          </w:tcPr>
          <w:p w14:paraId="69A27646" w14:textId="3F6480E6" w:rsidR="00684DEB" w:rsidRPr="00E17E76" w:rsidRDefault="00684DEB" w:rsidP="00684DEB">
            <w:pPr>
              <w:pStyle w:val="MDPI42tablebody"/>
              <w:autoSpaceDE w:val="0"/>
              <w:autoSpaceDN w:val="0"/>
              <w:rPr>
                <w:color w:val="000000" w:themeColor="text1"/>
                <w:sz w:val="18"/>
              </w:rPr>
            </w:pPr>
            <w:r w:rsidRPr="00E17E76">
              <w:rPr>
                <w:color w:val="000000" w:themeColor="text1"/>
                <w:sz w:val="18"/>
              </w:rPr>
              <w:t>b770</w:t>
            </w:r>
          </w:p>
        </w:tc>
        <w:tc>
          <w:tcPr>
            <w:tcW w:w="4362" w:type="dxa"/>
            <w:tcBorders>
              <w:top w:val="nil"/>
              <w:bottom w:val="nil"/>
            </w:tcBorders>
          </w:tcPr>
          <w:p w14:paraId="18A057D0" w14:textId="292DAD32" w:rsidR="00684DEB" w:rsidRPr="00E17E76" w:rsidRDefault="00684DEB" w:rsidP="00684DEB">
            <w:pPr>
              <w:pStyle w:val="MDPI42tablebody"/>
              <w:autoSpaceDE w:val="0"/>
              <w:autoSpaceDN w:val="0"/>
              <w:rPr>
                <w:color w:val="000000" w:themeColor="text1"/>
                <w:sz w:val="18"/>
              </w:rPr>
            </w:pPr>
            <w:r w:rsidRPr="00E17E76">
              <w:rPr>
                <w:color w:val="000000" w:themeColor="text1"/>
                <w:sz w:val="18"/>
              </w:rPr>
              <w:t>Gait pattern functions</w:t>
            </w:r>
          </w:p>
        </w:tc>
        <w:tc>
          <w:tcPr>
            <w:tcW w:w="1616" w:type="dxa"/>
            <w:tcBorders>
              <w:top w:val="nil"/>
              <w:bottom w:val="nil"/>
            </w:tcBorders>
          </w:tcPr>
          <w:p w14:paraId="5A558E1E" w14:textId="592D57DF" w:rsidR="00684DEB" w:rsidRPr="00E17E76" w:rsidRDefault="00684DEB" w:rsidP="00684DEB">
            <w:pPr>
              <w:pStyle w:val="MDPI42tablebody"/>
              <w:autoSpaceDE w:val="0"/>
              <w:autoSpaceDN w:val="0"/>
            </w:pPr>
            <w:r w:rsidRPr="00E17E76">
              <w:t>1</w:t>
            </w:r>
          </w:p>
        </w:tc>
      </w:tr>
      <w:tr w:rsidR="00684DEB" w:rsidRPr="00E17E76" w14:paraId="5E0C5A50" w14:textId="77777777" w:rsidTr="00684DEB">
        <w:trPr>
          <w:trHeight w:val="242"/>
        </w:trPr>
        <w:tc>
          <w:tcPr>
            <w:tcW w:w="1819" w:type="dxa"/>
            <w:tcBorders>
              <w:top w:val="nil"/>
              <w:bottom w:val="nil"/>
            </w:tcBorders>
            <w:shd w:val="clear" w:color="auto" w:fill="auto"/>
          </w:tcPr>
          <w:p w14:paraId="0BF75331" w14:textId="77777777" w:rsidR="00684DEB" w:rsidRPr="00E17E76" w:rsidRDefault="00684DEB" w:rsidP="00684DEB">
            <w:pPr>
              <w:pStyle w:val="MDPI42tablebody"/>
              <w:autoSpaceDE w:val="0"/>
              <w:autoSpaceDN w:val="0"/>
              <w:rPr>
                <w:color w:val="000000" w:themeColor="text1"/>
                <w:sz w:val="18"/>
              </w:rPr>
            </w:pPr>
          </w:p>
        </w:tc>
        <w:tc>
          <w:tcPr>
            <w:tcW w:w="4362" w:type="dxa"/>
            <w:tcBorders>
              <w:top w:val="nil"/>
              <w:bottom w:val="nil"/>
            </w:tcBorders>
          </w:tcPr>
          <w:p w14:paraId="2A3F3CC5" w14:textId="133711A8" w:rsidR="00684DEB" w:rsidRPr="00E17E76" w:rsidRDefault="00684DEB" w:rsidP="00684DEB">
            <w:pPr>
              <w:pStyle w:val="MDPI42tablebody"/>
              <w:autoSpaceDE w:val="0"/>
              <w:autoSpaceDN w:val="0"/>
              <w:rPr>
                <w:color w:val="000000" w:themeColor="text1"/>
                <w:sz w:val="18"/>
              </w:rPr>
            </w:pPr>
            <w:r w:rsidRPr="00E17E76">
              <w:rPr>
                <w:color w:val="000000" w:themeColor="text1"/>
                <w:sz w:val="18"/>
              </w:rPr>
              <w:t>other*****</w:t>
            </w:r>
          </w:p>
        </w:tc>
        <w:tc>
          <w:tcPr>
            <w:tcW w:w="1616" w:type="dxa"/>
            <w:tcBorders>
              <w:top w:val="nil"/>
              <w:bottom w:val="nil"/>
            </w:tcBorders>
          </w:tcPr>
          <w:p w14:paraId="570B0D5C" w14:textId="7EA61972" w:rsidR="00684DEB" w:rsidRPr="00E17E76" w:rsidRDefault="00684DEB" w:rsidP="00684DEB">
            <w:pPr>
              <w:pStyle w:val="MDPI42tablebody"/>
              <w:autoSpaceDE w:val="0"/>
              <w:autoSpaceDN w:val="0"/>
            </w:pPr>
            <w:r w:rsidRPr="00E17E76">
              <w:t>3</w:t>
            </w:r>
          </w:p>
        </w:tc>
      </w:tr>
      <w:tr w:rsidR="00684DEB" w:rsidRPr="00E17E76" w14:paraId="12094D28" w14:textId="77777777" w:rsidTr="00684DEB">
        <w:trPr>
          <w:trHeight w:val="233"/>
        </w:trPr>
        <w:tc>
          <w:tcPr>
            <w:tcW w:w="1819" w:type="dxa"/>
            <w:tcBorders>
              <w:top w:val="nil"/>
              <w:bottom w:val="nil"/>
            </w:tcBorders>
            <w:shd w:val="clear" w:color="auto" w:fill="auto"/>
          </w:tcPr>
          <w:p w14:paraId="183B68BE" w14:textId="434B6B69" w:rsidR="00684DEB" w:rsidRPr="00E17E76" w:rsidRDefault="00684DEB" w:rsidP="00684DEB">
            <w:pPr>
              <w:pStyle w:val="MDPI42tablebody"/>
              <w:autoSpaceDE w:val="0"/>
              <w:autoSpaceDN w:val="0"/>
              <w:rPr>
                <w:color w:val="000000" w:themeColor="text1"/>
                <w:sz w:val="18"/>
              </w:rPr>
            </w:pPr>
            <w:r w:rsidRPr="00E17E76">
              <w:rPr>
                <w:color w:val="000000" w:themeColor="text1"/>
                <w:sz w:val="18"/>
              </w:rPr>
              <w:t>b280</w:t>
            </w:r>
          </w:p>
        </w:tc>
        <w:tc>
          <w:tcPr>
            <w:tcW w:w="4362" w:type="dxa"/>
            <w:tcBorders>
              <w:top w:val="nil"/>
              <w:bottom w:val="nil"/>
            </w:tcBorders>
          </w:tcPr>
          <w:p w14:paraId="70800080" w14:textId="585A1727" w:rsidR="00684DEB" w:rsidRPr="00E17E76" w:rsidRDefault="00684DEB" w:rsidP="00684DEB">
            <w:pPr>
              <w:pStyle w:val="MDPI42tablebody"/>
              <w:autoSpaceDE w:val="0"/>
              <w:autoSpaceDN w:val="0"/>
              <w:rPr>
                <w:color w:val="000000" w:themeColor="text1"/>
                <w:sz w:val="18"/>
              </w:rPr>
            </w:pPr>
            <w:r w:rsidRPr="00E17E76">
              <w:rPr>
                <w:color w:val="000000" w:themeColor="text1"/>
                <w:sz w:val="18"/>
              </w:rPr>
              <w:t>Sensation of pain******</w:t>
            </w:r>
          </w:p>
        </w:tc>
        <w:tc>
          <w:tcPr>
            <w:tcW w:w="1616" w:type="dxa"/>
            <w:tcBorders>
              <w:top w:val="nil"/>
              <w:bottom w:val="nil"/>
            </w:tcBorders>
          </w:tcPr>
          <w:p w14:paraId="3A2E01D6" w14:textId="452B205A" w:rsidR="00684DEB" w:rsidRPr="00E17E76" w:rsidRDefault="00684DEB" w:rsidP="00684DEB">
            <w:pPr>
              <w:pStyle w:val="MDPI42tablebody"/>
              <w:autoSpaceDE w:val="0"/>
              <w:autoSpaceDN w:val="0"/>
              <w:rPr>
                <w:color w:val="000000" w:themeColor="text1"/>
                <w:sz w:val="18"/>
              </w:rPr>
            </w:pPr>
            <w:r w:rsidRPr="00E17E76">
              <w:rPr>
                <w:color w:val="000000" w:themeColor="text1"/>
                <w:sz w:val="18"/>
              </w:rPr>
              <w:t>7</w:t>
            </w:r>
          </w:p>
        </w:tc>
      </w:tr>
      <w:tr w:rsidR="00684DEB" w:rsidRPr="00E17E76" w14:paraId="090E2AE2" w14:textId="77777777" w:rsidTr="00684DEB">
        <w:trPr>
          <w:trHeight w:val="233"/>
        </w:trPr>
        <w:tc>
          <w:tcPr>
            <w:tcW w:w="1819" w:type="dxa"/>
            <w:tcBorders>
              <w:top w:val="nil"/>
              <w:bottom w:val="single" w:sz="8" w:space="0" w:color="auto"/>
            </w:tcBorders>
            <w:shd w:val="clear" w:color="auto" w:fill="auto"/>
          </w:tcPr>
          <w:p w14:paraId="09E1A5EA" w14:textId="126C9FD5" w:rsidR="00684DEB" w:rsidRPr="00E17E76" w:rsidRDefault="00684DEB" w:rsidP="00684DEB">
            <w:pPr>
              <w:pStyle w:val="MDPI42tablebody"/>
              <w:autoSpaceDE w:val="0"/>
              <w:autoSpaceDN w:val="0"/>
              <w:rPr>
                <w:color w:val="000000" w:themeColor="text1"/>
                <w:sz w:val="18"/>
              </w:rPr>
            </w:pPr>
            <w:r w:rsidRPr="00E17E76">
              <w:rPr>
                <w:color w:val="000000" w:themeColor="text1"/>
                <w:sz w:val="18"/>
              </w:rPr>
              <w:t>Total</w:t>
            </w:r>
          </w:p>
        </w:tc>
        <w:tc>
          <w:tcPr>
            <w:tcW w:w="4362" w:type="dxa"/>
            <w:tcBorders>
              <w:top w:val="nil"/>
              <w:bottom w:val="single" w:sz="8" w:space="0" w:color="auto"/>
            </w:tcBorders>
          </w:tcPr>
          <w:p w14:paraId="0CCE5386" w14:textId="77777777" w:rsidR="00684DEB" w:rsidRPr="00E17E76" w:rsidRDefault="00684DEB" w:rsidP="00684DEB">
            <w:pPr>
              <w:pStyle w:val="MDPI42tablebody"/>
              <w:autoSpaceDE w:val="0"/>
              <w:autoSpaceDN w:val="0"/>
            </w:pPr>
          </w:p>
        </w:tc>
        <w:tc>
          <w:tcPr>
            <w:tcW w:w="1616" w:type="dxa"/>
            <w:tcBorders>
              <w:top w:val="nil"/>
              <w:bottom w:val="single" w:sz="8" w:space="0" w:color="auto"/>
            </w:tcBorders>
          </w:tcPr>
          <w:p w14:paraId="30A6C632" w14:textId="63FD0A8B" w:rsidR="00684DEB" w:rsidRPr="00E17E76" w:rsidRDefault="00684DEB" w:rsidP="00684DEB">
            <w:pPr>
              <w:pStyle w:val="MDPI42tablebody"/>
              <w:autoSpaceDE w:val="0"/>
              <w:autoSpaceDN w:val="0"/>
              <w:rPr>
                <w:color w:val="000000" w:themeColor="text1"/>
                <w:sz w:val="18"/>
              </w:rPr>
            </w:pPr>
            <w:r w:rsidRPr="00E17E76">
              <w:rPr>
                <w:color w:val="000000" w:themeColor="text1"/>
                <w:sz w:val="18"/>
              </w:rPr>
              <w:t>29</w:t>
            </w:r>
          </w:p>
        </w:tc>
      </w:tr>
    </w:tbl>
    <w:p w14:paraId="63AD8262" w14:textId="5254C543" w:rsidR="00E55C3D" w:rsidRPr="00E17E76" w:rsidRDefault="00E55C3D" w:rsidP="003A41A8">
      <w:pPr>
        <w:pStyle w:val="MDPI51figurecaption"/>
        <w:jc w:val="both"/>
        <w:rPr>
          <w:b/>
          <w:lang w:val="en-GB"/>
        </w:rPr>
      </w:pPr>
      <w:r w:rsidRPr="00E17E76">
        <w:rPr>
          <w:noProof/>
          <w:lang w:eastAsia="zh-CN" w:bidi="ar-SA"/>
        </w:rPr>
        <w:drawing>
          <wp:inline distT="0" distB="0" distL="0" distR="0" wp14:anchorId="0A8BFE32" wp14:editId="0719F2A0">
            <wp:extent cx="4481763" cy="3104560"/>
            <wp:effectExtent l="0" t="0" r="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92293" cy="3111854"/>
                    </a:xfrm>
                    <a:prstGeom prst="rect">
                      <a:avLst/>
                    </a:prstGeom>
                    <a:noFill/>
                    <a:ln>
                      <a:noFill/>
                    </a:ln>
                  </pic:spPr>
                </pic:pic>
              </a:graphicData>
            </a:graphic>
          </wp:inline>
        </w:drawing>
      </w:r>
    </w:p>
    <w:p w14:paraId="77937BBA" w14:textId="4A21E8EC" w:rsidR="00160D84" w:rsidRPr="00E17E76" w:rsidRDefault="003A41A8" w:rsidP="003A41A8">
      <w:pPr>
        <w:pStyle w:val="MDPI51figurecaption"/>
        <w:jc w:val="both"/>
        <w:rPr>
          <w:lang w:val="en-GB"/>
        </w:rPr>
      </w:pPr>
      <w:r w:rsidRPr="00E17E76">
        <w:rPr>
          <w:b/>
          <w:lang w:val="en-GB"/>
        </w:rPr>
        <w:t xml:space="preserve">Figure </w:t>
      </w:r>
      <w:r w:rsidR="001A5563" w:rsidRPr="00E17E76">
        <w:rPr>
          <w:b/>
          <w:lang w:val="en-GB"/>
        </w:rPr>
        <w:t>6</w:t>
      </w:r>
      <w:r w:rsidRPr="00E17E76">
        <w:rPr>
          <w:b/>
          <w:lang w:val="en-GB"/>
        </w:rPr>
        <w:t xml:space="preserve">. </w:t>
      </w:r>
      <w:r w:rsidR="00160D84" w:rsidRPr="00E17E76">
        <w:rPr>
          <w:lang w:val="en-GB"/>
        </w:rPr>
        <w:t>The distribution of achieved goals during the 28 weeks after injection. A GAS value of 0,</w:t>
      </w:r>
      <w:r w:rsidR="00BE2D2B" w:rsidRPr="00E17E76">
        <w:rPr>
          <w:lang w:val="en-GB"/>
        </w:rPr>
        <w:t xml:space="preserve"> </w:t>
      </w:r>
      <w:r w:rsidR="00160D84" w:rsidRPr="00E17E76">
        <w:rPr>
          <w:lang w:val="en-GB"/>
        </w:rPr>
        <w:t xml:space="preserve">+1, and +2 was considered as a goal achieved and </w:t>
      </w:r>
      <w:r w:rsidR="007D0407" w:rsidRPr="00E17E76">
        <w:rPr>
          <w:lang w:val="en-GB"/>
        </w:rPr>
        <w:t xml:space="preserve">a </w:t>
      </w:r>
      <w:r w:rsidR="00160D84" w:rsidRPr="00E17E76">
        <w:rPr>
          <w:lang w:val="en-GB"/>
        </w:rPr>
        <w:t>GAS</w:t>
      </w:r>
      <w:r w:rsidR="007D0407" w:rsidRPr="00E17E76">
        <w:rPr>
          <w:lang w:val="en-GB"/>
        </w:rPr>
        <w:t xml:space="preserve"> value</w:t>
      </w:r>
      <w:r w:rsidR="00160D84" w:rsidRPr="00E17E76">
        <w:rPr>
          <w:lang w:val="en-GB"/>
        </w:rPr>
        <w:t xml:space="preserve"> of </w:t>
      </w:r>
      <w:r w:rsidR="00732A46" w:rsidRPr="00E17E76">
        <w:rPr>
          <w:lang w:val="en-GB"/>
        </w:rPr>
        <w:t>−1</w:t>
      </w:r>
      <w:r w:rsidR="00160D84" w:rsidRPr="00E17E76">
        <w:rPr>
          <w:lang w:val="en-GB"/>
        </w:rPr>
        <w:t xml:space="preserve"> and </w:t>
      </w:r>
      <w:r w:rsidR="00732A46" w:rsidRPr="00E17E76">
        <w:rPr>
          <w:lang w:val="en-GB"/>
        </w:rPr>
        <w:t>−2</w:t>
      </w:r>
      <w:r w:rsidR="00160D84" w:rsidRPr="00E17E76">
        <w:rPr>
          <w:lang w:val="en-GB"/>
        </w:rPr>
        <w:t xml:space="preserve"> were not achieved. * </w:t>
      </w:r>
      <w:proofErr w:type="gramStart"/>
      <w:r w:rsidR="007D0407" w:rsidRPr="00E17E76">
        <w:rPr>
          <w:lang w:val="en-GB"/>
        </w:rPr>
        <w:t>Than</w:t>
      </w:r>
      <w:proofErr w:type="gramEnd"/>
      <w:r w:rsidR="00160D84" w:rsidRPr="00E17E76">
        <w:rPr>
          <w:lang w:val="en-GB"/>
        </w:rPr>
        <w:t xml:space="preserve"> expected.</w:t>
      </w:r>
    </w:p>
    <w:p w14:paraId="6FFE79A4" w14:textId="3E947E1F" w:rsidR="00160D84" w:rsidRPr="00E17E76" w:rsidRDefault="003A41A8" w:rsidP="003A41A8">
      <w:pPr>
        <w:pStyle w:val="MDPI23heading3"/>
        <w:spacing w:before="240"/>
        <w:rPr>
          <w:lang w:val="en-GB"/>
        </w:rPr>
      </w:pPr>
      <w:r w:rsidRPr="00E17E76">
        <w:rPr>
          <w:lang w:val="en-GB"/>
        </w:rPr>
        <w:t xml:space="preserve">3.2.4. </w:t>
      </w:r>
      <w:r w:rsidR="00160D84" w:rsidRPr="00E17E76">
        <w:rPr>
          <w:lang w:val="en-GB"/>
        </w:rPr>
        <w:t xml:space="preserve">CPQOL (GMFCS I-II) and CPCHILD (GMFCS III–V) for Quality of </w:t>
      </w:r>
      <w:r w:rsidR="00D5661C" w:rsidRPr="00E17E76">
        <w:rPr>
          <w:lang w:val="en-GB"/>
        </w:rPr>
        <w:t>Life</w:t>
      </w:r>
    </w:p>
    <w:p w14:paraId="108D7826" w14:textId="46D2B038" w:rsidR="00160D84" w:rsidRPr="00E17E76" w:rsidRDefault="00160D84" w:rsidP="003A41A8">
      <w:pPr>
        <w:pStyle w:val="MDPI31text"/>
        <w:rPr>
          <w:lang w:val="en-GB"/>
        </w:rPr>
      </w:pPr>
      <w:r w:rsidRPr="00E17E76">
        <w:rPr>
          <w:lang w:val="en-GB"/>
        </w:rPr>
        <w:t>Quality of life evaluated by the CPchild questionnaire improved significantly at four weeks. The increase in</w:t>
      </w:r>
      <w:r w:rsidR="007D0407" w:rsidRPr="00E17E76">
        <w:rPr>
          <w:lang w:val="en-GB"/>
        </w:rPr>
        <w:t xml:space="preserve"> the</w:t>
      </w:r>
      <w:r w:rsidRPr="00E17E76">
        <w:rPr>
          <w:lang w:val="en-GB"/>
        </w:rPr>
        <w:t xml:space="preserve"> total score changed from 59.5</w:t>
      </w:r>
      <w:r w:rsidR="00BE2D2B" w:rsidRPr="00E17E76">
        <w:rPr>
          <w:lang w:val="en-GB"/>
        </w:rPr>
        <w:t>3 ± 6</w:t>
      </w:r>
      <w:r w:rsidRPr="00E17E76">
        <w:rPr>
          <w:lang w:val="en-GB"/>
        </w:rPr>
        <w:t>.94 to 63.1</w:t>
      </w:r>
      <w:r w:rsidR="00BE2D2B" w:rsidRPr="00E17E76">
        <w:rPr>
          <w:lang w:val="en-GB"/>
        </w:rPr>
        <w:t>2 ± 7</w:t>
      </w:r>
      <w:r w:rsidRPr="00E17E76">
        <w:rPr>
          <w:lang w:val="en-GB"/>
        </w:rPr>
        <w:t>.90 (</w:t>
      </w:r>
      <w:r w:rsidR="00BE2D2B" w:rsidRPr="00E17E76">
        <w:rPr>
          <w:i/>
          <w:lang w:val="en-GB"/>
        </w:rPr>
        <w:t xml:space="preserve">p </w:t>
      </w:r>
      <w:r w:rsidR="00BE2D2B" w:rsidRPr="00E17E76">
        <w:rPr>
          <w:lang w:val="en-GB"/>
        </w:rPr>
        <w:t>&lt;</w:t>
      </w:r>
      <w:r w:rsidR="00BE2D2B" w:rsidRPr="00E17E76">
        <w:rPr>
          <w:i/>
          <w:lang w:val="en-GB"/>
        </w:rPr>
        <w:t xml:space="preserve"> </w:t>
      </w:r>
      <w:r w:rsidR="00BE2D2B" w:rsidRPr="00E17E76">
        <w:rPr>
          <w:lang w:val="en-GB"/>
        </w:rPr>
        <w:t>0</w:t>
      </w:r>
      <w:r w:rsidRPr="00E17E76">
        <w:rPr>
          <w:lang w:val="en-GB"/>
        </w:rPr>
        <w:t xml:space="preserve">.001). The effects were not significantly sustained at 12 and 28 weeks when Bonferroni correction was applied (significance level after correction </w:t>
      </w:r>
      <w:r w:rsidR="00BE2D2B" w:rsidRPr="00E17E76">
        <w:rPr>
          <w:i/>
          <w:lang w:val="en-GB"/>
        </w:rPr>
        <w:t xml:space="preserve">p </w:t>
      </w:r>
      <w:r w:rsidR="00BE2D2B" w:rsidRPr="00E17E76">
        <w:rPr>
          <w:lang w:val="en-GB"/>
        </w:rPr>
        <w:t>=</w:t>
      </w:r>
      <w:r w:rsidR="00BE2D2B" w:rsidRPr="00E17E76">
        <w:rPr>
          <w:i/>
          <w:lang w:val="en-GB"/>
        </w:rPr>
        <w:t xml:space="preserve"> </w:t>
      </w:r>
      <w:r w:rsidR="00BE2D2B" w:rsidRPr="00E17E76">
        <w:rPr>
          <w:lang w:val="en-GB"/>
        </w:rPr>
        <w:t>0</w:t>
      </w:r>
      <w:r w:rsidRPr="00E17E76">
        <w:rPr>
          <w:lang w:val="en-GB"/>
        </w:rPr>
        <w:t xml:space="preserve">.016). No significant effect was seen in the seven subdomains of CPChild after </w:t>
      </w:r>
      <w:r w:rsidR="004E211A" w:rsidRPr="00E17E76">
        <w:rPr>
          <w:lang w:val="en-GB"/>
        </w:rPr>
        <w:t xml:space="preserve">the </w:t>
      </w:r>
      <w:r w:rsidRPr="00E17E76">
        <w:rPr>
          <w:lang w:val="en-GB"/>
        </w:rPr>
        <w:t xml:space="preserve">Bonferroni correction. The changes in quality </w:t>
      </w:r>
      <w:r w:rsidRPr="00E17E76">
        <w:rPr>
          <w:lang w:val="en-GB"/>
        </w:rPr>
        <w:lastRenderedPageBreak/>
        <w:t>of life by the CPChild before injection at baseline and after 4,12</w:t>
      </w:r>
      <w:r w:rsidR="004E211A" w:rsidRPr="00E17E76">
        <w:rPr>
          <w:lang w:val="en-GB"/>
        </w:rPr>
        <w:t>,</w:t>
      </w:r>
      <w:r w:rsidRPr="00E17E76">
        <w:rPr>
          <w:lang w:val="en-GB"/>
        </w:rPr>
        <w:t xml:space="preserve"> and 28 weeks are shown in </w:t>
      </w:r>
      <w:r w:rsidR="005352A8" w:rsidRPr="00E17E76">
        <w:rPr>
          <w:lang w:val="en-GB"/>
        </w:rPr>
        <w:t xml:space="preserve">Figure </w:t>
      </w:r>
      <w:r w:rsidR="00C55B31" w:rsidRPr="00E17E76">
        <w:rPr>
          <w:lang w:val="en-GB"/>
        </w:rPr>
        <w:t>5</w:t>
      </w:r>
      <w:r w:rsidRPr="00E17E76">
        <w:rPr>
          <w:lang w:val="en-GB"/>
        </w:rPr>
        <w:t>.</w:t>
      </w:r>
    </w:p>
    <w:p w14:paraId="1E470F1E" w14:textId="0FDFF84F" w:rsidR="00160D84" w:rsidRPr="00E17E76" w:rsidRDefault="00160D84" w:rsidP="003A41A8">
      <w:pPr>
        <w:pStyle w:val="MDPI31text"/>
        <w:rPr>
          <w:lang w:val="en-GB"/>
        </w:rPr>
      </w:pPr>
      <w:r w:rsidRPr="00E17E76">
        <w:rPr>
          <w:lang w:val="en-GB"/>
        </w:rPr>
        <w:t>The response rate for answering the QOL questionnaires at follow</w:t>
      </w:r>
      <w:r w:rsidR="00C55B31" w:rsidRPr="00E17E76">
        <w:rPr>
          <w:lang w:val="en-GB"/>
        </w:rPr>
        <w:t>-</w:t>
      </w:r>
      <w:r w:rsidRPr="00E17E76">
        <w:rPr>
          <w:lang w:val="en-GB"/>
        </w:rPr>
        <w:t>ups ranged from 8</w:t>
      </w:r>
      <w:r w:rsidR="002C7EF2" w:rsidRPr="00E17E76">
        <w:rPr>
          <w:lang w:val="en-GB"/>
        </w:rPr>
        <w:t>4</w:t>
      </w:r>
      <w:r w:rsidR="004E211A" w:rsidRPr="00E17E76">
        <w:rPr>
          <w:lang w:val="en-GB"/>
        </w:rPr>
        <w:t xml:space="preserve">% to </w:t>
      </w:r>
      <w:r w:rsidR="002C7EF2" w:rsidRPr="00E17E76">
        <w:rPr>
          <w:lang w:val="en-GB"/>
        </w:rPr>
        <w:t>92</w:t>
      </w:r>
      <w:r w:rsidR="00A15C19" w:rsidRPr="00E17E76">
        <w:rPr>
          <w:lang w:val="en-GB"/>
        </w:rPr>
        <w:t>%</w:t>
      </w:r>
      <w:r w:rsidRPr="00E17E76">
        <w:rPr>
          <w:lang w:val="en-GB"/>
        </w:rPr>
        <w:t xml:space="preserve"> for CPCHILD, and </w:t>
      </w:r>
      <w:r w:rsidR="004E211A" w:rsidRPr="00E17E76">
        <w:rPr>
          <w:lang w:val="en-GB"/>
        </w:rPr>
        <w:t xml:space="preserve">6 </w:t>
      </w:r>
      <w:r w:rsidRPr="00E17E76">
        <w:rPr>
          <w:lang w:val="en-GB"/>
        </w:rPr>
        <w:t xml:space="preserve">out of </w:t>
      </w:r>
      <w:r w:rsidR="004E211A" w:rsidRPr="00E17E76">
        <w:rPr>
          <w:lang w:val="en-GB"/>
        </w:rPr>
        <w:t xml:space="preserve">8 </w:t>
      </w:r>
      <w:r w:rsidRPr="00E17E76">
        <w:rPr>
          <w:lang w:val="en-GB"/>
        </w:rPr>
        <w:t>responded to the CPQOL (</w:t>
      </w:r>
      <w:r w:rsidR="004E211A" w:rsidRPr="00E17E76">
        <w:rPr>
          <w:lang w:val="en-GB"/>
        </w:rPr>
        <w:t xml:space="preserve">4 </w:t>
      </w:r>
      <w:r w:rsidRPr="00E17E76">
        <w:rPr>
          <w:lang w:val="en-GB"/>
        </w:rPr>
        <w:t xml:space="preserve">proxy-reported children and </w:t>
      </w:r>
      <w:r w:rsidR="004E211A" w:rsidRPr="00E17E76">
        <w:rPr>
          <w:lang w:val="en-GB"/>
        </w:rPr>
        <w:t xml:space="preserve">2 </w:t>
      </w:r>
      <w:r w:rsidRPr="00E17E76">
        <w:rPr>
          <w:lang w:val="en-GB"/>
        </w:rPr>
        <w:t xml:space="preserve">self-reporting teens). For CPQOL, there were improvements in 2/7 domains for </w:t>
      </w:r>
      <w:r w:rsidR="004E211A" w:rsidRPr="00E17E76">
        <w:rPr>
          <w:lang w:val="en-GB"/>
        </w:rPr>
        <w:t>caregivers’</w:t>
      </w:r>
      <w:r w:rsidRPr="00E17E76">
        <w:rPr>
          <w:lang w:val="en-GB"/>
        </w:rPr>
        <w:t xml:space="preserve"> evaluation for children and 0/5 for self-evaluation for teenagers.</w:t>
      </w:r>
    </w:p>
    <w:p w14:paraId="6ABE0461" w14:textId="5C3E3AF3" w:rsidR="00160D84" w:rsidRPr="00E17E76" w:rsidRDefault="003A41A8" w:rsidP="003A41A8">
      <w:pPr>
        <w:pStyle w:val="MDPI23heading3"/>
        <w:spacing w:before="240"/>
        <w:rPr>
          <w:lang w:val="en-GB"/>
        </w:rPr>
      </w:pPr>
      <w:r w:rsidRPr="00E17E76">
        <w:rPr>
          <w:lang w:val="en-GB"/>
        </w:rPr>
        <w:t xml:space="preserve">3.2.5. </w:t>
      </w:r>
      <w:r w:rsidR="00160D84" w:rsidRPr="00E17E76">
        <w:rPr>
          <w:lang w:val="en-GB"/>
        </w:rPr>
        <w:t xml:space="preserve">Overall </w:t>
      </w:r>
      <w:r w:rsidR="00241E36" w:rsidRPr="00E17E76">
        <w:rPr>
          <w:lang w:val="en-GB"/>
        </w:rPr>
        <w:t>Satisfaction</w:t>
      </w:r>
      <w:r w:rsidR="00160D84" w:rsidRPr="00E17E76">
        <w:rPr>
          <w:lang w:val="en-GB"/>
        </w:rPr>
        <w:t xml:space="preserve">, </w:t>
      </w:r>
      <w:r w:rsidR="00241E36" w:rsidRPr="00E17E76">
        <w:rPr>
          <w:lang w:val="en-GB"/>
        </w:rPr>
        <w:t xml:space="preserve">Impact </w:t>
      </w:r>
      <w:r w:rsidR="00160D84" w:rsidRPr="00E17E76">
        <w:rPr>
          <w:lang w:val="en-GB"/>
        </w:rPr>
        <w:t xml:space="preserve">on </w:t>
      </w:r>
      <w:r w:rsidR="00241E36" w:rsidRPr="00E17E76">
        <w:rPr>
          <w:lang w:val="en-GB"/>
        </w:rPr>
        <w:t>Activities</w:t>
      </w:r>
      <w:r w:rsidR="00160D84" w:rsidRPr="00E17E76">
        <w:rPr>
          <w:lang w:val="en-GB"/>
        </w:rPr>
        <w:t xml:space="preserve">, </w:t>
      </w:r>
      <w:r w:rsidR="00241E36" w:rsidRPr="00E17E76">
        <w:rPr>
          <w:lang w:val="en-GB"/>
        </w:rPr>
        <w:t>Additional Trea</w:t>
      </w:r>
      <w:r w:rsidR="00160D84" w:rsidRPr="00E17E76">
        <w:rPr>
          <w:lang w:val="en-GB"/>
        </w:rPr>
        <w:t>tment</w:t>
      </w:r>
      <w:r w:rsidR="004E211A" w:rsidRPr="00E17E76">
        <w:rPr>
          <w:lang w:val="en-GB"/>
        </w:rPr>
        <w:t>,</w:t>
      </w:r>
      <w:r w:rsidR="00160D84" w:rsidRPr="00E17E76">
        <w:rPr>
          <w:lang w:val="en-GB"/>
        </w:rPr>
        <w:t xml:space="preserve"> and </w:t>
      </w:r>
      <w:r w:rsidR="00241E36" w:rsidRPr="00E17E76">
        <w:rPr>
          <w:lang w:val="en-GB"/>
        </w:rPr>
        <w:t>Adverse Effects</w:t>
      </w:r>
    </w:p>
    <w:p w14:paraId="39D72297" w14:textId="77777777" w:rsidR="00C55B31" w:rsidRPr="00E17E76" w:rsidRDefault="00160D84" w:rsidP="00C55B31">
      <w:pPr>
        <w:pStyle w:val="MDPI31text"/>
        <w:rPr>
          <w:lang w:val="en-GB"/>
        </w:rPr>
      </w:pPr>
      <w:r w:rsidRPr="00E17E76">
        <w:rPr>
          <w:lang w:val="en-GB"/>
        </w:rPr>
        <w:t xml:space="preserve">Eighty-six percent of caregivers (19/22) </w:t>
      </w:r>
      <w:r w:rsidR="004E211A" w:rsidRPr="00E17E76">
        <w:rPr>
          <w:lang w:val="en-GB"/>
        </w:rPr>
        <w:t xml:space="preserve">were </w:t>
      </w:r>
      <w:r w:rsidRPr="00E17E76">
        <w:rPr>
          <w:lang w:val="en-GB"/>
        </w:rPr>
        <w:t>overall satisfied with the treatment and the effect of the treatment and 86</w:t>
      </w:r>
      <w:r w:rsidR="00A15C19" w:rsidRPr="00E17E76">
        <w:rPr>
          <w:lang w:val="en-GB"/>
        </w:rPr>
        <w:t>%</w:t>
      </w:r>
      <w:r w:rsidRPr="00E17E76">
        <w:rPr>
          <w:lang w:val="en-GB"/>
        </w:rPr>
        <w:t xml:space="preserve"> (19/22) warranted and/or had treatment again. The caregiver reported that the effect on pain began to subside or end within the period of 12 and 28 weeks (median). Table 3 shows the reported change in caregivers</w:t>
      </w:r>
      <w:r w:rsidR="004E211A" w:rsidRPr="00E17E76">
        <w:rPr>
          <w:lang w:val="en-GB"/>
        </w:rPr>
        <w:t>’</w:t>
      </w:r>
      <w:r w:rsidRPr="00E17E76">
        <w:rPr>
          <w:lang w:val="en-GB"/>
        </w:rPr>
        <w:t xml:space="preserve"> perceived effect on pain level. The caregiver reported that the pain before treatment had no impact on activities of daily living for 14</w:t>
      </w:r>
      <w:r w:rsidR="00A15C19" w:rsidRPr="00E17E76">
        <w:rPr>
          <w:lang w:val="en-GB"/>
        </w:rPr>
        <w:t>%</w:t>
      </w:r>
      <w:r w:rsidRPr="00E17E76">
        <w:rPr>
          <w:lang w:val="en-GB"/>
        </w:rPr>
        <w:t xml:space="preserve"> (3/24) and 73</w:t>
      </w:r>
      <w:r w:rsidR="00A15C19" w:rsidRPr="00E17E76">
        <w:rPr>
          <w:lang w:val="en-GB"/>
        </w:rPr>
        <w:t>%</w:t>
      </w:r>
      <w:r w:rsidRPr="00E17E76">
        <w:rPr>
          <w:lang w:val="en-GB"/>
        </w:rPr>
        <w:t xml:space="preserve"> had an impact on some or most activities (16/24) within the last week. There was a significant improvement in impact on activities at four weeks (Z =2.610, </w:t>
      </w:r>
      <w:r w:rsidR="00BE2D2B" w:rsidRPr="00E17E76">
        <w:rPr>
          <w:i/>
          <w:lang w:val="en-GB"/>
        </w:rPr>
        <w:t xml:space="preserve">p </w:t>
      </w:r>
      <w:r w:rsidR="00BE2D2B" w:rsidRPr="00E17E76">
        <w:rPr>
          <w:lang w:val="en-GB"/>
        </w:rPr>
        <w:t>=</w:t>
      </w:r>
      <w:r w:rsidR="00BE2D2B" w:rsidRPr="00E17E76">
        <w:rPr>
          <w:i/>
          <w:lang w:val="en-GB"/>
        </w:rPr>
        <w:t xml:space="preserve"> </w:t>
      </w:r>
      <w:r w:rsidR="00BE2D2B" w:rsidRPr="00E17E76">
        <w:rPr>
          <w:lang w:val="en-GB"/>
        </w:rPr>
        <w:t>0</w:t>
      </w:r>
      <w:r w:rsidRPr="00E17E76">
        <w:rPr>
          <w:lang w:val="en-GB"/>
        </w:rPr>
        <w:t>.009). This significant effect was sustained at 12 weeks (</w:t>
      </w:r>
      <w:r w:rsidR="00241E36" w:rsidRPr="00E17E76">
        <w:rPr>
          <w:lang w:val="en-GB"/>
        </w:rPr>
        <w:t>Z</w:t>
      </w:r>
      <w:r w:rsidR="00BE2D2B" w:rsidRPr="00E17E76">
        <w:rPr>
          <w:lang w:val="en-GB"/>
        </w:rPr>
        <w:t xml:space="preserve"> = 2</w:t>
      </w:r>
      <w:r w:rsidRPr="00E17E76">
        <w:rPr>
          <w:lang w:val="en-GB"/>
        </w:rPr>
        <w:t xml:space="preserve">.547, </w:t>
      </w:r>
      <w:r w:rsidR="00BE2D2B" w:rsidRPr="00E17E76">
        <w:rPr>
          <w:i/>
          <w:lang w:val="en-GB"/>
        </w:rPr>
        <w:t xml:space="preserve">p </w:t>
      </w:r>
      <w:r w:rsidR="00BE2D2B" w:rsidRPr="00E17E76">
        <w:rPr>
          <w:lang w:val="en-GB"/>
        </w:rPr>
        <w:t>=</w:t>
      </w:r>
      <w:r w:rsidR="00BE2D2B" w:rsidRPr="00E17E76">
        <w:rPr>
          <w:i/>
          <w:lang w:val="en-GB"/>
        </w:rPr>
        <w:t xml:space="preserve"> </w:t>
      </w:r>
      <w:r w:rsidR="00BE2D2B" w:rsidRPr="00E17E76">
        <w:rPr>
          <w:lang w:val="en-GB"/>
        </w:rPr>
        <w:t>0</w:t>
      </w:r>
      <w:r w:rsidRPr="00E17E76">
        <w:rPr>
          <w:lang w:val="en-GB"/>
        </w:rPr>
        <w:t>.011) and 28 weeks (</w:t>
      </w:r>
      <w:r w:rsidR="00BE2D2B" w:rsidRPr="00E17E76">
        <w:rPr>
          <w:lang w:val="en-GB"/>
        </w:rPr>
        <w:t>Z = 1</w:t>
      </w:r>
      <w:r w:rsidRPr="00E17E76">
        <w:rPr>
          <w:lang w:val="en-GB"/>
        </w:rPr>
        <w:t xml:space="preserve">.807, </w:t>
      </w:r>
      <w:r w:rsidR="00BE2D2B" w:rsidRPr="00E17E76">
        <w:rPr>
          <w:i/>
          <w:lang w:val="en-GB"/>
        </w:rPr>
        <w:t xml:space="preserve">p </w:t>
      </w:r>
      <w:r w:rsidR="00BE2D2B" w:rsidRPr="00E17E76">
        <w:rPr>
          <w:lang w:val="en-GB"/>
        </w:rPr>
        <w:t>=</w:t>
      </w:r>
      <w:r w:rsidR="00BE2D2B" w:rsidRPr="00E17E76">
        <w:rPr>
          <w:i/>
          <w:lang w:val="en-GB"/>
        </w:rPr>
        <w:t xml:space="preserve"> </w:t>
      </w:r>
      <w:r w:rsidR="00BE2D2B" w:rsidRPr="00E17E76">
        <w:rPr>
          <w:lang w:val="en-GB"/>
        </w:rPr>
        <w:t>0</w:t>
      </w:r>
      <w:r w:rsidRPr="00E17E76">
        <w:rPr>
          <w:lang w:val="en-GB"/>
        </w:rPr>
        <w:t>.07) but not significantly at 28 weeks.</w:t>
      </w:r>
    </w:p>
    <w:p w14:paraId="718A7C46" w14:textId="77777777" w:rsidR="00785CBB" w:rsidRPr="00E17E76" w:rsidRDefault="00785CBB" w:rsidP="00785CBB">
      <w:pPr>
        <w:pStyle w:val="MDPI41tablecaption"/>
        <w:jc w:val="both"/>
        <w:rPr>
          <w:snapToGrid w:val="0"/>
          <w:lang w:val="en-GB"/>
        </w:rPr>
      </w:pPr>
      <w:r w:rsidRPr="00E17E76">
        <w:rPr>
          <w:b/>
          <w:lang w:val="en-GB"/>
        </w:rPr>
        <w:t xml:space="preserve">Table 3. </w:t>
      </w:r>
      <w:r w:rsidRPr="00E17E76">
        <w:rPr>
          <w:snapToGrid w:val="0"/>
          <w:lang w:val="en-GB"/>
        </w:rPr>
        <w:t>Caregivers’ perceived effect in pain level after treatment. * two excluded due to no effect, ** seven excluded due to additional treatment with AboA, tenotomy surgery, or oral Baclofen.</w:t>
      </w:r>
    </w:p>
    <w:tbl>
      <w:tblPr>
        <w:tblW w:w="5472" w:type="dxa"/>
        <w:tblInd w:w="2608" w:type="dxa"/>
        <w:tblBorders>
          <w:top w:val="single" w:sz="12" w:space="0" w:color="008000"/>
          <w:bottom w:val="single" w:sz="12" w:space="0" w:color="008000"/>
        </w:tblBorders>
        <w:tblLayout w:type="fixed"/>
        <w:tblCellMar>
          <w:left w:w="0" w:type="dxa"/>
          <w:right w:w="0" w:type="dxa"/>
        </w:tblCellMar>
        <w:tblLook w:val="04A0" w:firstRow="1" w:lastRow="0" w:firstColumn="1" w:lastColumn="0" w:noHBand="0" w:noVBand="1"/>
      </w:tblPr>
      <w:tblGrid>
        <w:gridCol w:w="2070"/>
        <w:gridCol w:w="3402"/>
      </w:tblGrid>
      <w:tr w:rsidR="00684DEB" w:rsidRPr="00E17E76" w14:paraId="47C08EA6" w14:textId="256F5B27" w:rsidTr="00684DEB">
        <w:tc>
          <w:tcPr>
            <w:tcW w:w="2070" w:type="dxa"/>
            <w:tcBorders>
              <w:top w:val="single" w:sz="8" w:space="0" w:color="auto"/>
              <w:bottom w:val="single" w:sz="4" w:space="0" w:color="auto"/>
            </w:tcBorders>
            <w:shd w:val="clear" w:color="auto" w:fill="auto"/>
            <w:vAlign w:val="center"/>
          </w:tcPr>
          <w:p w14:paraId="354351A3" w14:textId="2BAE9421" w:rsidR="00684DEB" w:rsidRPr="00E17E76" w:rsidRDefault="00684DEB" w:rsidP="00684DEB">
            <w:pPr>
              <w:pStyle w:val="MDPI42tablebody"/>
              <w:autoSpaceDE w:val="0"/>
              <w:autoSpaceDN w:val="0"/>
              <w:rPr>
                <w:b/>
                <w:color w:val="000000" w:themeColor="text1"/>
                <w:sz w:val="18"/>
              </w:rPr>
            </w:pPr>
          </w:p>
        </w:tc>
        <w:tc>
          <w:tcPr>
            <w:tcW w:w="3402" w:type="dxa"/>
            <w:tcBorders>
              <w:top w:val="single" w:sz="8" w:space="0" w:color="auto"/>
              <w:bottom w:val="single" w:sz="4" w:space="0" w:color="auto"/>
            </w:tcBorders>
          </w:tcPr>
          <w:p w14:paraId="3C08AECD" w14:textId="6A12BE8E" w:rsidR="00684DEB" w:rsidRPr="00E17E76" w:rsidRDefault="00684DEB" w:rsidP="00684DEB">
            <w:pPr>
              <w:pStyle w:val="MDPI42tablebody"/>
              <w:autoSpaceDE w:val="0"/>
              <w:autoSpaceDN w:val="0"/>
              <w:rPr>
                <w:b/>
                <w:color w:val="000000" w:themeColor="text1"/>
                <w:sz w:val="18"/>
              </w:rPr>
            </w:pPr>
            <w:r w:rsidRPr="00E17E76">
              <w:rPr>
                <w:b/>
                <w:color w:val="000000" w:themeColor="text1"/>
                <w:sz w:val="18"/>
              </w:rPr>
              <w:t xml:space="preserve">Residual </w:t>
            </w:r>
            <w:r w:rsidR="00785CBB">
              <w:rPr>
                <w:b/>
                <w:color w:val="000000" w:themeColor="text1"/>
                <w:sz w:val="18"/>
              </w:rPr>
              <w:t>E</w:t>
            </w:r>
            <w:r w:rsidRPr="00E17E76">
              <w:rPr>
                <w:b/>
                <w:color w:val="000000" w:themeColor="text1"/>
                <w:sz w:val="18"/>
              </w:rPr>
              <w:t>ffect</w:t>
            </w:r>
          </w:p>
        </w:tc>
      </w:tr>
      <w:tr w:rsidR="00684DEB" w:rsidRPr="00E17E76" w14:paraId="4305BF8A" w14:textId="77777777" w:rsidTr="00684DEB">
        <w:tc>
          <w:tcPr>
            <w:tcW w:w="2070" w:type="dxa"/>
            <w:tcBorders>
              <w:top w:val="single" w:sz="4" w:space="0" w:color="auto"/>
              <w:bottom w:val="nil"/>
            </w:tcBorders>
            <w:shd w:val="clear" w:color="auto" w:fill="auto"/>
          </w:tcPr>
          <w:p w14:paraId="17DB070C" w14:textId="19E3103C" w:rsidR="00684DEB" w:rsidRPr="00E17E76" w:rsidRDefault="00684DEB" w:rsidP="00684DEB">
            <w:pPr>
              <w:pStyle w:val="MDPI42tablebody"/>
              <w:autoSpaceDE w:val="0"/>
              <w:autoSpaceDN w:val="0"/>
              <w:rPr>
                <w:color w:val="000000" w:themeColor="text1"/>
                <w:sz w:val="18"/>
              </w:rPr>
            </w:pPr>
            <w:r w:rsidRPr="00E17E76">
              <w:t xml:space="preserve">No initial effect </w:t>
            </w:r>
          </w:p>
        </w:tc>
        <w:tc>
          <w:tcPr>
            <w:tcW w:w="3402" w:type="dxa"/>
            <w:tcBorders>
              <w:top w:val="single" w:sz="4" w:space="0" w:color="auto"/>
              <w:bottom w:val="nil"/>
            </w:tcBorders>
          </w:tcPr>
          <w:p w14:paraId="4CDA0E03" w14:textId="2478E4A7" w:rsidR="00684DEB" w:rsidRPr="00E17E76" w:rsidRDefault="00684DEB" w:rsidP="00684DEB">
            <w:pPr>
              <w:pStyle w:val="MDPI42tablebody"/>
              <w:autoSpaceDE w:val="0"/>
              <w:autoSpaceDN w:val="0"/>
              <w:rPr>
                <w:color w:val="000000" w:themeColor="text1"/>
                <w:sz w:val="18"/>
              </w:rPr>
            </w:pPr>
            <w:r w:rsidRPr="00E17E76">
              <w:t>2</w:t>
            </w:r>
            <w:r w:rsidRPr="00E17E76">
              <w:rPr>
                <w:rFonts w:hint="eastAsia"/>
              </w:rPr>
              <w:t>/</w:t>
            </w:r>
            <w:r w:rsidRPr="00E17E76">
              <w:t>24</w:t>
            </w:r>
          </w:p>
        </w:tc>
      </w:tr>
      <w:tr w:rsidR="00684DEB" w:rsidRPr="00E17E76" w14:paraId="42F41FDD" w14:textId="77777777" w:rsidTr="00684DEB">
        <w:tc>
          <w:tcPr>
            <w:tcW w:w="2070" w:type="dxa"/>
            <w:tcBorders>
              <w:top w:val="nil"/>
              <w:bottom w:val="nil"/>
            </w:tcBorders>
            <w:shd w:val="clear" w:color="auto" w:fill="auto"/>
          </w:tcPr>
          <w:p w14:paraId="4E91DC49" w14:textId="1113E392" w:rsidR="00684DEB" w:rsidRPr="00E17E76" w:rsidRDefault="00684DEB" w:rsidP="00684DEB">
            <w:pPr>
              <w:pStyle w:val="MDPI42tablebody"/>
              <w:autoSpaceDE w:val="0"/>
              <w:autoSpaceDN w:val="0"/>
              <w:rPr>
                <w:color w:val="000000" w:themeColor="text1"/>
                <w:sz w:val="18"/>
              </w:rPr>
            </w:pPr>
            <w:r w:rsidRPr="00E17E76">
              <w:t>At 4 weeks</w:t>
            </w:r>
          </w:p>
        </w:tc>
        <w:tc>
          <w:tcPr>
            <w:tcW w:w="3402" w:type="dxa"/>
            <w:tcBorders>
              <w:top w:val="nil"/>
              <w:bottom w:val="nil"/>
            </w:tcBorders>
          </w:tcPr>
          <w:p w14:paraId="2FB540AA" w14:textId="0F69E32E" w:rsidR="00684DEB" w:rsidRPr="00E17E76" w:rsidRDefault="00684DEB" w:rsidP="00684DEB">
            <w:pPr>
              <w:pStyle w:val="MDPI42tablebody"/>
              <w:autoSpaceDE w:val="0"/>
              <w:autoSpaceDN w:val="0"/>
              <w:rPr>
                <w:color w:val="000000" w:themeColor="text1"/>
                <w:sz w:val="18"/>
              </w:rPr>
            </w:pPr>
            <w:r w:rsidRPr="00E17E76">
              <w:t>17</w:t>
            </w:r>
            <w:r w:rsidRPr="00E17E76">
              <w:rPr>
                <w:rFonts w:hint="eastAsia"/>
              </w:rPr>
              <w:t>/</w:t>
            </w:r>
            <w:r w:rsidRPr="00E17E76">
              <w:t>22 *</w:t>
            </w:r>
            <w:r w:rsidRPr="00E17E76">
              <w:rPr>
                <w:rFonts w:ascii="Calibri" w:hAnsi="Calibri" w:cs="Calibri"/>
                <w:sz w:val="22"/>
                <w:szCs w:val="22"/>
                <w:lang w:val="da-DK" w:eastAsia="da-DK"/>
              </w:rPr>
              <w:t xml:space="preserve"> </w:t>
            </w:r>
            <w:r w:rsidRPr="00E17E76">
              <w:t xml:space="preserve"> </w:t>
            </w:r>
          </w:p>
        </w:tc>
      </w:tr>
      <w:tr w:rsidR="00684DEB" w:rsidRPr="00E17E76" w14:paraId="278BE015" w14:textId="77777777" w:rsidTr="00684DEB">
        <w:tc>
          <w:tcPr>
            <w:tcW w:w="2070" w:type="dxa"/>
            <w:tcBorders>
              <w:top w:val="nil"/>
              <w:bottom w:val="nil"/>
            </w:tcBorders>
            <w:shd w:val="clear" w:color="auto" w:fill="auto"/>
          </w:tcPr>
          <w:p w14:paraId="35677F79" w14:textId="430E079E" w:rsidR="00684DEB" w:rsidRPr="00E17E76" w:rsidRDefault="00684DEB" w:rsidP="00684DEB">
            <w:pPr>
              <w:pStyle w:val="MDPI42tablebody"/>
              <w:autoSpaceDE w:val="0"/>
              <w:autoSpaceDN w:val="0"/>
              <w:rPr>
                <w:color w:val="000000" w:themeColor="text1"/>
                <w:sz w:val="18"/>
              </w:rPr>
            </w:pPr>
            <w:r w:rsidRPr="00E17E76">
              <w:t>At 12 weeks</w:t>
            </w:r>
          </w:p>
        </w:tc>
        <w:tc>
          <w:tcPr>
            <w:tcW w:w="3402" w:type="dxa"/>
            <w:tcBorders>
              <w:top w:val="nil"/>
              <w:bottom w:val="nil"/>
            </w:tcBorders>
          </w:tcPr>
          <w:p w14:paraId="5E92246A" w14:textId="518F6128" w:rsidR="00684DEB" w:rsidRPr="00E17E76" w:rsidRDefault="00684DEB" w:rsidP="00684DEB">
            <w:pPr>
              <w:pStyle w:val="MDPI42tablebody"/>
              <w:autoSpaceDE w:val="0"/>
              <w:autoSpaceDN w:val="0"/>
              <w:rPr>
                <w:color w:val="000000" w:themeColor="text1"/>
                <w:sz w:val="18"/>
              </w:rPr>
            </w:pPr>
            <w:r w:rsidRPr="00E17E76">
              <w:t>13</w:t>
            </w:r>
            <w:r w:rsidRPr="00E17E76">
              <w:rPr>
                <w:rFonts w:hint="eastAsia"/>
              </w:rPr>
              <w:t>/</w:t>
            </w:r>
            <w:r w:rsidRPr="00E17E76">
              <w:t>20</w:t>
            </w:r>
          </w:p>
        </w:tc>
      </w:tr>
      <w:tr w:rsidR="00684DEB" w:rsidRPr="00E17E76" w14:paraId="744772CB" w14:textId="77777777" w:rsidTr="00684DEB">
        <w:tc>
          <w:tcPr>
            <w:tcW w:w="2070" w:type="dxa"/>
            <w:tcBorders>
              <w:top w:val="nil"/>
              <w:bottom w:val="single" w:sz="8" w:space="0" w:color="auto"/>
            </w:tcBorders>
            <w:shd w:val="clear" w:color="auto" w:fill="auto"/>
          </w:tcPr>
          <w:p w14:paraId="414D6212" w14:textId="1F8A8934" w:rsidR="00684DEB" w:rsidRPr="00E17E76" w:rsidRDefault="00684DEB" w:rsidP="00684DEB">
            <w:pPr>
              <w:pStyle w:val="MDPI42tablebody"/>
              <w:autoSpaceDE w:val="0"/>
              <w:autoSpaceDN w:val="0"/>
              <w:rPr>
                <w:color w:val="000000" w:themeColor="text1"/>
                <w:sz w:val="18"/>
              </w:rPr>
            </w:pPr>
            <w:r w:rsidRPr="00E17E76">
              <w:t>At 28 weeks</w:t>
            </w:r>
          </w:p>
        </w:tc>
        <w:tc>
          <w:tcPr>
            <w:tcW w:w="3402" w:type="dxa"/>
            <w:tcBorders>
              <w:top w:val="nil"/>
              <w:bottom w:val="single" w:sz="8" w:space="0" w:color="auto"/>
            </w:tcBorders>
          </w:tcPr>
          <w:p w14:paraId="2ED71BE9" w14:textId="0118B399" w:rsidR="00684DEB" w:rsidRPr="00E17E76" w:rsidRDefault="00684DEB" w:rsidP="00684DEB">
            <w:pPr>
              <w:pStyle w:val="MDPI42tablebody"/>
              <w:autoSpaceDE w:val="0"/>
              <w:autoSpaceDN w:val="0"/>
              <w:rPr>
                <w:color w:val="000000" w:themeColor="text1"/>
                <w:sz w:val="18"/>
              </w:rPr>
            </w:pPr>
            <w:r w:rsidRPr="00E17E76">
              <w:t>9</w:t>
            </w:r>
            <w:r w:rsidRPr="00E17E76">
              <w:rPr>
                <w:rFonts w:hint="eastAsia"/>
              </w:rPr>
              <w:t>/</w:t>
            </w:r>
            <w:r w:rsidRPr="00E17E76">
              <w:t xml:space="preserve">15 ** </w:t>
            </w:r>
          </w:p>
        </w:tc>
      </w:tr>
    </w:tbl>
    <w:p w14:paraId="323EE90A" w14:textId="5A899287" w:rsidR="00160D84" w:rsidRPr="00E17E76" w:rsidRDefault="00160D84" w:rsidP="003A41A8">
      <w:pPr>
        <w:pStyle w:val="MDPI31text"/>
        <w:rPr>
          <w:lang w:val="en-GB"/>
        </w:rPr>
      </w:pPr>
      <w:r w:rsidRPr="00E17E76">
        <w:rPr>
          <w:lang w:val="en-GB"/>
        </w:rPr>
        <w:t xml:space="preserve">Nine subjects had additional treatment and were excluded before the end of the study. All nine received another AboA injection prematurely to 28 weeks, </w:t>
      </w:r>
      <w:r w:rsidR="004E211A" w:rsidRPr="00E17E76">
        <w:rPr>
          <w:lang w:val="en-GB"/>
        </w:rPr>
        <w:t xml:space="preserve">2 </w:t>
      </w:r>
      <w:r w:rsidRPr="00E17E76">
        <w:rPr>
          <w:lang w:val="en-GB"/>
        </w:rPr>
        <w:t xml:space="preserve">combined with either an increased dose of oral Baclofen </w:t>
      </w:r>
      <w:proofErr w:type="gramStart"/>
      <w:r w:rsidRPr="00E17E76">
        <w:rPr>
          <w:lang w:val="en-GB"/>
        </w:rPr>
        <w:t>and</w:t>
      </w:r>
      <w:proofErr w:type="gramEnd"/>
      <w:r w:rsidRPr="00E17E76">
        <w:rPr>
          <w:lang w:val="en-GB"/>
        </w:rPr>
        <w:t xml:space="preserve"> </w:t>
      </w:r>
      <w:r w:rsidR="004E211A" w:rsidRPr="00E17E76">
        <w:rPr>
          <w:lang w:val="en-GB"/>
        </w:rPr>
        <w:t xml:space="preserve">2 </w:t>
      </w:r>
      <w:r w:rsidRPr="00E17E76">
        <w:rPr>
          <w:lang w:val="en-GB"/>
        </w:rPr>
        <w:t>combined with orthopaedic muscle lengthening for two subjects.</w:t>
      </w:r>
    </w:p>
    <w:p w14:paraId="327EF003" w14:textId="00C2A81B" w:rsidR="00160D84" w:rsidRPr="00E17E76" w:rsidRDefault="00160D84" w:rsidP="003A41A8">
      <w:pPr>
        <w:pStyle w:val="MDPI31text"/>
        <w:rPr>
          <w:lang w:val="en-GB"/>
        </w:rPr>
      </w:pPr>
      <w:r w:rsidRPr="00E17E76">
        <w:rPr>
          <w:lang w:val="en-GB"/>
        </w:rPr>
        <w:t>Eleven subjects experienced adverse events during the study. In total, there were sixteen adverse events. The majority were related (12). These were temporary mild (5) and moderate (1) muscle weakness,</w:t>
      </w:r>
      <w:r w:rsidR="005352A8" w:rsidRPr="00E17E76">
        <w:rPr>
          <w:lang w:val="en-GB"/>
        </w:rPr>
        <w:t xml:space="preserve"> </w:t>
      </w:r>
      <w:r w:rsidRPr="00E17E76">
        <w:rPr>
          <w:lang w:val="en-GB"/>
        </w:rPr>
        <w:t>mild nausea (2)</w:t>
      </w:r>
      <w:r w:rsidR="004E211A" w:rsidRPr="00E17E76">
        <w:rPr>
          <w:lang w:val="en-GB"/>
        </w:rPr>
        <w:t>,</w:t>
      </w:r>
      <w:r w:rsidRPr="00E17E76">
        <w:rPr>
          <w:lang w:val="en-GB"/>
        </w:rPr>
        <w:t xml:space="preserve"> and mild soreness/local bruising (2) at the injection site. Two had moderate pain (2) at the injection site that subsided within the first week. </w:t>
      </w:r>
      <w:r w:rsidR="004E211A" w:rsidRPr="00E17E76">
        <w:rPr>
          <w:lang w:val="en-GB"/>
        </w:rPr>
        <w:t>An a</w:t>
      </w:r>
      <w:r w:rsidRPr="00E17E76">
        <w:rPr>
          <w:lang w:val="en-GB"/>
        </w:rPr>
        <w:t>dditional three caregivers reported unrelated adverse events with weight gain (1)</w:t>
      </w:r>
      <w:r w:rsidR="004E211A" w:rsidRPr="00E17E76">
        <w:rPr>
          <w:lang w:val="en-GB"/>
        </w:rPr>
        <w:t>,</w:t>
      </w:r>
      <w:r w:rsidRPr="00E17E76">
        <w:rPr>
          <w:lang w:val="en-GB"/>
        </w:rPr>
        <w:t xml:space="preserve"> mild </w:t>
      </w:r>
      <w:r w:rsidR="004E211A" w:rsidRPr="00E17E76">
        <w:rPr>
          <w:lang w:val="en-GB"/>
        </w:rPr>
        <w:t>dyspnoea</w:t>
      </w:r>
      <w:r w:rsidRPr="00E17E76">
        <w:rPr>
          <w:lang w:val="en-GB"/>
        </w:rPr>
        <w:t xml:space="preserve"> (1)</w:t>
      </w:r>
      <w:r w:rsidR="004E211A" w:rsidRPr="00E17E76">
        <w:rPr>
          <w:lang w:val="en-GB"/>
        </w:rPr>
        <w:t>,</w:t>
      </w:r>
      <w:r w:rsidRPr="00E17E76">
        <w:rPr>
          <w:lang w:val="en-GB"/>
        </w:rPr>
        <w:t xml:space="preserve"> and mild diarrhoea (1) during the study. At </w:t>
      </w:r>
      <w:r w:rsidR="004E211A" w:rsidRPr="00E17E76">
        <w:rPr>
          <w:lang w:val="en-GB"/>
        </w:rPr>
        <w:t xml:space="preserve">the </w:t>
      </w:r>
      <w:r w:rsidRPr="00E17E76">
        <w:rPr>
          <w:lang w:val="en-GB"/>
        </w:rPr>
        <w:t xml:space="preserve">study initiation, one subject (1) had an uneventful admission </w:t>
      </w:r>
      <w:r w:rsidR="004E211A" w:rsidRPr="00E17E76">
        <w:rPr>
          <w:lang w:val="en-GB"/>
        </w:rPr>
        <w:t>overnight since</w:t>
      </w:r>
      <w:r w:rsidRPr="00E17E76">
        <w:rPr>
          <w:lang w:val="en-GB"/>
        </w:rPr>
        <w:t xml:space="preserve"> the ultrasound-guided injection of AboA was delivered close to an intramuscular vessel.</w:t>
      </w:r>
      <w:r w:rsidR="005352A8" w:rsidRPr="00E17E76">
        <w:rPr>
          <w:lang w:val="en-GB"/>
        </w:rPr>
        <w:t xml:space="preserve"> </w:t>
      </w:r>
      <w:r w:rsidRPr="00E17E76">
        <w:rPr>
          <w:lang w:val="en-GB"/>
        </w:rPr>
        <w:t>This was classified as a serious adverse event. There was otherwise no expected or unexpected serious adverse events or reactions.</w:t>
      </w:r>
    </w:p>
    <w:p w14:paraId="4ACA7297" w14:textId="77777777" w:rsidR="00160D84" w:rsidRPr="00E17E76" w:rsidRDefault="003A41A8" w:rsidP="003A41A8">
      <w:pPr>
        <w:pStyle w:val="MDPI21heading1"/>
        <w:rPr>
          <w:lang w:val="en-GB"/>
        </w:rPr>
      </w:pPr>
      <w:r w:rsidRPr="00E17E76">
        <w:rPr>
          <w:lang w:val="en-GB"/>
        </w:rPr>
        <w:t xml:space="preserve">4. </w:t>
      </w:r>
      <w:r w:rsidR="00160D84" w:rsidRPr="00E17E76">
        <w:rPr>
          <w:lang w:val="en-GB"/>
        </w:rPr>
        <w:t>Discussion</w:t>
      </w:r>
    </w:p>
    <w:p w14:paraId="539AD9FB" w14:textId="10FDE8DF" w:rsidR="00160D84" w:rsidRPr="00E17E76" w:rsidRDefault="00160D84" w:rsidP="003A41A8">
      <w:pPr>
        <w:pStyle w:val="MDPI31text"/>
        <w:rPr>
          <w:lang w:val="en-GB"/>
        </w:rPr>
      </w:pPr>
      <w:r w:rsidRPr="00E17E76">
        <w:rPr>
          <w:lang w:val="en-GB"/>
        </w:rPr>
        <w:t>In this study, we found a significant and clinically meaningful pain-relieving effect after one injection treatment of Abobotulinum toxin A (Dysport</w:t>
      </w:r>
      <w:r w:rsidR="005352A8" w:rsidRPr="00E17E76">
        <w:rPr>
          <w:vertAlign w:val="superscript"/>
          <w:lang w:val="en-GB"/>
        </w:rPr>
        <w:t>®</w:t>
      </w:r>
      <w:r w:rsidRPr="00E17E76">
        <w:rPr>
          <w:lang w:val="en-GB"/>
        </w:rPr>
        <w:t xml:space="preserve">) for localized and daily pain. The measured effect was highest at </w:t>
      </w:r>
      <w:r w:rsidR="00B46069" w:rsidRPr="00E17E76">
        <w:rPr>
          <w:lang w:val="en-GB"/>
        </w:rPr>
        <w:t xml:space="preserve">4 </w:t>
      </w:r>
      <w:r w:rsidRPr="00E17E76">
        <w:rPr>
          <w:lang w:val="en-GB"/>
        </w:rPr>
        <w:t xml:space="preserve">weeks, which was significantly maintained at 28 weeks. The effect on pain was sustained significantly during the study, but the clinical meaningful peaked at four weeks and was maintained at 12 weeks. The effect subsided between 12 and 28 weeks, hence several patients requested another treatment. It seemed ethically unviable to continue the observation period since the treatment had a major effect on the ability to participate, physical activity and general well-being and we felt obliged to re-treat them. The patients that completed the study had less pain at 28 weeks than initially, but pain </w:t>
      </w:r>
      <w:r w:rsidR="00B46069" w:rsidRPr="00E17E76">
        <w:rPr>
          <w:lang w:val="en-GB"/>
        </w:rPr>
        <w:t>re-emerged</w:t>
      </w:r>
      <w:r w:rsidRPr="00E17E76">
        <w:rPr>
          <w:lang w:val="en-GB"/>
        </w:rPr>
        <w:t xml:space="preserve"> after 12 weeks in general.</w:t>
      </w:r>
      <w:r w:rsidR="005352A8" w:rsidRPr="00E17E76">
        <w:rPr>
          <w:lang w:val="en-GB"/>
        </w:rPr>
        <w:t xml:space="preserve"> </w:t>
      </w:r>
      <w:r w:rsidRPr="00E17E76">
        <w:rPr>
          <w:lang w:val="en-GB"/>
        </w:rPr>
        <w:t xml:space="preserve">We had two late responders with effect when measured at 12 weeks and one had a lasting effect over one year. The </w:t>
      </w:r>
      <w:r w:rsidRPr="00E17E76">
        <w:rPr>
          <w:lang w:val="en-GB"/>
        </w:rPr>
        <w:lastRenderedPageBreak/>
        <w:t>pain reduction also mediated significant and clinically meaningful patient-relevant functional improvement as well as an impact on quality of life at four weeks.</w:t>
      </w:r>
    </w:p>
    <w:p w14:paraId="76A944D4" w14:textId="77DB710D" w:rsidR="00160D84" w:rsidRPr="00E17E76" w:rsidRDefault="00160D84" w:rsidP="003A41A8">
      <w:pPr>
        <w:pStyle w:val="MDPI31text"/>
        <w:rPr>
          <w:lang w:val="en-GB"/>
        </w:rPr>
      </w:pPr>
      <w:r w:rsidRPr="00E17E76">
        <w:rPr>
          <w:lang w:val="en-GB"/>
        </w:rPr>
        <w:t xml:space="preserve">This is the first study to evaluate the effect of a single injection of AboA on pain with several dimensions of pain, </w:t>
      </w:r>
      <w:r w:rsidR="00B46069" w:rsidRPr="00E17E76">
        <w:rPr>
          <w:lang w:val="en-GB"/>
        </w:rPr>
        <w:t>function,</w:t>
      </w:r>
      <w:r w:rsidRPr="00E17E76">
        <w:rPr>
          <w:lang w:val="en-GB"/>
        </w:rPr>
        <w:t xml:space="preserve"> and quality of life. This study evaluated the pain over a longer period than previous studies, thus enabling us to establish a clinical meaningful pain-reducing effect at least after 12 weeks. Previous studies have demonstrated an effect for spasticity for a period of less than 2</w:t>
      </w:r>
      <w:r w:rsidR="002C7EF2" w:rsidRPr="00E17E76">
        <w:rPr>
          <w:lang w:val="en-GB"/>
        </w:rPr>
        <w:t>3–28</w:t>
      </w:r>
      <w:r w:rsidRPr="00E17E76">
        <w:rPr>
          <w:lang w:val="en-GB"/>
        </w:rPr>
        <w:t xml:space="preserve"> weeks [36,37], thus we chose to evaluate for pain at 28 weeks to supersede this period and capture when the pain would subside.</w:t>
      </w:r>
    </w:p>
    <w:p w14:paraId="56C26044" w14:textId="10CDA0AE" w:rsidR="00160D84" w:rsidRPr="00E17E76" w:rsidRDefault="00160D84" w:rsidP="003A41A8">
      <w:pPr>
        <w:pStyle w:val="MDPI31text"/>
        <w:rPr>
          <w:lang w:val="en-GB"/>
        </w:rPr>
      </w:pPr>
      <w:r w:rsidRPr="00E17E76">
        <w:rPr>
          <w:lang w:val="en-GB"/>
        </w:rPr>
        <w:t>Though the pain-relieving effect has been established in four prospective placebo randomized trials for children with CP [8,22,24,25]</w:t>
      </w:r>
      <w:r w:rsidR="00B46069" w:rsidRPr="00E17E76">
        <w:rPr>
          <w:lang w:val="en-GB"/>
        </w:rPr>
        <w:t>,</w:t>
      </w:r>
      <w:r w:rsidRPr="00E17E76">
        <w:rPr>
          <w:lang w:val="en-GB"/>
        </w:rPr>
        <w:t xml:space="preserve"> Tilton et al. (2017) demonstrated pain reduction as a secondary and surrogate endpoint using the goal attainment scale [24]. Barwood et al. (2000) found a 74% reduction in pain and pain medication for children in an operative setting [22]. Copeland et al. (2014) found a significant reduction of one-third in PPP four weeks after injection but was unable to detect a significant reduction in PPP when compared to a sham injection in a subgroup of patients with mild pain. In this study, pain was not the primary indication for treatment and was evaluated as a secondary endpoint [8]. We found a 44% and 32% reduction in r-FLACC and PPP, respectively. Rivard et al</w:t>
      </w:r>
      <w:r w:rsidR="005352A8" w:rsidRPr="00E17E76">
        <w:rPr>
          <w:lang w:val="en-GB"/>
        </w:rPr>
        <w:t>.</w:t>
      </w:r>
      <w:r w:rsidRPr="00E17E76">
        <w:rPr>
          <w:lang w:val="en-GB"/>
        </w:rPr>
        <w:t xml:space="preserve"> (2009) used telephone interviews for pain evaluation and found that 62% of parent-proxies reported that their children did not experience pain one month after AboA injections when compared to </w:t>
      </w:r>
      <w:r w:rsidR="00B46069" w:rsidRPr="00E17E76">
        <w:rPr>
          <w:lang w:val="en-GB"/>
        </w:rPr>
        <w:t xml:space="preserve">the </w:t>
      </w:r>
      <w:r w:rsidRPr="00E17E76">
        <w:rPr>
          <w:lang w:val="en-GB"/>
        </w:rPr>
        <w:t>placebo [23]. Two previous studies have reported a reduction in PPP after a single injection of AboA of 34</w:t>
      </w:r>
      <w:r w:rsidR="00A15C19" w:rsidRPr="00E17E76">
        <w:rPr>
          <w:lang w:val="en-GB"/>
        </w:rPr>
        <w:t>%</w:t>
      </w:r>
      <w:r w:rsidRPr="00E17E76">
        <w:rPr>
          <w:lang w:val="en-GB"/>
        </w:rPr>
        <w:t xml:space="preserve"> and 17</w:t>
      </w:r>
      <w:r w:rsidR="00241E36" w:rsidRPr="00E17E76">
        <w:rPr>
          <w:lang w:val="en-GB"/>
        </w:rPr>
        <w:t>%</w:t>
      </w:r>
      <w:r w:rsidRPr="00E17E76">
        <w:rPr>
          <w:lang w:val="en-GB"/>
        </w:rPr>
        <w:t xml:space="preserve"> at four and sixteen weeks [8] and</w:t>
      </w:r>
      <w:r w:rsidR="005352A8" w:rsidRPr="00E17E76">
        <w:rPr>
          <w:lang w:val="en-GB"/>
        </w:rPr>
        <w:t xml:space="preserve"> </w:t>
      </w:r>
      <w:r w:rsidRPr="00E17E76">
        <w:rPr>
          <w:lang w:val="en-GB"/>
        </w:rPr>
        <w:t>81</w:t>
      </w:r>
      <w:r w:rsidR="00241E36" w:rsidRPr="00E17E76">
        <w:rPr>
          <w:lang w:val="en-GB"/>
        </w:rPr>
        <w:t>%</w:t>
      </w:r>
      <w:r w:rsidR="005352A8" w:rsidRPr="00E17E76">
        <w:rPr>
          <w:lang w:val="en-GB"/>
        </w:rPr>
        <w:t xml:space="preserve"> </w:t>
      </w:r>
      <w:r w:rsidRPr="00E17E76">
        <w:rPr>
          <w:lang w:val="en-GB"/>
        </w:rPr>
        <w:t>at 12 weeks [18]. We demonstrated a</w:t>
      </w:r>
      <w:r w:rsidR="005352A8" w:rsidRPr="00E17E76">
        <w:rPr>
          <w:lang w:val="en-GB"/>
        </w:rPr>
        <w:t xml:space="preserve"> </w:t>
      </w:r>
      <w:r w:rsidRPr="00E17E76">
        <w:rPr>
          <w:lang w:val="en-GB"/>
        </w:rPr>
        <w:t>pain reduction in PPP with 32</w:t>
      </w:r>
      <w:r w:rsidR="00241E36" w:rsidRPr="00E17E76">
        <w:rPr>
          <w:lang w:val="en-GB"/>
        </w:rPr>
        <w:t>%</w:t>
      </w:r>
      <w:r w:rsidRPr="00E17E76">
        <w:rPr>
          <w:lang w:val="en-GB"/>
        </w:rPr>
        <w:t xml:space="preserve"> and 25</w:t>
      </w:r>
      <w:r w:rsidR="00241E36" w:rsidRPr="00E17E76">
        <w:rPr>
          <w:lang w:val="en-GB"/>
        </w:rPr>
        <w:t>%</w:t>
      </w:r>
      <w:r w:rsidRPr="00E17E76">
        <w:rPr>
          <w:lang w:val="en-GB"/>
        </w:rPr>
        <w:t xml:space="preserve"> at four and 12 weeks, respectively. Both studies also evaluated functional effects. Using the Canadian Occupational Performance Measure, Copeland et al. (2014) demonstrated faster and longer-lasting improvements in ease of care and comfort, tolerating splints</w:t>
      </w:r>
      <w:r w:rsidR="00B46069" w:rsidRPr="00E17E76">
        <w:rPr>
          <w:lang w:val="en-GB"/>
        </w:rPr>
        <w:t>,</w:t>
      </w:r>
      <w:r w:rsidRPr="00E17E76">
        <w:rPr>
          <w:lang w:val="en-GB"/>
        </w:rPr>
        <w:t xml:space="preserve"> and hygiene [8].</w:t>
      </w:r>
      <w:r w:rsidR="005352A8" w:rsidRPr="00E17E76">
        <w:rPr>
          <w:lang w:val="en-GB"/>
        </w:rPr>
        <w:t xml:space="preserve"> </w:t>
      </w:r>
      <w:r w:rsidRPr="00E17E76">
        <w:rPr>
          <w:lang w:val="en-GB"/>
        </w:rPr>
        <w:t>Though these effects were not maintained at sixteen weeks. Lundy et al</w:t>
      </w:r>
      <w:r w:rsidR="005352A8" w:rsidRPr="00E17E76">
        <w:rPr>
          <w:lang w:val="en-GB"/>
        </w:rPr>
        <w:t>.</w:t>
      </w:r>
      <w:r w:rsidRPr="00E17E76">
        <w:rPr>
          <w:lang w:val="en-GB"/>
        </w:rPr>
        <w:t xml:space="preserve"> (2009) used GAS and found patients improved in sleeping, seating, </w:t>
      </w:r>
      <w:r w:rsidR="00B46069" w:rsidRPr="00E17E76">
        <w:rPr>
          <w:lang w:val="en-GB"/>
        </w:rPr>
        <w:t>handling,</w:t>
      </w:r>
      <w:r w:rsidRPr="00E17E76">
        <w:rPr>
          <w:lang w:val="en-GB"/>
        </w:rPr>
        <w:t xml:space="preserve"> and movement, which subsequently led to a perceived improvement in developmental achievements [18]. We concur with the above study with similar findings with significant functional improvements for sleep, mobility-related goals</w:t>
      </w:r>
      <w:r w:rsidR="00B46069" w:rsidRPr="00E17E76">
        <w:rPr>
          <w:lang w:val="en-GB"/>
        </w:rPr>
        <w:t>,</w:t>
      </w:r>
      <w:r w:rsidRPr="00E17E76">
        <w:rPr>
          <w:lang w:val="en-GB"/>
        </w:rPr>
        <w:t xml:space="preserve"> and specific pain-related problems when evaluated by GAS. These functional improvements seem to be maintained when the pain-relieving effect subsided.</w:t>
      </w:r>
    </w:p>
    <w:p w14:paraId="79F3F63A" w14:textId="1E57E3AB" w:rsidR="00160D84" w:rsidRPr="00E17E76" w:rsidRDefault="00160D84" w:rsidP="003A41A8">
      <w:pPr>
        <w:pStyle w:val="MDPI31text"/>
        <w:rPr>
          <w:lang w:val="en-GB"/>
        </w:rPr>
      </w:pPr>
      <w:r w:rsidRPr="00E17E76">
        <w:rPr>
          <w:lang w:val="en-GB"/>
        </w:rPr>
        <w:t>In our study, QOL improved significantly at four weeks. The effect on QOL was not maintained at 12 and 28 weeks as well as for the subdomains of CPChild after Bonferonni correction. Our results for CPQOL were diverse without clear improvements. Our findings concur with Copeland et al., who also only demonstrated significant improvement in CPCHILD at four weeks, but not at sixteen weeks in either CPQOL or CPCHILD [8]. Though they found children had improvements in specific aspects of their life, this was not reflected in a general</w:t>
      </w:r>
      <w:r w:rsidR="00E81F87" w:rsidRPr="00E17E76">
        <w:rPr>
          <w:lang w:val="en-GB"/>
        </w:rPr>
        <w:t>,</w:t>
      </w:r>
      <w:r w:rsidRPr="00E17E76">
        <w:rPr>
          <w:lang w:val="en-GB"/>
        </w:rPr>
        <w:t xml:space="preserve"> more holistic measure of wellbeing across broad domains. We observed that patient satisfaction was most evident in children</w:t>
      </w:r>
      <w:r w:rsidR="00E81F87" w:rsidRPr="00E17E76">
        <w:rPr>
          <w:lang w:val="en-GB"/>
        </w:rPr>
        <w:t>,</w:t>
      </w:r>
      <w:r w:rsidRPr="00E17E76">
        <w:rPr>
          <w:lang w:val="en-GB"/>
        </w:rPr>
        <w:t xml:space="preserve"> who expressed that their pain influenced their life negatively and when having higher pain intensities. After four weeks, caregivers spontaneously shared that they now realized how much their child’s pain had affected their life and saw </w:t>
      </w:r>
      <w:r w:rsidR="00E81F87" w:rsidRPr="00E17E76">
        <w:rPr>
          <w:lang w:val="en-GB"/>
        </w:rPr>
        <w:t>those lost functions</w:t>
      </w:r>
      <w:r w:rsidRPr="00E17E76">
        <w:rPr>
          <w:lang w:val="en-GB"/>
        </w:rPr>
        <w:t xml:space="preserve"> returned after approximately one week. These improvements were unexpected. This was reflected in our high overall satisfaction which led some caregivers to warrant another treatment. However, the pain-relieving effect subsided after 12 weeks, and we noticed that caregivers vigilantly pursued another treatment to a degree that we have not experienced when treating spasticity.</w:t>
      </w:r>
    </w:p>
    <w:p w14:paraId="1F3A13FF" w14:textId="3C8284D4" w:rsidR="00160D84" w:rsidRPr="00E17E76" w:rsidRDefault="00160D84" w:rsidP="003A41A8">
      <w:pPr>
        <w:pStyle w:val="MDPI31text"/>
        <w:rPr>
          <w:lang w:val="en-GB"/>
        </w:rPr>
      </w:pPr>
      <w:r w:rsidRPr="00E17E76">
        <w:rPr>
          <w:lang w:val="en-GB"/>
        </w:rPr>
        <w:t xml:space="preserve">In conclusion, a significant localized and daily pain reduction was seen from baseline to 28 weeks after treatment with AboA. This facilitated functional gains at 12 weeks as well as the quality of life at </w:t>
      </w:r>
      <w:r w:rsidR="00E81F87" w:rsidRPr="00E17E76">
        <w:rPr>
          <w:lang w:val="en-GB"/>
        </w:rPr>
        <w:t xml:space="preserve">4 </w:t>
      </w:r>
      <w:r w:rsidRPr="00E17E76">
        <w:rPr>
          <w:lang w:val="en-GB"/>
        </w:rPr>
        <w:t>weeks after treatment. Our results are in concurrence with previous studies, but in general, our improvements in dimensions of pain were (slightly) less. In this study, AboA injections had a clinical meaningful pain-reducing effect at 12 weeks which then subsided. We agree with Copland et al</w:t>
      </w:r>
      <w:r w:rsidR="005352A8" w:rsidRPr="00E17E76">
        <w:rPr>
          <w:lang w:val="en-GB"/>
        </w:rPr>
        <w:t>.</w:t>
      </w:r>
      <w:r w:rsidRPr="00E17E76">
        <w:rPr>
          <w:lang w:val="en-GB"/>
        </w:rPr>
        <w:t xml:space="preserve"> (2014) that therapy </w:t>
      </w:r>
      <w:r w:rsidR="00E81F87" w:rsidRPr="00E17E76">
        <w:rPr>
          <w:lang w:val="en-GB"/>
        </w:rPr>
        <w:t>provides</w:t>
      </w:r>
      <w:r w:rsidRPr="00E17E76">
        <w:rPr>
          <w:lang w:val="en-GB"/>
        </w:rPr>
        <w:t xml:space="preserve"> </w:t>
      </w:r>
      <w:r w:rsidRPr="00E17E76">
        <w:rPr>
          <w:lang w:val="en-GB"/>
        </w:rPr>
        <w:lastRenderedPageBreak/>
        <w:t>these gains, but even better results can be achieved by caregivers</w:t>
      </w:r>
      <w:r w:rsidR="00E81F87" w:rsidRPr="00E17E76">
        <w:rPr>
          <w:lang w:val="en-GB"/>
        </w:rPr>
        <w:t>’</w:t>
      </w:r>
      <w:r w:rsidRPr="00E17E76">
        <w:rPr>
          <w:lang w:val="en-GB"/>
        </w:rPr>
        <w:t xml:space="preserve"> involvement or by adding other specific pain reduction therapies [8]. In our experience, the need for injection therapy reoccurs after 12 weeks when the clinical meaningful (but not statistical) effect subsides. In this study, we also noticed two </w:t>
      </w:r>
      <w:r w:rsidR="00E81F87" w:rsidRPr="00E17E76">
        <w:rPr>
          <w:lang w:val="en-GB"/>
        </w:rPr>
        <w:t>late responders</w:t>
      </w:r>
      <w:r w:rsidRPr="00E17E76">
        <w:rPr>
          <w:lang w:val="en-GB"/>
        </w:rPr>
        <w:t xml:space="preserve"> (2/22), where the effects occurred when evaluated at 12 weeks and where no other interventions could explain this. This discouraged the subjects and caregivers initially, but eventually, they reached similar levels of satisfaction as the other participants. Nine subjects reported no pain or less pain at the end of the study, but muscle tightness reoccurred and declined in the attained functional improvements.</w:t>
      </w:r>
    </w:p>
    <w:p w14:paraId="121DDA1B" w14:textId="5303766F" w:rsidR="00160D84" w:rsidRPr="00E17E76" w:rsidRDefault="00160D84" w:rsidP="003A41A8">
      <w:pPr>
        <w:pStyle w:val="MDPI31text"/>
        <w:rPr>
          <w:lang w:val="en-GB"/>
        </w:rPr>
      </w:pPr>
      <w:bookmarkStart w:id="5" w:name="_Hlk90027353"/>
      <w:r w:rsidRPr="00E17E76">
        <w:rPr>
          <w:lang w:val="en-GB"/>
        </w:rPr>
        <w:t xml:space="preserve">Since previous studies already have demonstrated a pain-reducing effect of botulinumtoxinA, using a placebo control group could be construed as unethical. </w:t>
      </w:r>
      <w:bookmarkEnd w:id="5"/>
      <w:r w:rsidRPr="00E17E76">
        <w:rPr>
          <w:lang w:val="en-GB"/>
        </w:rPr>
        <w:t>One might argue that the pain-relieving effects in this study could be ascribed to placebo, but the magnitude of pain reduction response and consistency of effects across almost all en</w:t>
      </w:r>
      <w:r w:rsidR="00C23278" w:rsidRPr="00E17E76">
        <w:rPr>
          <w:lang w:val="en-GB"/>
        </w:rPr>
        <w:t>d</w:t>
      </w:r>
      <w:r w:rsidRPr="00E17E76">
        <w:rPr>
          <w:lang w:val="en-GB"/>
        </w:rPr>
        <w:t>points contradict this. Previously, it has already been construed that using a placebo design would be ethically unfeasible due to this apparent good and documented effect [23]. The choice of preparation of botulinumtoxinA was considered less important since Lundy et al. (2009) demonstrated them to be equipotent [18]. The pain reduction could</w:t>
      </w:r>
      <w:r w:rsidR="00C23278" w:rsidRPr="00E17E76">
        <w:rPr>
          <w:lang w:val="en-GB"/>
        </w:rPr>
        <w:t>,</w:t>
      </w:r>
      <w:r w:rsidRPr="00E17E76">
        <w:rPr>
          <w:lang w:val="en-GB"/>
        </w:rPr>
        <w:t xml:space="preserve"> in principle</w:t>
      </w:r>
      <w:r w:rsidR="00C23278" w:rsidRPr="00E17E76">
        <w:rPr>
          <w:lang w:val="en-GB"/>
        </w:rPr>
        <w:t>,</w:t>
      </w:r>
      <w:r w:rsidRPr="00E17E76">
        <w:rPr>
          <w:lang w:val="en-GB"/>
        </w:rPr>
        <w:t xml:space="preserve"> be ascribed to other pain-relieving medication. However, no such changes occurred at the four</w:t>
      </w:r>
      <w:r w:rsidR="0037298C" w:rsidRPr="00E17E76">
        <w:rPr>
          <w:lang w:val="en-GB"/>
        </w:rPr>
        <w:t>-</w:t>
      </w:r>
      <w:r w:rsidRPr="00E17E76">
        <w:rPr>
          <w:lang w:val="en-GB"/>
        </w:rPr>
        <w:t xml:space="preserve">week follow up, except for one patient, who discontinued the oral muscle relaxant (Baclofen) </w:t>
      </w:r>
      <w:r w:rsidR="00C23278" w:rsidRPr="00E17E76">
        <w:rPr>
          <w:lang w:val="en-GB"/>
        </w:rPr>
        <w:t>because of</w:t>
      </w:r>
      <w:r w:rsidRPr="00E17E76">
        <w:rPr>
          <w:lang w:val="en-GB"/>
        </w:rPr>
        <w:t xml:space="preserve"> the study. Two patients increased oral Baclofen before the 12-week follow</w:t>
      </w:r>
      <w:r w:rsidR="00C23278" w:rsidRPr="00E17E76">
        <w:rPr>
          <w:lang w:val="en-GB"/>
        </w:rPr>
        <w:t xml:space="preserve"> </w:t>
      </w:r>
      <w:r w:rsidRPr="00E17E76">
        <w:rPr>
          <w:lang w:val="en-GB"/>
        </w:rPr>
        <w:t>up,</w:t>
      </w:r>
      <w:r w:rsidR="005352A8" w:rsidRPr="00E17E76">
        <w:rPr>
          <w:lang w:val="en-GB"/>
        </w:rPr>
        <w:t xml:space="preserve"> </w:t>
      </w:r>
      <w:r w:rsidRPr="00E17E76">
        <w:rPr>
          <w:lang w:val="en-GB"/>
        </w:rPr>
        <w:t xml:space="preserve">when the pain-relieving effect of AboA subsided, which led to their measurements being discarded henceforward. At inclusion, the subjects were already optimized in their pharmacological treatment, which was prescribed by their treating </w:t>
      </w:r>
      <w:r w:rsidR="00C23278" w:rsidRPr="00E17E76">
        <w:rPr>
          <w:lang w:val="en-GB"/>
        </w:rPr>
        <w:t>paediatric</w:t>
      </w:r>
      <w:r w:rsidRPr="00E17E76">
        <w:rPr>
          <w:lang w:val="en-GB"/>
        </w:rPr>
        <w:t xml:space="preserve"> physician. We considered them refractory to the ‘best practice of pharmacological pain treatment’.</w:t>
      </w:r>
    </w:p>
    <w:p w14:paraId="1E4507B1" w14:textId="48B6F687" w:rsidR="00160D84" w:rsidRPr="00E17E76" w:rsidRDefault="00160D84" w:rsidP="003A41A8">
      <w:pPr>
        <w:pStyle w:val="MDPI31text"/>
        <w:rPr>
          <w:lang w:val="en-GB"/>
        </w:rPr>
      </w:pPr>
      <w:r w:rsidRPr="00E17E76">
        <w:rPr>
          <w:lang w:val="en-GB"/>
        </w:rPr>
        <w:t xml:space="preserve">Using an observational pain evaluation as the r-FLACC might induce reporting bias, since we were unable to blind the evaluation as well as </w:t>
      </w:r>
      <w:r w:rsidR="00C23278" w:rsidRPr="00E17E76">
        <w:rPr>
          <w:lang w:val="en-GB"/>
        </w:rPr>
        <w:t>the</w:t>
      </w:r>
      <w:r w:rsidRPr="00E17E76">
        <w:rPr>
          <w:lang w:val="en-GB"/>
        </w:rPr>
        <w:t xml:space="preserve"> risk of </w:t>
      </w:r>
      <w:r w:rsidR="00C23278" w:rsidRPr="00E17E76">
        <w:rPr>
          <w:lang w:val="en-GB"/>
        </w:rPr>
        <w:t xml:space="preserve">a </w:t>
      </w:r>
      <w:r w:rsidRPr="00E17E76">
        <w:rPr>
          <w:lang w:val="en-GB"/>
        </w:rPr>
        <w:t xml:space="preserve">type </w:t>
      </w:r>
      <w:r w:rsidR="00C23278" w:rsidRPr="00E17E76">
        <w:rPr>
          <w:lang w:val="en-GB"/>
        </w:rPr>
        <w:t>one</w:t>
      </w:r>
      <w:r w:rsidRPr="00E17E76">
        <w:rPr>
          <w:lang w:val="en-GB"/>
        </w:rPr>
        <w:t xml:space="preserve"> error due to the numerous evaluated parameters. We utilized a systematic setup for this pain evaluation using video recording.</w:t>
      </w:r>
      <w:r w:rsidR="005352A8" w:rsidRPr="00E17E76">
        <w:rPr>
          <w:lang w:val="en-GB"/>
        </w:rPr>
        <w:t xml:space="preserve"> </w:t>
      </w:r>
      <w:r w:rsidRPr="00E17E76">
        <w:rPr>
          <w:lang w:val="en-GB"/>
        </w:rPr>
        <w:t xml:space="preserve">This enabled us to perform valuable </w:t>
      </w:r>
      <w:r w:rsidR="00C23278" w:rsidRPr="00E17E76">
        <w:rPr>
          <w:lang w:val="en-GB"/>
        </w:rPr>
        <w:t>re-evaluations</w:t>
      </w:r>
      <w:r w:rsidRPr="00E17E76">
        <w:rPr>
          <w:lang w:val="en-GB"/>
        </w:rPr>
        <w:t xml:space="preserve"> retrospectively as well as discover discrete signs of pain in facial micro-expressions </w:t>
      </w:r>
      <w:r w:rsidR="00C23278" w:rsidRPr="00E17E76">
        <w:rPr>
          <w:lang w:val="en-GB"/>
        </w:rPr>
        <w:t xml:space="preserve">that </w:t>
      </w:r>
      <w:r w:rsidRPr="00E17E76">
        <w:rPr>
          <w:lang w:val="en-GB"/>
        </w:rPr>
        <w:t xml:space="preserve">otherwise easily would be missed. One rater examined the </w:t>
      </w:r>
      <w:r w:rsidR="00C23278" w:rsidRPr="00E17E76">
        <w:rPr>
          <w:lang w:val="en-GB"/>
        </w:rPr>
        <w:t>subjects,</w:t>
      </w:r>
      <w:r w:rsidRPr="00E17E76">
        <w:rPr>
          <w:lang w:val="en-GB"/>
        </w:rPr>
        <w:t xml:space="preserve"> and one rater always evaluated all videos for a specific patient to ensure consistency</w:t>
      </w:r>
      <w:r w:rsidR="00C23278" w:rsidRPr="00E17E76">
        <w:rPr>
          <w:lang w:val="en-GB"/>
        </w:rPr>
        <w:t>.</w:t>
      </w:r>
      <w:r w:rsidRPr="00E17E76">
        <w:rPr>
          <w:lang w:val="en-GB"/>
        </w:rPr>
        <w:t xml:space="preserve"> We accustomed oursel</w:t>
      </w:r>
      <w:r w:rsidR="00C23278" w:rsidRPr="00E17E76">
        <w:rPr>
          <w:lang w:val="en-GB"/>
        </w:rPr>
        <w:t>ves</w:t>
      </w:r>
      <w:r w:rsidRPr="00E17E76">
        <w:rPr>
          <w:lang w:val="en-GB"/>
        </w:rPr>
        <w:t xml:space="preserve"> to describe our observations orally during recording, which was valuable when re</w:t>
      </w:r>
      <w:r w:rsidR="00C23278" w:rsidRPr="00E17E76">
        <w:rPr>
          <w:lang w:val="en-GB"/>
        </w:rPr>
        <w:t>-</w:t>
      </w:r>
      <w:r w:rsidRPr="00E17E76">
        <w:rPr>
          <w:lang w:val="en-GB"/>
        </w:rPr>
        <w:t xml:space="preserve">evaluating the videos. To reduce </w:t>
      </w:r>
      <w:r w:rsidR="00C23278" w:rsidRPr="00E17E76">
        <w:rPr>
          <w:lang w:val="en-GB"/>
        </w:rPr>
        <w:t xml:space="preserve">the risk of a </w:t>
      </w:r>
      <w:r w:rsidRPr="00E17E76">
        <w:rPr>
          <w:lang w:val="en-GB"/>
        </w:rPr>
        <w:t xml:space="preserve">type </w:t>
      </w:r>
      <w:r w:rsidR="00C23278" w:rsidRPr="00E17E76">
        <w:rPr>
          <w:lang w:val="en-GB"/>
        </w:rPr>
        <w:t>one</w:t>
      </w:r>
      <w:r w:rsidRPr="00E17E76">
        <w:rPr>
          <w:lang w:val="en-GB"/>
        </w:rPr>
        <w:t xml:space="preserve"> error, we utilized a Bonferroni correction in our statistical evaluation when appropriate. This diminished our significance level for </w:t>
      </w:r>
      <w:r w:rsidR="00C23278" w:rsidRPr="00E17E76">
        <w:rPr>
          <w:lang w:val="en-GB"/>
        </w:rPr>
        <w:t>t</w:t>
      </w:r>
      <w:r w:rsidRPr="00E17E76">
        <w:rPr>
          <w:lang w:val="en-GB"/>
        </w:rPr>
        <w:t>he domains of CP child to less than 0.008. Moreover, the COVID</w:t>
      </w:r>
      <w:r w:rsidR="00C23278" w:rsidRPr="00E17E76">
        <w:rPr>
          <w:lang w:val="en-GB"/>
        </w:rPr>
        <w:t>-19</w:t>
      </w:r>
      <w:r w:rsidRPr="00E17E76">
        <w:rPr>
          <w:lang w:val="en-GB"/>
        </w:rPr>
        <w:t xml:space="preserve"> pandemic inflicted impediments in some of our evaluations with postponements and we had to evaluate</w:t>
      </w:r>
      <w:r w:rsidR="00C761DB" w:rsidRPr="00E17E76">
        <w:rPr>
          <w:lang w:val="en-GB"/>
        </w:rPr>
        <w:t xml:space="preserve"> some of</w:t>
      </w:r>
      <w:r w:rsidRPr="00E17E76">
        <w:rPr>
          <w:lang w:val="en-GB"/>
        </w:rPr>
        <w:t xml:space="preserve"> the subjects </w:t>
      </w:r>
      <w:r w:rsidR="00C23278" w:rsidRPr="00E17E76">
        <w:rPr>
          <w:lang w:val="en-GB"/>
        </w:rPr>
        <w:t>using other methods,</w:t>
      </w:r>
      <w:r w:rsidRPr="00E17E76">
        <w:rPr>
          <w:lang w:val="en-GB"/>
        </w:rPr>
        <w:t xml:space="preserve"> i.e.</w:t>
      </w:r>
      <w:r w:rsidR="005352A8" w:rsidRPr="00E17E76">
        <w:rPr>
          <w:lang w:val="en-GB"/>
        </w:rPr>
        <w:t>,</w:t>
      </w:r>
      <w:r w:rsidRPr="00E17E76">
        <w:rPr>
          <w:lang w:val="en-GB"/>
        </w:rPr>
        <w:t xml:space="preserve"> caregivers </w:t>
      </w:r>
      <w:r w:rsidR="00C23278" w:rsidRPr="00E17E76">
        <w:rPr>
          <w:lang w:val="en-GB"/>
        </w:rPr>
        <w:t xml:space="preserve">were asked to conduct </w:t>
      </w:r>
      <w:r w:rsidRPr="00E17E76">
        <w:rPr>
          <w:lang w:val="en-GB"/>
        </w:rPr>
        <w:t>the examinations. This might have affected our findings, but not for the primary outcomes at four weeks. The evaluations afterwards were influenced by these impediments, and for example, in one of the postponed follow</w:t>
      </w:r>
      <w:r w:rsidR="00C761DB" w:rsidRPr="00E17E76">
        <w:rPr>
          <w:lang w:val="en-GB"/>
        </w:rPr>
        <w:t>-</w:t>
      </w:r>
      <w:r w:rsidRPr="00E17E76">
        <w:rPr>
          <w:lang w:val="en-GB"/>
        </w:rPr>
        <w:t>ups, the caregiver reported a pain-relieving effect at 12 weeks</w:t>
      </w:r>
      <w:r w:rsidR="00C23278" w:rsidRPr="00E17E76">
        <w:rPr>
          <w:lang w:val="en-GB"/>
        </w:rPr>
        <w:t>,</w:t>
      </w:r>
      <w:r w:rsidRPr="00E17E76">
        <w:rPr>
          <w:lang w:val="en-GB"/>
        </w:rPr>
        <w:t xml:space="preserve"> but this subsided </w:t>
      </w:r>
      <w:r w:rsidR="00C23278" w:rsidRPr="00E17E76">
        <w:rPr>
          <w:lang w:val="en-GB"/>
        </w:rPr>
        <w:t>by</w:t>
      </w:r>
      <w:r w:rsidRPr="00E17E76">
        <w:rPr>
          <w:lang w:val="en-GB"/>
        </w:rPr>
        <w:t xml:space="preserve"> the postponed examination at sixteen weeks (reporting bias).</w:t>
      </w:r>
    </w:p>
    <w:p w14:paraId="5944C886" w14:textId="7491A808" w:rsidR="00160D84" w:rsidRPr="00E17E76" w:rsidRDefault="00160D84" w:rsidP="003A41A8">
      <w:pPr>
        <w:pStyle w:val="MDPI31text"/>
        <w:rPr>
          <w:lang w:val="en-GB"/>
        </w:rPr>
      </w:pPr>
      <w:r w:rsidRPr="00E17E76">
        <w:rPr>
          <w:lang w:val="en-GB"/>
        </w:rPr>
        <w:t xml:space="preserve">Due to the heterogeneous nature of children with CP, a multitude of assessment tools </w:t>
      </w:r>
      <w:r w:rsidR="00BD7817" w:rsidRPr="00E17E76">
        <w:rPr>
          <w:lang w:val="en-GB"/>
        </w:rPr>
        <w:t>are</w:t>
      </w:r>
      <w:r w:rsidRPr="00E17E76">
        <w:rPr>
          <w:lang w:val="en-GB"/>
        </w:rPr>
        <w:t xml:space="preserve"> required to embrace the specific deficits of a child (i</w:t>
      </w:r>
      <w:r w:rsidR="00FA783E" w:rsidRPr="00E17E76">
        <w:rPr>
          <w:lang w:val="en-GB"/>
        </w:rPr>
        <w:t>.</w:t>
      </w:r>
      <w:r w:rsidRPr="00E17E76">
        <w:rPr>
          <w:lang w:val="en-GB"/>
        </w:rPr>
        <w:t>e</w:t>
      </w:r>
      <w:r w:rsidR="00FA783E" w:rsidRPr="00E17E76">
        <w:rPr>
          <w:lang w:val="en-GB"/>
        </w:rPr>
        <w:t>.</w:t>
      </w:r>
      <w:r w:rsidRPr="00E17E76">
        <w:rPr>
          <w:lang w:val="en-GB"/>
        </w:rPr>
        <w:t>, inability to self-report, using observational tools for non-communicative children, or sometimes using combination tools) [4,5]. Preferably, these tools should be validated. Since most of our participants had cognitive and communication deficits, several observational pain tools were used to measure both localized pain and daily pain. We chose the validated observational tools of r-FLACC for localized pain and PPP for daily pain. Using these enabled us to compare our findings to previous studies. Other appropriate and validated tools</w:t>
      </w:r>
      <w:r w:rsidR="00BD7817" w:rsidRPr="00E17E76">
        <w:rPr>
          <w:lang w:val="en-GB"/>
        </w:rPr>
        <w:t>, such</w:t>
      </w:r>
      <w:r w:rsidRPr="00E17E76">
        <w:rPr>
          <w:lang w:val="en-GB"/>
        </w:rPr>
        <w:t xml:space="preserve"> as the NCCPC-R, PPIS</w:t>
      </w:r>
      <w:r w:rsidR="00BD7817" w:rsidRPr="00E17E76">
        <w:rPr>
          <w:lang w:val="en-GB"/>
        </w:rPr>
        <w:t>,</w:t>
      </w:r>
      <w:r w:rsidRPr="00E17E76">
        <w:rPr>
          <w:lang w:val="en-GB"/>
        </w:rPr>
        <w:t xml:space="preserve"> and PPQ exist and could have been chosen</w:t>
      </w:r>
      <w:r w:rsidR="00BD7817" w:rsidRPr="00E17E76">
        <w:rPr>
          <w:lang w:val="en-GB"/>
        </w:rPr>
        <w:t>,</w:t>
      </w:r>
      <w:r w:rsidRPr="00E17E76">
        <w:rPr>
          <w:lang w:val="en-GB"/>
        </w:rPr>
        <w:t xml:space="preserve"> thus examining different dimensions </w:t>
      </w:r>
      <w:r w:rsidRPr="00E17E76">
        <w:rPr>
          <w:lang w:val="en-GB"/>
        </w:rPr>
        <w:lastRenderedPageBreak/>
        <w:t xml:space="preserve">of pain [5]. Moreover, we prioritized that only one rater evaluated the subjects </w:t>
      </w:r>
      <w:bookmarkStart w:id="6" w:name="_Hlk90182847"/>
      <w:r w:rsidRPr="00E17E76">
        <w:rPr>
          <w:lang w:val="en-GB"/>
        </w:rPr>
        <w:t>and focused on changes in pain level over time since a previous study has shown poor agreement between raters as well as between raters and self-estimation of pain [25].</w:t>
      </w:r>
    </w:p>
    <w:bookmarkEnd w:id="6"/>
    <w:p w14:paraId="3ECD9180" w14:textId="68C10E19" w:rsidR="00160D84" w:rsidRPr="00E17E76" w:rsidRDefault="00160D84" w:rsidP="003A41A8">
      <w:pPr>
        <w:pStyle w:val="MDPI31text"/>
        <w:rPr>
          <w:lang w:val="en-GB"/>
        </w:rPr>
      </w:pPr>
      <w:r w:rsidRPr="00E17E76">
        <w:rPr>
          <w:lang w:val="en-GB"/>
        </w:rPr>
        <w:t>Our study could be influenced by selection bias due to our exclusions and dropouts. We had three initial dropouts. Two patients did not experience the expected effects and did not attend the follow-up visits. One patient had a good response and a pain-relieving effect but was excluded since there was no documentation for the right storage for that package of study medicine.</w:t>
      </w:r>
      <w:r w:rsidR="005352A8" w:rsidRPr="00E17E76">
        <w:rPr>
          <w:lang w:val="en-GB"/>
        </w:rPr>
        <w:t xml:space="preserve"> </w:t>
      </w:r>
      <w:r w:rsidRPr="00E17E76">
        <w:rPr>
          <w:lang w:val="en-GB"/>
        </w:rPr>
        <w:t xml:space="preserve">We also excluded seven patients due to ‘early’ AboA pain treatment. This probably has affected our findings, maintaining a more positive pain-relieving effect with relatively minor decreases in r-FLACC and PPP at 28 weeks. When using the imputation method of “Last Observation Carried Forward” to compensate for the missing follow-up data, the significant effect on localized pain was maintained. </w:t>
      </w:r>
      <w:r w:rsidR="00BD7817" w:rsidRPr="00E17E76">
        <w:rPr>
          <w:lang w:val="en-GB"/>
        </w:rPr>
        <w:t>T</w:t>
      </w:r>
      <w:r w:rsidRPr="00E17E76">
        <w:rPr>
          <w:lang w:val="en-GB"/>
        </w:rPr>
        <w:t xml:space="preserve">hus, we maintain our conclusion that AboA has a clinically meaningful effect at four weeks. </w:t>
      </w:r>
      <w:proofErr w:type="gramStart"/>
      <w:r w:rsidRPr="00E17E76">
        <w:rPr>
          <w:lang w:val="en-GB"/>
        </w:rPr>
        <w:t>Specifically</w:t>
      </w:r>
      <w:proofErr w:type="gramEnd"/>
      <w:r w:rsidRPr="00E17E76">
        <w:rPr>
          <w:lang w:val="en-GB"/>
        </w:rPr>
        <w:t xml:space="preserve"> for the two subjects, who dropped out with no apparent effect, this could have been caused to the heterogeneity of causality of their pain. Retrospectively, we found that some of the subject’s perceived pain was caused by a combination of both localized muscular and neuropathic pain as described by Blankenbrug et al. (2018) [3]. This might also have been attributed to potential gastrointestinal</w:t>
      </w:r>
      <w:r w:rsidR="00BD7817" w:rsidRPr="00E17E76">
        <w:rPr>
          <w:lang w:val="en-GB"/>
        </w:rPr>
        <w:t>-</w:t>
      </w:r>
      <w:r w:rsidRPr="00E17E76">
        <w:rPr>
          <w:lang w:val="en-GB"/>
        </w:rPr>
        <w:t>related pain [4]. Even after the reduction of localized muscular pain, the neuropathic pain or gastrointestinal</w:t>
      </w:r>
      <w:r w:rsidR="00BD7817" w:rsidRPr="00E17E76">
        <w:rPr>
          <w:lang w:val="en-GB"/>
        </w:rPr>
        <w:t>-</w:t>
      </w:r>
      <w:r w:rsidRPr="00E17E76">
        <w:rPr>
          <w:lang w:val="en-GB"/>
        </w:rPr>
        <w:t>related pain would remain. In this study, this was reflected in their overall lower level of treatment satisfaction for these subjects. As a clinical observation, some of our subjects and caregivers expressed a relatively higher pain level than reflected in our evaluations of localized pain. We interpreted this as their pain had a component of central mediated neuropathic pain, where our local intramuscular injection therapy would have less effect [38,39].</w:t>
      </w:r>
    </w:p>
    <w:p w14:paraId="6F53A6A7" w14:textId="5146CE04" w:rsidR="00160D84" w:rsidRPr="00E17E76" w:rsidRDefault="00160D84" w:rsidP="003A41A8">
      <w:pPr>
        <w:pStyle w:val="MDPI31text"/>
        <w:rPr>
          <w:lang w:val="en-GB"/>
        </w:rPr>
      </w:pPr>
      <w:r w:rsidRPr="00E17E76">
        <w:rPr>
          <w:lang w:val="en-GB"/>
        </w:rPr>
        <w:t>In this study, we utilized the SMART goals measured by GAS to describe the functional changes but did not quantify the achieved goals formally. However, the functional improvements were confirmed in the structured interviews, where especially having improved sleep, having less pain when using orthosis or shoes, and showing improvement in standing and walking function were seen. Tilton et al. (2017) demonstrated similar functional improvements using GAS in a placebo-controlled design [23], thus affirming our findings. Copeland et al</w:t>
      </w:r>
      <w:r w:rsidR="005352A8" w:rsidRPr="00E17E76">
        <w:rPr>
          <w:lang w:val="en-GB"/>
        </w:rPr>
        <w:t>.</w:t>
      </w:r>
      <w:r w:rsidRPr="00E17E76">
        <w:rPr>
          <w:lang w:val="en-GB"/>
        </w:rPr>
        <w:t xml:space="preserve"> (2014) reported that such improvements had an impact on the whole family’s quality of life [8]. In these interviews (and in our study)</w:t>
      </w:r>
      <w:r w:rsidR="00CA2788" w:rsidRPr="00E17E76">
        <w:rPr>
          <w:lang w:val="en-GB"/>
        </w:rPr>
        <w:t>,</w:t>
      </w:r>
      <w:r w:rsidRPr="00E17E76">
        <w:rPr>
          <w:lang w:val="en-GB"/>
        </w:rPr>
        <w:t xml:space="preserve"> caregivers also described that lost functions, which had disappeared slowly, suddenly re</w:t>
      </w:r>
      <w:r w:rsidR="00CA2788" w:rsidRPr="00E17E76">
        <w:rPr>
          <w:lang w:val="en-GB"/>
        </w:rPr>
        <w:t>-</w:t>
      </w:r>
      <w:r w:rsidRPr="00E17E76">
        <w:rPr>
          <w:lang w:val="en-GB"/>
        </w:rPr>
        <w:t>emerg</w:t>
      </w:r>
      <w:r w:rsidR="00CA2788" w:rsidRPr="00E17E76">
        <w:rPr>
          <w:lang w:val="en-GB"/>
        </w:rPr>
        <w:t>ed</w:t>
      </w:r>
      <w:r w:rsidRPr="00E17E76">
        <w:rPr>
          <w:lang w:val="en-GB"/>
        </w:rPr>
        <w:t xml:space="preserve"> when the subjects were unaffected by pain. We found that pain seems to have an impact on activities of daily living.</w:t>
      </w:r>
    </w:p>
    <w:p w14:paraId="772D359F" w14:textId="77777777" w:rsidR="00160D84" w:rsidRPr="00E17E76" w:rsidRDefault="003A41A8" w:rsidP="003A41A8">
      <w:pPr>
        <w:pStyle w:val="MDPI21heading1"/>
        <w:rPr>
          <w:lang w:val="en-GB"/>
        </w:rPr>
      </w:pPr>
      <w:r w:rsidRPr="00E17E76">
        <w:rPr>
          <w:lang w:val="en-GB"/>
        </w:rPr>
        <w:t xml:space="preserve">5. </w:t>
      </w:r>
      <w:r w:rsidR="00160D84" w:rsidRPr="00E17E76">
        <w:rPr>
          <w:lang w:val="en-GB"/>
        </w:rPr>
        <w:t>Conclusions</w:t>
      </w:r>
    </w:p>
    <w:p w14:paraId="1C6F16C4" w14:textId="01195D65" w:rsidR="00160D84" w:rsidRPr="00E17E76" w:rsidRDefault="00160D84" w:rsidP="003A41A8">
      <w:pPr>
        <w:pStyle w:val="MDPI31text"/>
        <w:rPr>
          <w:lang w:val="en-GB"/>
        </w:rPr>
      </w:pPr>
      <w:r w:rsidRPr="00E17E76">
        <w:rPr>
          <w:lang w:val="en-GB"/>
        </w:rPr>
        <w:t>In conclusion, a significant and clinically meaningful</w:t>
      </w:r>
      <w:r w:rsidR="00CA2788" w:rsidRPr="00E17E76">
        <w:rPr>
          <w:lang w:val="en-GB"/>
        </w:rPr>
        <w:t>,</w:t>
      </w:r>
      <w:r w:rsidRPr="00E17E76">
        <w:rPr>
          <w:lang w:val="en-GB"/>
        </w:rPr>
        <w:t xml:space="preserve"> pain-relieving effect of one injection treatment of Abobotulinum toxin A (Dysport</w:t>
      </w:r>
      <w:r w:rsidR="005352A8" w:rsidRPr="00E17E76">
        <w:rPr>
          <w:vertAlign w:val="superscript"/>
          <w:lang w:val="en-GB"/>
        </w:rPr>
        <w:t>®</w:t>
      </w:r>
      <w:r w:rsidRPr="00E17E76">
        <w:rPr>
          <w:lang w:val="en-GB"/>
        </w:rPr>
        <w:t xml:space="preserve">) for localized and daily pain had a significant effect for 28 weeks with the highest measured effect at </w:t>
      </w:r>
      <w:r w:rsidR="00CA2788" w:rsidRPr="00E17E76">
        <w:rPr>
          <w:lang w:val="en-GB"/>
        </w:rPr>
        <w:t xml:space="preserve">4 </w:t>
      </w:r>
      <w:r w:rsidRPr="00E17E76">
        <w:rPr>
          <w:lang w:val="en-GB"/>
        </w:rPr>
        <w:t xml:space="preserve">weeks. This mediated improved function and overall satisfaction </w:t>
      </w:r>
      <w:r w:rsidR="00CA2788" w:rsidRPr="00E17E76">
        <w:rPr>
          <w:lang w:val="en-GB"/>
        </w:rPr>
        <w:t>and</w:t>
      </w:r>
      <w:r w:rsidRPr="00E17E76">
        <w:rPr>
          <w:lang w:val="en-GB"/>
        </w:rPr>
        <w:t xml:space="preserve"> </w:t>
      </w:r>
      <w:r w:rsidR="00CA2788" w:rsidRPr="00E17E76">
        <w:rPr>
          <w:lang w:val="en-GB"/>
        </w:rPr>
        <w:t xml:space="preserve">had </w:t>
      </w:r>
      <w:r w:rsidRPr="00E17E76">
        <w:rPr>
          <w:lang w:val="en-GB"/>
        </w:rPr>
        <w:t>a short-term effect on quality of life. The clinical</w:t>
      </w:r>
      <w:r w:rsidR="00CA2788" w:rsidRPr="00E17E76">
        <w:rPr>
          <w:lang w:val="en-GB"/>
        </w:rPr>
        <w:t xml:space="preserve">ly </w:t>
      </w:r>
      <w:r w:rsidRPr="00E17E76">
        <w:rPr>
          <w:lang w:val="en-GB"/>
        </w:rPr>
        <w:t>relevant</w:t>
      </w:r>
      <w:r w:rsidR="00CA2788" w:rsidRPr="00E17E76">
        <w:rPr>
          <w:lang w:val="en-GB"/>
        </w:rPr>
        <w:t xml:space="preserve">, </w:t>
      </w:r>
      <w:r w:rsidRPr="00E17E76">
        <w:rPr>
          <w:lang w:val="en-GB"/>
        </w:rPr>
        <w:t>pain-relieving effect subsided after 12 weeks to a level warranting another treatment.</w:t>
      </w:r>
    </w:p>
    <w:p w14:paraId="796C2B0D" w14:textId="2996C1EC" w:rsidR="00160D84" w:rsidRPr="00E17E76" w:rsidRDefault="006675DB" w:rsidP="006675DB">
      <w:pPr>
        <w:pStyle w:val="MDPI62BackMatter"/>
        <w:spacing w:before="240"/>
        <w:rPr>
          <w:lang w:val="en-GB"/>
        </w:rPr>
      </w:pPr>
      <w:r w:rsidRPr="00E17E76">
        <w:rPr>
          <w:b/>
          <w:bCs/>
          <w:lang w:val="en-GB"/>
        </w:rPr>
        <w:t>Author Contribution</w:t>
      </w:r>
      <w:r w:rsidR="00160D84" w:rsidRPr="00E17E76">
        <w:rPr>
          <w:b/>
          <w:bCs/>
          <w:lang w:val="en-GB"/>
        </w:rPr>
        <w:t>s:</w:t>
      </w:r>
      <w:r w:rsidR="00160D84" w:rsidRPr="00E17E76">
        <w:rPr>
          <w:b/>
          <w:lang w:val="en-GB"/>
        </w:rPr>
        <w:t xml:space="preserve"> </w:t>
      </w:r>
      <w:r w:rsidR="00160D84" w:rsidRPr="00E17E76">
        <w:rPr>
          <w:lang w:val="en-GB"/>
        </w:rPr>
        <w:t>The authors have made substantial contributions to</w:t>
      </w:r>
      <w:r w:rsidR="00113DAC" w:rsidRPr="00E17E76">
        <w:rPr>
          <w:lang w:val="en-GB"/>
        </w:rPr>
        <w:t xml:space="preserve"> Conceptualization: C.W.; </w:t>
      </w:r>
      <w:r w:rsidR="00CA2788" w:rsidRPr="00E17E76">
        <w:rPr>
          <w:lang w:val="en-GB"/>
        </w:rPr>
        <w:t>m</w:t>
      </w:r>
      <w:r w:rsidR="00113DAC" w:rsidRPr="00E17E76">
        <w:rPr>
          <w:lang w:val="en-GB"/>
        </w:rPr>
        <w:t xml:space="preserve">ethodology: C.W. and J.S.M.; </w:t>
      </w:r>
      <w:r w:rsidR="00CA2788" w:rsidRPr="00E17E76">
        <w:rPr>
          <w:lang w:val="en-GB"/>
        </w:rPr>
        <w:t>f</w:t>
      </w:r>
      <w:r w:rsidR="00113DAC" w:rsidRPr="00E17E76">
        <w:rPr>
          <w:lang w:val="en-GB"/>
        </w:rPr>
        <w:t xml:space="preserve">ormal </w:t>
      </w:r>
      <w:r w:rsidR="00CA2788" w:rsidRPr="00E17E76">
        <w:rPr>
          <w:lang w:val="en-GB"/>
        </w:rPr>
        <w:t>a</w:t>
      </w:r>
      <w:r w:rsidR="00113DAC" w:rsidRPr="00E17E76">
        <w:rPr>
          <w:lang w:val="en-GB"/>
        </w:rPr>
        <w:t xml:space="preserve">nalysis: C.W. and J.S.M.; </w:t>
      </w:r>
      <w:r w:rsidR="00CA2788" w:rsidRPr="00E17E76">
        <w:rPr>
          <w:lang w:val="en-GB"/>
        </w:rPr>
        <w:t>i</w:t>
      </w:r>
      <w:r w:rsidR="00113DAC" w:rsidRPr="00E17E76">
        <w:rPr>
          <w:lang w:val="en-GB"/>
        </w:rPr>
        <w:t xml:space="preserve">nvestigation: C.W. and J.S.M.; </w:t>
      </w:r>
      <w:r w:rsidR="00CA2788" w:rsidRPr="00E17E76">
        <w:rPr>
          <w:lang w:val="en-GB"/>
        </w:rPr>
        <w:t>r</w:t>
      </w:r>
      <w:r w:rsidR="00113DAC" w:rsidRPr="00E17E76">
        <w:rPr>
          <w:lang w:val="en-GB"/>
        </w:rPr>
        <w:t xml:space="preserve">esources: C.W. and I.W.; </w:t>
      </w:r>
      <w:r w:rsidR="00CA2788" w:rsidRPr="00E17E76">
        <w:rPr>
          <w:lang w:val="en-GB"/>
        </w:rPr>
        <w:t>w</w:t>
      </w:r>
      <w:r w:rsidR="00113DAC" w:rsidRPr="00E17E76">
        <w:rPr>
          <w:lang w:val="en-GB"/>
        </w:rPr>
        <w:t>riting—</w:t>
      </w:r>
      <w:r w:rsidR="00CA2788" w:rsidRPr="00E17E76">
        <w:rPr>
          <w:lang w:val="en-GB"/>
        </w:rPr>
        <w:t>o</w:t>
      </w:r>
      <w:r w:rsidR="00113DAC" w:rsidRPr="00E17E76">
        <w:rPr>
          <w:lang w:val="en-GB"/>
        </w:rPr>
        <w:t xml:space="preserve">riginal </w:t>
      </w:r>
      <w:r w:rsidR="00CA2788" w:rsidRPr="00E17E76">
        <w:rPr>
          <w:lang w:val="en-GB"/>
        </w:rPr>
        <w:t>d</w:t>
      </w:r>
      <w:r w:rsidR="00113DAC" w:rsidRPr="00E17E76">
        <w:rPr>
          <w:lang w:val="en-GB"/>
        </w:rPr>
        <w:t xml:space="preserve">raft </w:t>
      </w:r>
      <w:r w:rsidR="00CA2788" w:rsidRPr="00E17E76">
        <w:rPr>
          <w:lang w:val="en-GB"/>
        </w:rPr>
        <w:t>p</w:t>
      </w:r>
      <w:r w:rsidR="00113DAC" w:rsidRPr="00E17E76">
        <w:rPr>
          <w:lang w:val="en-GB"/>
        </w:rPr>
        <w:t xml:space="preserve">reparation: C.W. and J.S.M.; </w:t>
      </w:r>
      <w:r w:rsidR="00CA2788" w:rsidRPr="00E17E76">
        <w:rPr>
          <w:lang w:val="en-GB"/>
        </w:rPr>
        <w:t>w</w:t>
      </w:r>
      <w:r w:rsidR="00113DAC" w:rsidRPr="00E17E76">
        <w:rPr>
          <w:lang w:val="en-GB"/>
        </w:rPr>
        <w:t>riting—</w:t>
      </w:r>
      <w:r w:rsidR="00CA2788" w:rsidRPr="00E17E76">
        <w:rPr>
          <w:lang w:val="en-GB"/>
        </w:rPr>
        <w:t>r</w:t>
      </w:r>
      <w:r w:rsidR="00113DAC" w:rsidRPr="00E17E76">
        <w:rPr>
          <w:lang w:val="en-GB"/>
        </w:rPr>
        <w:t xml:space="preserve">eview </w:t>
      </w:r>
      <w:r w:rsidR="00CA2788" w:rsidRPr="00E17E76">
        <w:rPr>
          <w:lang w:val="en-GB"/>
        </w:rPr>
        <w:t>and</w:t>
      </w:r>
      <w:r w:rsidR="00113DAC" w:rsidRPr="00E17E76">
        <w:rPr>
          <w:lang w:val="en-GB"/>
        </w:rPr>
        <w:t xml:space="preserve"> </w:t>
      </w:r>
      <w:r w:rsidR="00CA2788" w:rsidRPr="00E17E76">
        <w:rPr>
          <w:lang w:val="en-GB"/>
        </w:rPr>
        <w:t>e</w:t>
      </w:r>
      <w:r w:rsidR="00113DAC" w:rsidRPr="00E17E76">
        <w:rPr>
          <w:lang w:val="en-GB"/>
        </w:rPr>
        <w:t>diting: C.W., J.S.M.</w:t>
      </w:r>
      <w:r w:rsidR="00CA2788" w:rsidRPr="00E17E76">
        <w:rPr>
          <w:lang w:val="en-GB"/>
        </w:rPr>
        <w:t>,</w:t>
      </w:r>
      <w:r w:rsidR="00113DAC" w:rsidRPr="00E17E76">
        <w:rPr>
          <w:lang w:val="en-GB"/>
        </w:rPr>
        <w:t xml:space="preserve"> and I.W.; </w:t>
      </w:r>
      <w:r w:rsidR="00CA2788" w:rsidRPr="00E17E76">
        <w:rPr>
          <w:lang w:val="en-GB"/>
        </w:rPr>
        <w:t>v</w:t>
      </w:r>
      <w:r w:rsidR="00113DAC" w:rsidRPr="00E17E76">
        <w:rPr>
          <w:lang w:val="en-GB"/>
        </w:rPr>
        <w:t xml:space="preserve">isualization: C.W. and J.S.M.; </w:t>
      </w:r>
      <w:r w:rsidR="00CA2788" w:rsidRPr="00E17E76">
        <w:rPr>
          <w:lang w:val="en-GB"/>
        </w:rPr>
        <w:t>s</w:t>
      </w:r>
      <w:r w:rsidR="00113DAC" w:rsidRPr="00E17E76">
        <w:rPr>
          <w:lang w:val="en-GB"/>
        </w:rPr>
        <w:t xml:space="preserve">upervision: C.W.; </w:t>
      </w:r>
      <w:r w:rsidR="00CA2788" w:rsidRPr="00E17E76">
        <w:rPr>
          <w:lang w:val="en-GB"/>
        </w:rPr>
        <w:t>p</w:t>
      </w:r>
      <w:r w:rsidR="00113DAC" w:rsidRPr="00E17E76">
        <w:rPr>
          <w:lang w:val="en-GB"/>
        </w:rPr>
        <w:t xml:space="preserve">roject </w:t>
      </w:r>
      <w:r w:rsidR="00CA2788" w:rsidRPr="00E17E76">
        <w:rPr>
          <w:lang w:val="en-GB"/>
        </w:rPr>
        <w:t>a</w:t>
      </w:r>
      <w:r w:rsidR="00113DAC" w:rsidRPr="00E17E76">
        <w:rPr>
          <w:lang w:val="en-GB"/>
        </w:rPr>
        <w:t xml:space="preserve">dministration: C.W. and J.S.M.; </w:t>
      </w:r>
      <w:r w:rsidR="00CA2788" w:rsidRPr="00E17E76">
        <w:rPr>
          <w:lang w:val="en-GB"/>
        </w:rPr>
        <w:t>f</w:t>
      </w:r>
      <w:r w:rsidR="00113DAC" w:rsidRPr="00E17E76">
        <w:rPr>
          <w:lang w:val="en-GB"/>
        </w:rPr>
        <w:t xml:space="preserve">unding </w:t>
      </w:r>
      <w:r w:rsidR="00CA2788" w:rsidRPr="00E17E76">
        <w:rPr>
          <w:lang w:val="en-GB"/>
        </w:rPr>
        <w:t>a</w:t>
      </w:r>
      <w:r w:rsidR="00113DAC" w:rsidRPr="00E17E76">
        <w:rPr>
          <w:lang w:val="en-GB"/>
        </w:rPr>
        <w:t xml:space="preserve">cquisition: C.W. </w:t>
      </w:r>
      <w:r w:rsidR="00160D84" w:rsidRPr="00E17E76">
        <w:rPr>
          <w:lang w:val="en-GB"/>
        </w:rPr>
        <w:t>All author</w:t>
      </w:r>
      <w:r w:rsidR="00CA2788" w:rsidRPr="00E17E76">
        <w:rPr>
          <w:lang w:val="en-GB"/>
        </w:rPr>
        <w:t>s</w:t>
      </w:r>
      <w:r w:rsidR="00160D84" w:rsidRPr="00E17E76">
        <w:rPr>
          <w:lang w:val="en-GB"/>
        </w:rPr>
        <w:t xml:space="preserve"> have drafted the work or substantively revised it and has approved the submitted version and agrees to be personally accountable for the author’s contributions and for ensuring that questions related to the accuracy or integrity of any part of the work, even ones in which the author was not personally involved, are appropriately investigated, resolved, and documented in the literature.</w:t>
      </w:r>
      <w:r w:rsidR="00FA783E" w:rsidRPr="00E17E76">
        <w:rPr>
          <w:lang w:val="en-GB"/>
        </w:rPr>
        <w:t xml:space="preserve"> All authors have read and agreed to the published version of the manuscript.</w:t>
      </w:r>
    </w:p>
    <w:p w14:paraId="45BC8B55" w14:textId="748EEE63" w:rsidR="00160D84" w:rsidRPr="00E17E76" w:rsidRDefault="00160D84" w:rsidP="003630C2">
      <w:pPr>
        <w:pStyle w:val="MDPI62BackMatter"/>
        <w:spacing w:before="240"/>
        <w:rPr>
          <w:lang w:val="en-GB"/>
        </w:rPr>
      </w:pPr>
      <w:r w:rsidRPr="00E17E76">
        <w:rPr>
          <w:b/>
          <w:bCs/>
          <w:lang w:val="en-GB"/>
        </w:rPr>
        <w:lastRenderedPageBreak/>
        <w:t>Funding:</w:t>
      </w:r>
      <w:r w:rsidRPr="00E17E76">
        <w:rPr>
          <w:lang w:val="en-GB"/>
        </w:rPr>
        <w:t xml:space="preserve"> The study was investigator-driven and funded by Ipsen AB</w:t>
      </w:r>
      <w:r w:rsidR="00915D58" w:rsidRPr="00E17E76">
        <w:rPr>
          <w:lang w:val="en-GB"/>
        </w:rPr>
        <w:t>;</w:t>
      </w:r>
      <w:r w:rsidR="003630C2" w:rsidRPr="00E17E76">
        <w:rPr>
          <w:lang w:val="en-GB"/>
        </w:rPr>
        <w:t xml:space="preserve"> ISS-52120-0218</w:t>
      </w:r>
      <w:r w:rsidRPr="00E17E76">
        <w:rPr>
          <w:lang w:val="en-GB"/>
        </w:rPr>
        <w:t xml:space="preserve">. Ipsen had no input into the study design, </w:t>
      </w:r>
      <w:r w:rsidR="00CA2788" w:rsidRPr="00E17E76">
        <w:rPr>
          <w:lang w:val="en-GB"/>
        </w:rPr>
        <w:t>analysis,</w:t>
      </w:r>
      <w:r w:rsidRPr="00E17E76">
        <w:rPr>
          <w:lang w:val="en-GB"/>
        </w:rPr>
        <w:t xml:space="preserve"> or interpretation of results.</w:t>
      </w:r>
    </w:p>
    <w:p w14:paraId="6D3A0E39" w14:textId="7A316ED9" w:rsidR="00160D84" w:rsidRPr="00E17E76" w:rsidRDefault="00160D84" w:rsidP="00113DAC">
      <w:pPr>
        <w:pStyle w:val="MDPI62BackMatter"/>
        <w:rPr>
          <w:lang w:val="en-GB"/>
        </w:rPr>
      </w:pPr>
      <w:r w:rsidRPr="00E17E76">
        <w:rPr>
          <w:b/>
          <w:bCs/>
          <w:lang w:val="en-GB"/>
        </w:rPr>
        <w:t>Institutional Review Board Statement:</w:t>
      </w:r>
      <w:r w:rsidRPr="00E17E76">
        <w:rPr>
          <w:b/>
          <w:lang w:val="en-GB"/>
        </w:rPr>
        <w:t xml:space="preserve"> </w:t>
      </w:r>
      <w:r w:rsidRPr="00E17E76">
        <w:rPr>
          <w:lang w:val="en-GB"/>
        </w:rPr>
        <w:t>The Regional Committee on Health Research Ethics and the National medical agency approved the study (H–17041772 and EudraCT number 2017-004497-33). The study was conducted according to national guidelines and the Helsinki Declaration. The date of approval was 23</w:t>
      </w:r>
      <w:r w:rsidR="007F17DC" w:rsidRPr="00E17E76">
        <w:rPr>
          <w:lang w:val="en-GB"/>
        </w:rPr>
        <w:t xml:space="preserve"> March </w:t>
      </w:r>
      <w:r w:rsidRPr="00E17E76">
        <w:rPr>
          <w:lang w:val="en-GB"/>
        </w:rPr>
        <w:t xml:space="preserve">2018, </w:t>
      </w:r>
      <w:r w:rsidR="00CA2788" w:rsidRPr="00E17E76">
        <w:rPr>
          <w:lang w:val="en-GB"/>
        </w:rPr>
        <w:t>m</w:t>
      </w:r>
      <w:r w:rsidRPr="00E17E76">
        <w:rPr>
          <w:lang w:val="en-GB"/>
        </w:rPr>
        <w:t>easuring effects on pain and quality of life after Dysport</w:t>
      </w:r>
      <w:r w:rsidR="005352A8" w:rsidRPr="00E17E76">
        <w:rPr>
          <w:vertAlign w:val="superscript"/>
          <w:lang w:val="en-GB"/>
        </w:rPr>
        <w:t>®</w:t>
      </w:r>
      <w:r w:rsidRPr="00E17E76">
        <w:rPr>
          <w:lang w:val="en-GB"/>
        </w:rPr>
        <w:t xml:space="preserve"> injection in ‘children with cerebral palsy</w:t>
      </w:r>
      <w:r w:rsidR="00CA2788" w:rsidRPr="00E17E76">
        <w:rPr>
          <w:lang w:val="en-GB"/>
        </w:rPr>
        <w:t>: f</w:t>
      </w:r>
      <w:r w:rsidRPr="00E17E76">
        <w:rPr>
          <w:lang w:val="en-GB"/>
        </w:rPr>
        <w:t>ollow</w:t>
      </w:r>
      <w:r w:rsidR="0037298C" w:rsidRPr="00E17E76">
        <w:rPr>
          <w:lang w:val="en-GB"/>
        </w:rPr>
        <w:t xml:space="preserve"> </w:t>
      </w:r>
      <w:r w:rsidRPr="00E17E76">
        <w:rPr>
          <w:lang w:val="en-GB"/>
        </w:rPr>
        <w:t>up from post-injection to 28 weeks.</w:t>
      </w:r>
    </w:p>
    <w:p w14:paraId="67409272" w14:textId="2B980640" w:rsidR="00160D84" w:rsidRPr="00E17E76" w:rsidRDefault="00160D84" w:rsidP="00113DAC">
      <w:pPr>
        <w:pStyle w:val="MDPI62BackMatter"/>
        <w:rPr>
          <w:lang w:val="en-GB"/>
        </w:rPr>
      </w:pPr>
      <w:r w:rsidRPr="00E17E76">
        <w:rPr>
          <w:b/>
          <w:bCs/>
          <w:lang w:val="en-GB"/>
        </w:rPr>
        <w:t>Informed Consent Statement:</w:t>
      </w:r>
      <w:r w:rsidR="005352A8" w:rsidRPr="00E17E76">
        <w:rPr>
          <w:b/>
          <w:lang w:val="en-GB"/>
        </w:rPr>
        <w:t xml:space="preserve"> </w:t>
      </w:r>
      <w:r w:rsidRPr="00E17E76">
        <w:rPr>
          <w:lang w:val="en-GB"/>
        </w:rPr>
        <w:t>Informed consent was obtained from all subjects (caregivers) involved in the study.</w:t>
      </w:r>
    </w:p>
    <w:p w14:paraId="333F156D" w14:textId="77777777" w:rsidR="00160D84" w:rsidRPr="00E17E76" w:rsidRDefault="00160D84" w:rsidP="00113DAC">
      <w:pPr>
        <w:pStyle w:val="MDPI62BackMatter"/>
        <w:rPr>
          <w:lang w:val="en-GB"/>
        </w:rPr>
      </w:pPr>
      <w:r w:rsidRPr="00E17E76">
        <w:rPr>
          <w:b/>
          <w:bCs/>
          <w:lang w:val="en-GB"/>
        </w:rPr>
        <w:t>Data Availability Statement:</w:t>
      </w:r>
      <w:r w:rsidRPr="00E17E76">
        <w:rPr>
          <w:b/>
          <w:lang w:val="en-GB"/>
        </w:rPr>
        <w:t xml:space="preserve"> </w:t>
      </w:r>
      <w:r w:rsidRPr="00E17E76">
        <w:rPr>
          <w:lang w:val="en-GB"/>
        </w:rPr>
        <w:t>For further interest, inquiries for data can be sent to the corresponding author.</w:t>
      </w:r>
    </w:p>
    <w:p w14:paraId="1625D3A9" w14:textId="557684A0" w:rsidR="00160D84" w:rsidRPr="00E17E76" w:rsidRDefault="00113DAC" w:rsidP="00113DAC">
      <w:pPr>
        <w:pStyle w:val="MDPI62BackMatter"/>
        <w:rPr>
          <w:lang w:val="en-GB"/>
        </w:rPr>
      </w:pPr>
      <w:r w:rsidRPr="00E17E76">
        <w:rPr>
          <w:b/>
          <w:bCs/>
          <w:lang w:val="en-GB"/>
        </w:rPr>
        <w:t>Acknowledgments</w:t>
      </w:r>
      <w:r w:rsidR="00160D84" w:rsidRPr="00E17E76">
        <w:rPr>
          <w:b/>
          <w:bCs/>
          <w:lang w:val="en-GB"/>
        </w:rPr>
        <w:t>:</w:t>
      </w:r>
      <w:r w:rsidR="00160D84" w:rsidRPr="00E17E76">
        <w:rPr>
          <w:lang w:val="en-GB"/>
        </w:rPr>
        <w:t xml:space="preserve"> Ipsen reviewed this manuscript for scientific </w:t>
      </w:r>
      <w:r w:rsidR="00CA2788" w:rsidRPr="00E17E76">
        <w:rPr>
          <w:lang w:val="en-GB"/>
        </w:rPr>
        <w:t>accuracy but</w:t>
      </w:r>
      <w:r w:rsidR="00160D84" w:rsidRPr="00E17E76">
        <w:rPr>
          <w:lang w:val="en-GB"/>
        </w:rPr>
        <w:t xml:space="preserve"> did not input into the content.</w:t>
      </w:r>
    </w:p>
    <w:p w14:paraId="4435C4CC" w14:textId="12500F41" w:rsidR="00160D84" w:rsidRPr="00E17E76" w:rsidRDefault="00160D84" w:rsidP="00113DAC">
      <w:pPr>
        <w:pStyle w:val="MDPI62BackMatter"/>
        <w:rPr>
          <w:lang w:val="en-GB"/>
        </w:rPr>
      </w:pPr>
      <w:r w:rsidRPr="00E17E76">
        <w:rPr>
          <w:b/>
          <w:bCs/>
          <w:lang w:val="en-GB"/>
        </w:rPr>
        <w:t>Conflicts of Interest:</w:t>
      </w:r>
      <w:r w:rsidRPr="00E17E76">
        <w:rPr>
          <w:b/>
          <w:lang w:val="en-GB"/>
        </w:rPr>
        <w:t xml:space="preserve"> </w:t>
      </w:r>
      <w:r w:rsidRPr="00E17E76">
        <w:rPr>
          <w:lang w:val="en-GB"/>
        </w:rPr>
        <w:t xml:space="preserve">Christian Wong </w:t>
      </w:r>
      <w:r w:rsidR="00CA2788" w:rsidRPr="00E17E76">
        <w:rPr>
          <w:lang w:val="en-GB"/>
        </w:rPr>
        <w:t xml:space="preserve">is </w:t>
      </w:r>
      <w:r w:rsidRPr="00E17E76">
        <w:rPr>
          <w:lang w:val="en-GB"/>
        </w:rPr>
        <w:t xml:space="preserve">on the steering committee </w:t>
      </w:r>
      <w:r w:rsidR="00CA2788" w:rsidRPr="00E17E76">
        <w:rPr>
          <w:lang w:val="en-GB"/>
        </w:rPr>
        <w:t>for</w:t>
      </w:r>
      <w:r w:rsidRPr="00E17E76">
        <w:rPr>
          <w:lang w:val="en-GB"/>
        </w:rPr>
        <w:t xml:space="preserve"> the conference ‘Nordic Toxins, 2021 and has been sponsored for conference and workshop participation from</w:t>
      </w:r>
      <w:r w:rsidR="005352A8" w:rsidRPr="00E17E76">
        <w:rPr>
          <w:lang w:val="en-GB"/>
        </w:rPr>
        <w:t xml:space="preserve"> </w:t>
      </w:r>
      <w:r w:rsidRPr="00E17E76">
        <w:rPr>
          <w:lang w:val="en-GB"/>
        </w:rPr>
        <w:t>Ipsen</w:t>
      </w:r>
      <w:r w:rsidR="00CA2788" w:rsidRPr="00E17E76">
        <w:rPr>
          <w:lang w:val="en-GB"/>
        </w:rPr>
        <w:t>;</w:t>
      </w:r>
      <w:r w:rsidRPr="00E17E76">
        <w:rPr>
          <w:lang w:val="en-GB"/>
        </w:rPr>
        <w:t xml:space="preserve"> Josephine S</w:t>
      </w:r>
      <w:r w:rsidR="00CA2788" w:rsidRPr="00E17E76">
        <w:rPr>
          <w:lang w:val="en-GB"/>
        </w:rPr>
        <w:t xml:space="preserve">. </w:t>
      </w:r>
      <w:r w:rsidRPr="00E17E76">
        <w:rPr>
          <w:lang w:val="en-GB"/>
        </w:rPr>
        <w:t>Michelsen has been sponsored for conference participation. All other authors declare no conflict of interest. The funders had no role in the design of the study; in the collection, analyses, or interpretation of data; in the writing of the manuscript</w:t>
      </w:r>
      <w:r w:rsidR="0037298C" w:rsidRPr="00E17E76">
        <w:rPr>
          <w:lang w:val="en-GB"/>
        </w:rPr>
        <w:t>;</w:t>
      </w:r>
      <w:r w:rsidRPr="00E17E76">
        <w:rPr>
          <w:lang w:val="en-GB"/>
        </w:rPr>
        <w:t xml:space="preserve"> or in the decision to publish the results.</w:t>
      </w:r>
    </w:p>
    <w:p w14:paraId="2465FDB7" w14:textId="77C32BCB" w:rsidR="006675DB" w:rsidRPr="00E17E76" w:rsidRDefault="006675DB" w:rsidP="00113DAC">
      <w:pPr>
        <w:pStyle w:val="MDPI62BackMatter"/>
        <w:rPr>
          <w:lang w:val="en-GB"/>
        </w:rPr>
      </w:pPr>
    </w:p>
    <w:p w14:paraId="0D1BE13C" w14:textId="77777777" w:rsidR="006675DB" w:rsidRPr="00E17E76" w:rsidRDefault="006675DB" w:rsidP="006675DB">
      <w:pPr>
        <w:pStyle w:val="MDPI21heading1"/>
        <w:ind w:left="0"/>
      </w:pPr>
      <w:r w:rsidRPr="00E17E76">
        <w:t>References</w:t>
      </w:r>
    </w:p>
    <w:p w14:paraId="019C7146" w14:textId="77777777" w:rsidR="006675DB" w:rsidRPr="00E17E76" w:rsidRDefault="006675DB" w:rsidP="006675DB">
      <w:pPr>
        <w:numPr>
          <w:ilvl w:val="0"/>
          <w:numId w:val="3"/>
        </w:numPr>
        <w:adjustRightInd w:val="0"/>
        <w:snapToGrid w:val="0"/>
        <w:spacing w:line="228" w:lineRule="auto"/>
        <w:ind w:left="425" w:hanging="425"/>
        <w:rPr>
          <w:rFonts w:eastAsia="Times New Roman"/>
          <w:noProof w:val="0"/>
          <w:sz w:val="18"/>
          <w:lang w:eastAsia="de-DE" w:bidi="en-US"/>
        </w:rPr>
      </w:pPr>
      <w:r w:rsidRPr="00E17E76">
        <w:rPr>
          <w:sz w:val="18"/>
          <w:szCs w:val="18"/>
        </w:rPr>
        <w:t xml:space="preserve">Eunson, P. Aetiology and epidemiology of cerebral palsy. </w:t>
      </w:r>
      <w:r w:rsidRPr="00E17E76">
        <w:rPr>
          <w:i/>
          <w:iCs/>
          <w:sz w:val="18"/>
          <w:szCs w:val="18"/>
        </w:rPr>
        <w:t>Paediatr. Child Health</w:t>
      </w:r>
      <w:r w:rsidRPr="00E17E76">
        <w:rPr>
          <w:sz w:val="18"/>
          <w:szCs w:val="18"/>
        </w:rPr>
        <w:t xml:space="preserve"> </w:t>
      </w:r>
      <w:r w:rsidRPr="00E17E76">
        <w:rPr>
          <w:b/>
          <w:bCs/>
          <w:sz w:val="18"/>
          <w:szCs w:val="18"/>
        </w:rPr>
        <w:t>2016</w:t>
      </w:r>
      <w:r w:rsidRPr="00E17E76">
        <w:rPr>
          <w:sz w:val="18"/>
          <w:szCs w:val="18"/>
        </w:rPr>
        <w:t xml:space="preserve">, </w:t>
      </w:r>
      <w:r w:rsidRPr="00E17E76">
        <w:rPr>
          <w:i/>
          <w:iCs/>
          <w:sz w:val="18"/>
          <w:szCs w:val="18"/>
        </w:rPr>
        <w:t>26</w:t>
      </w:r>
      <w:r w:rsidRPr="00E17E76">
        <w:rPr>
          <w:sz w:val="18"/>
          <w:szCs w:val="18"/>
        </w:rPr>
        <w:t>, 367–372</w:t>
      </w:r>
      <w:r w:rsidRPr="00E17E76">
        <w:rPr>
          <w:rFonts w:eastAsia="Times New Roman"/>
          <w:noProof w:val="0"/>
          <w:sz w:val="18"/>
          <w:szCs w:val="18"/>
          <w:lang w:eastAsia="de-DE" w:bidi="en-US"/>
        </w:rPr>
        <w:t xml:space="preserve">. </w:t>
      </w:r>
      <w:r w:rsidRPr="00E17E76">
        <w:rPr>
          <w:rFonts w:eastAsia="Times New Roman"/>
          <w:noProof w:val="0"/>
          <w:sz w:val="18"/>
          <w:lang w:eastAsia="de-DE" w:bidi="en-US"/>
        </w:rPr>
        <w:t>https://doi.org/10.1016/j.paed.2016.04.011.</w:t>
      </w:r>
    </w:p>
    <w:p w14:paraId="69B23FED" w14:textId="77777777" w:rsidR="006675DB" w:rsidRPr="00E17E76" w:rsidRDefault="006675DB" w:rsidP="006675DB">
      <w:pPr>
        <w:numPr>
          <w:ilvl w:val="0"/>
          <w:numId w:val="3"/>
        </w:numPr>
        <w:adjustRightInd w:val="0"/>
        <w:snapToGrid w:val="0"/>
        <w:spacing w:line="228" w:lineRule="auto"/>
        <w:ind w:left="425" w:hanging="425"/>
        <w:rPr>
          <w:rFonts w:eastAsia="Times New Roman"/>
          <w:noProof w:val="0"/>
          <w:sz w:val="18"/>
          <w:lang w:val="da-DK" w:eastAsia="de-DE" w:bidi="en-US"/>
        </w:rPr>
      </w:pPr>
      <w:r w:rsidRPr="00E17E76">
        <w:rPr>
          <w:sz w:val="18"/>
          <w:szCs w:val="18"/>
        </w:rPr>
        <w:t xml:space="preserve">Colver, A.; Fairhurst, C.; Pharoah, P.O.D. Cerebral palsy. </w:t>
      </w:r>
      <w:r w:rsidRPr="00E17E76">
        <w:rPr>
          <w:i/>
          <w:iCs/>
          <w:sz w:val="18"/>
          <w:szCs w:val="18"/>
          <w:lang w:val="da-DK"/>
        </w:rPr>
        <w:t>Lancet</w:t>
      </w:r>
      <w:r w:rsidRPr="00E17E76">
        <w:rPr>
          <w:sz w:val="18"/>
          <w:szCs w:val="18"/>
          <w:lang w:val="da-DK"/>
        </w:rPr>
        <w:t xml:space="preserve"> </w:t>
      </w:r>
      <w:r w:rsidRPr="00E17E76">
        <w:rPr>
          <w:b/>
          <w:bCs/>
          <w:sz w:val="18"/>
          <w:szCs w:val="18"/>
          <w:lang w:val="da-DK"/>
        </w:rPr>
        <w:t>2014</w:t>
      </w:r>
      <w:r w:rsidRPr="00E17E76">
        <w:rPr>
          <w:sz w:val="18"/>
          <w:szCs w:val="18"/>
          <w:lang w:val="da-DK"/>
        </w:rPr>
        <w:t xml:space="preserve">, </w:t>
      </w:r>
      <w:r w:rsidRPr="00E17E76">
        <w:rPr>
          <w:i/>
          <w:iCs/>
          <w:sz w:val="18"/>
          <w:szCs w:val="18"/>
          <w:lang w:val="da-DK"/>
        </w:rPr>
        <w:t>383</w:t>
      </w:r>
      <w:r w:rsidRPr="00E17E76">
        <w:rPr>
          <w:sz w:val="18"/>
          <w:szCs w:val="18"/>
          <w:lang w:val="da-DK"/>
        </w:rPr>
        <w:t>, 1240–1249</w:t>
      </w:r>
      <w:r w:rsidRPr="00E17E76">
        <w:rPr>
          <w:rFonts w:eastAsia="Times New Roman"/>
          <w:noProof w:val="0"/>
          <w:sz w:val="18"/>
          <w:szCs w:val="18"/>
          <w:lang w:val="da-DK" w:eastAsia="de-DE" w:bidi="en-US"/>
        </w:rPr>
        <w:t>.</w:t>
      </w:r>
      <w:r w:rsidRPr="00E17E76">
        <w:rPr>
          <w:rFonts w:eastAsia="Times New Roman"/>
          <w:noProof w:val="0"/>
          <w:sz w:val="18"/>
          <w:lang w:val="da-DK" w:eastAsia="de-DE" w:bidi="en-US"/>
        </w:rPr>
        <w:t xml:space="preserve"> https://doi.org/10.1016/S0140-6736(13)61835-8.</w:t>
      </w:r>
    </w:p>
    <w:p w14:paraId="764B5B76" w14:textId="77777777" w:rsidR="006675DB" w:rsidRPr="00E17E76" w:rsidRDefault="006675DB" w:rsidP="006675DB">
      <w:pPr>
        <w:numPr>
          <w:ilvl w:val="0"/>
          <w:numId w:val="3"/>
        </w:numPr>
        <w:adjustRightInd w:val="0"/>
        <w:snapToGrid w:val="0"/>
        <w:spacing w:line="228" w:lineRule="auto"/>
        <w:ind w:left="425" w:hanging="425"/>
        <w:rPr>
          <w:rFonts w:eastAsia="Times New Roman"/>
          <w:noProof w:val="0"/>
          <w:sz w:val="18"/>
          <w:lang w:eastAsia="de-DE" w:bidi="en-US"/>
        </w:rPr>
      </w:pPr>
      <w:r w:rsidRPr="00E17E76">
        <w:rPr>
          <w:sz w:val="18"/>
          <w:szCs w:val="18"/>
        </w:rPr>
        <w:t xml:space="preserve">Blankenburg, M.; Junker, J.; Hirschfeld, G.; Michel, E.; Aksu, F.; Wager, J.; Zernikow, B. Quantitative sensory testing profiles in children, adolescents and young adults (6–20 years) with cerebral palsy: Hints for a neuropathic genesis of pain syndromes. </w:t>
      </w:r>
      <w:r w:rsidRPr="00E17E76">
        <w:rPr>
          <w:i/>
          <w:iCs/>
          <w:sz w:val="18"/>
          <w:szCs w:val="18"/>
        </w:rPr>
        <w:t>Eur. J. Paediatr. Neurol.</w:t>
      </w:r>
      <w:r w:rsidRPr="00E17E76">
        <w:rPr>
          <w:sz w:val="18"/>
          <w:szCs w:val="18"/>
        </w:rPr>
        <w:t xml:space="preserve"> </w:t>
      </w:r>
      <w:r w:rsidRPr="00E17E76">
        <w:rPr>
          <w:b/>
          <w:bCs/>
          <w:sz w:val="18"/>
          <w:szCs w:val="18"/>
        </w:rPr>
        <w:t>2018</w:t>
      </w:r>
      <w:r w:rsidRPr="00E17E76">
        <w:rPr>
          <w:sz w:val="18"/>
          <w:szCs w:val="18"/>
        </w:rPr>
        <w:t xml:space="preserve">, </w:t>
      </w:r>
      <w:r w:rsidRPr="00E17E76">
        <w:rPr>
          <w:i/>
          <w:iCs/>
          <w:sz w:val="18"/>
          <w:szCs w:val="18"/>
        </w:rPr>
        <w:t>22</w:t>
      </w:r>
      <w:r w:rsidRPr="00E17E76">
        <w:rPr>
          <w:sz w:val="18"/>
          <w:szCs w:val="18"/>
        </w:rPr>
        <w:t>, 470–481</w:t>
      </w:r>
      <w:r w:rsidRPr="00E17E76">
        <w:rPr>
          <w:rFonts w:eastAsia="Times New Roman"/>
          <w:noProof w:val="0"/>
          <w:sz w:val="18"/>
          <w:lang w:eastAsia="de-DE" w:bidi="en-US"/>
        </w:rPr>
        <w:t>. https://doi.org/10.1016/j.ejpn.2017.12.015.</w:t>
      </w:r>
    </w:p>
    <w:p w14:paraId="4400A68B" w14:textId="77777777" w:rsidR="006675DB" w:rsidRPr="00E17E76" w:rsidRDefault="006675DB" w:rsidP="006675DB">
      <w:pPr>
        <w:numPr>
          <w:ilvl w:val="0"/>
          <w:numId w:val="3"/>
        </w:numPr>
        <w:adjustRightInd w:val="0"/>
        <w:snapToGrid w:val="0"/>
        <w:spacing w:line="228" w:lineRule="auto"/>
        <w:ind w:left="425" w:hanging="425"/>
        <w:rPr>
          <w:rFonts w:eastAsia="Times New Roman"/>
          <w:noProof w:val="0"/>
          <w:sz w:val="18"/>
          <w:szCs w:val="18"/>
          <w:lang w:eastAsia="de-DE" w:bidi="en-US"/>
        </w:rPr>
      </w:pPr>
      <w:r w:rsidRPr="00E17E76">
        <w:rPr>
          <w:sz w:val="18"/>
          <w:szCs w:val="18"/>
        </w:rPr>
        <w:t xml:space="preserve">Michelsen, J.S.; Normann, G.; Wong, C. Analgesic effects of botulinum toxin in children with CP. </w:t>
      </w:r>
      <w:r w:rsidRPr="00E17E76">
        <w:rPr>
          <w:i/>
          <w:iCs/>
          <w:sz w:val="18"/>
          <w:szCs w:val="18"/>
        </w:rPr>
        <w:t>Toxins</w:t>
      </w:r>
      <w:r w:rsidRPr="00E17E76">
        <w:rPr>
          <w:sz w:val="18"/>
          <w:szCs w:val="18"/>
        </w:rPr>
        <w:t xml:space="preserve"> </w:t>
      </w:r>
      <w:r w:rsidRPr="00E17E76">
        <w:rPr>
          <w:b/>
          <w:bCs/>
          <w:sz w:val="18"/>
          <w:szCs w:val="18"/>
        </w:rPr>
        <w:t>2018</w:t>
      </w:r>
      <w:r w:rsidRPr="00E17E76">
        <w:rPr>
          <w:sz w:val="18"/>
          <w:szCs w:val="18"/>
        </w:rPr>
        <w:t xml:space="preserve">, </w:t>
      </w:r>
      <w:r w:rsidRPr="00E17E76">
        <w:rPr>
          <w:i/>
          <w:iCs/>
          <w:sz w:val="18"/>
          <w:szCs w:val="18"/>
        </w:rPr>
        <w:t>10</w:t>
      </w:r>
      <w:r w:rsidRPr="00E17E76">
        <w:rPr>
          <w:sz w:val="18"/>
          <w:szCs w:val="18"/>
        </w:rPr>
        <w:t>, 162</w:t>
      </w:r>
      <w:r w:rsidRPr="00E17E76">
        <w:rPr>
          <w:rFonts w:eastAsia="Times New Roman"/>
          <w:noProof w:val="0"/>
          <w:sz w:val="18"/>
          <w:szCs w:val="18"/>
          <w:lang w:eastAsia="de-DE" w:bidi="en-US"/>
        </w:rPr>
        <w:t>. https://doi.org/10.3390/toxins10040162.</w:t>
      </w:r>
    </w:p>
    <w:p w14:paraId="6801F2E4" w14:textId="77777777" w:rsidR="006675DB" w:rsidRPr="00E17E76" w:rsidRDefault="006675DB" w:rsidP="006675DB">
      <w:pPr>
        <w:numPr>
          <w:ilvl w:val="0"/>
          <w:numId w:val="3"/>
        </w:numPr>
        <w:adjustRightInd w:val="0"/>
        <w:snapToGrid w:val="0"/>
        <w:spacing w:line="228" w:lineRule="auto"/>
        <w:ind w:left="425" w:hanging="425"/>
        <w:rPr>
          <w:rFonts w:eastAsia="Times New Roman"/>
          <w:noProof w:val="0"/>
          <w:sz w:val="18"/>
          <w:lang w:eastAsia="de-DE" w:bidi="en-US"/>
        </w:rPr>
      </w:pPr>
      <w:r w:rsidRPr="00E17E76">
        <w:rPr>
          <w:sz w:val="18"/>
          <w:szCs w:val="18"/>
        </w:rPr>
        <w:t xml:space="preserve">Kingsnorth, S.; Orava, T.; Provvidenza, C.; Adler, E.; Ami, N.; Gresley-Jones, T.; Mankad, D.; Slonim, N.; Fay, L.; Joachimides, N.; et al. </w:t>
      </w:r>
      <w:bookmarkStart w:id="7" w:name="OLE_LINK3"/>
      <w:bookmarkStart w:id="8" w:name="OLE_LINK4"/>
      <w:r w:rsidRPr="00E17E76">
        <w:rPr>
          <w:sz w:val="18"/>
          <w:szCs w:val="18"/>
        </w:rPr>
        <w:t xml:space="preserve">Chronic pain assessment tools for cerebral palsy: A systematic review. </w:t>
      </w:r>
      <w:bookmarkEnd w:id="7"/>
      <w:bookmarkEnd w:id="8"/>
      <w:r w:rsidRPr="00E17E76">
        <w:rPr>
          <w:i/>
          <w:iCs/>
          <w:sz w:val="18"/>
          <w:szCs w:val="18"/>
        </w:rPr>
        <w:t>Pediatrics</w:t>
      </w:r>
      <w:r w:rsidRPr="00E17E76">
        <w:rPr>
          <w:sz w:val="18"/>
          <w:szCs w:val="18"/>
        </w:rPr>
        <w:t xml:space="preserve"> </w:t>
      </w:r>
      <w:r w:rsidRPr="00E17E76">
        <w:rPr>
          <w:b/>
          <w:bCs/>
          <w:sz w:val="18"/>
          <w:szCs w:val="18"/>
        </w:rPr>
        <w:t>2015</w:t>
      </w:r>
      <w:r w:rsidRPr="00E17E76">
        <w:rPr>
          <w:sz w:val="18"/>
          <w:szCs w:val="18"/>
        </w:rPr>
        <w:t xml:space="preserve">, </w:t>
      </w:r>
      <w:r w:rsidRPr="00E17E76">
        <w:rPr>
          <w:i/>
          <w:iCs/>
          <w:sz w:val="18"/>
          <w:szCs w:val="18"/>
        </w:rPr>
        <w:t>136</w:t>
      </w:r>
      <w:r w:rsidRPr="00E17E76">
        <w:rPr>
          <w:sz w:val="18"/>
          <w:szCs w:val="18"/>
        </w:rPr>
        <w:t>, e947–e960</w:t>
      </w:r>
      <w:r w:rsidRPr="00E17E76">
        <w:rPr>
          <w:rFonts w:eastAsia="Times New Roman"/>
          <w:noProof w:val="0"/>
          <w:sz w:val="18"/>
          <w:szCs w:val="18"/>
          <w:lang w:eastAsia="de-DE" w:bidi="en-US"/>
        </w:rPr>
        <w:t>.</w:t>
      </w:r>
      <w:r w:rsidRPr="00E17E76">
        <w:rPr>
          <w:rFonts w:eastAsia="Times New Roman"/>
          <w:noProof w:val="0"/>
          <w:sz w:val="18"/>
          <w:lang w:eastAsia="de-DE" w:bidi="en-US"/>
        </w:rPr>
        <w:t xml:space="preserve"> https://doi.org/10.1542/peds.2015-0273.</w:t>
      </w:r>
    </w:p>
    <w:p w14:paraId="2DD01136" w14:textId="77777777" w:rsidR="006675DB" w:rsidRPr="00E17E76" w:rsidRDefault="006675DB" w:rsidP="006675DB">
      <w:pPr>
        <w:numPr>
          <w:ilvl w:val="0"/>
          <w:numId w:val="3"/>
        </w:numPr>
        <w:adjustRightInd w:val="0"/>
        <w:snapToGrid w:val="0"/>
        <w:spacing w:line="228" w:lineRule="auto"/>
        <w:ind w:left="425" w:hanging="425"/>
        <w:rPr>
          <w:rFonts w:eastAsia="Times New Roman"/>
          <w:noProof w:val="0"/>
          <w:sz w:val="18"/>
          <w:lang w:eastAsia="de-DE" w:bidi="en-US"/>
        </w:rPr>
      </w:pPr>
      <w:r w:rsidRPr="00E17E76">
        <w:rPr>
          <w:sz w:val="18"/>
          <w:szCs w:val="18"/>
        </w:rPr>
        <w:t xml:space="preserve">Alriksson‐Schmidt, A.; Hägglund, G. Pain in children and adolescents with cerebral palsy: A population‐based registry study. </w:t>
      </w:r>
      <w:r w:rsidRPr="00E17E76">
        <w:rPr>
          <w:i/>
          <w:iCs/>
          <w:sz w:val="18"/>
          <w:szCs w:val="18"/>
        </w:rPr>
        <w:t>Acta Paediatr.</w:t>
      </w:r>
      <w:r w:rsidRPr="00E17E76">
        <w:rPr>
          <w:sz w:val="18"/>
          <w:szCs w:val="18"/>
        </w:rPr>
        <w:t xml:space="preserve"> </w:t>
      </w:r>
      <w:r w:rsidRPr="00E17E76">
        <w:rPr>
          <w:b/>
          <w:bCs/>
          <w:sz w:val="18"/>
          <w:szCs w:val="18"/>
        </w:rPr>
        <w:t>2016</w:t>
      </w:r>
      <w:r w:rsidRPr="00E17E76">
        <w:rPr>
          <w:sz w:val="18"/>
          <w:szCs w:val="18"/>
        </w:rPr>
        <w:t xml:space="preserve">, </w:t>
      </w:r>
      <w:r w:rsidRPr="00E17E76">
        <w:rPr>
          <w:i/>
          <w:iCs/>
          <w:sz w:val="18"/>
          <w:szCs w:val="18"/>
        </w:rPr>
        <w:t>105</w:t>
      </w:r>
      <w:r w:rsidRPr="00E17E76">
        <w:rPr>
          <w:sz w:val="18"/>
          <w:szCs w:val="18"/>
        </w:rPr>
        <w:t>, 665–670</w:t>
      </w:r>
      <w:r w:rsidRPr="00E17E76">
        <w:rPr>
          <w:rFonts w:eastAsia="Times New Roman"/>
          <w:noProof w:val="0"/>
          <w:sz w:val="18"/>
          <w:szCs w:val="18"/>
          <w:lang w:eastAsia="de-DE" w:bidi="en-US"/>
        </w:rPr>
        <w:t>.</w:t>
      </w:r>
      <w:r w:rsidRPr="00E17E76">
        <w:rPr>
          <w:rFonts w:eastAsia="Times New Roman"/>
          <w:noProof w:val="0"/>
          <w:sz w:val="18"/>
          <w:lang w:eastAsia="de-DE" w:bidi="en-US"/>
        </w:rPr>
        <w:t xml:space="preserve"> https://doi.org/10.1111/apa.13368.</w:t>
      </w:r>
    </w:p>
    <w:p w14:paraId="22310C2D" w14:textId="77777777" w:rsidR="006675DB" w:rsidRPr="00E17E76" w:rsidRDefault="006675DB" w:rsidP="006675DB">
      <w:pPr>
        <w:numPr>
          <w:ilvl w:val="0"/>
          <w:numId w:val="3"/>
        </w:numPr>
        <w:adjustRightInd w:val="0"/>
        <w:snapToGrid w:val="0"/>
        <w:spacing w:line="228" w:lineRule="auto"/>
        <w:ind w:left="425" w:hanging="425"/>
        <w:rPr>
          <w:rFonts w:eastAsia="Times New Roman"/>
          <w:noProof w:val="0"/>
          <w:sz w:val="18"/>
          <w:lang w:eastAsia="de-DE" w:bidi="en-US"/>
        </w:rPr>
      </w:pPr>
      <w:r w:rsidRPr="00E17E76">
        <w:rPr>
          <w:sz w:val="18"/>
          <w:szCs w:val="18"/>
          <w:lang w:val="da-DK"/>
        </w:rPr>
        <w:t xml:space="preserve">Fauconnier, J.; O’Dickinson, H.; Beckung, E.; Marcelli, M.; McManus, V.; I Michelsen, S.; Parkes, J.; Parkinson, K.N.; Thyen, U.; Arnaud, C.; et al. </w:t>
      </w:r>
      <w:r w:rsidRPr="00E17E76">
        <w:rPr>
          <w:sz w:val="18"/>
          <w:szCs w:val="18"/>
        </w:rPr>
        <w:t xml:space="preserve">Participation in life situations of 8-12 year old children with cerebral palsy: Cross sectional European study. </w:t>
      </w:r>
      <w:r w:rsidRPr="00E17E76">
        <w:rPr>
          <w:i/>
          <w:iCs/>
          <w:sz w:val="18"/>
          <w:szCs w:val="18"/>
        </w:rPr>
        <w:t>BMJ</w:t>
      </w:r>
      <w:r w:rsidRPr="00E17E76">
        <w:rPr>
          <w:sz w:val="18"/>
          <w:szCs w:val="18"/>
        </w:rPr>
        <w:t xml:space="preserve"> </w:t>
      </w:r>
      <w:r w:rsidRPr="00E17E76">
        <w:rPr>
          <w:b/>
          <w:bCs/>
          <w:sz w:val="18"/>
          <w:szCs w:val="18"/>
        </w:rPr>
        <w:t>2009</w:t>
      </w:r>
      <w:r w:rsidRPr="00E17E76">
        <w:rPr>
          <w:sz w:val="18"/>
          <w:szCs w:val="18"/>
        </w:rPr>
        <w:t>,</w:t>
      </w:r>
      <w:r w:rsidRPr="00E17E76">
        <w:rPr>
          <w:rFonts w:eastAsia="Times New Roman"/>
          <w:noProof w:val="0"/>
          <w:sz w:val="18"/>
          <w:lang w:eastAsia="de-DE" w:bidi="en-US"/>
        </w:rPr>
        <w:t xml:space="preserve"> 383, 1240–1249. https://doi.org/10.1136/bmj.b1458.</w:t>
      </w:r>
    </w:p>
    <w:p w14:paraId="4EACDFBB" w14:textId="77777777" w:rsidR="006675DB" w:rsidRPr="00E17E76" w:rsidRDefault="006675DB" w:rsidP="006675DB">
      <w:pPr>
        <w:numPr>
          <w:ilvl w:val="0"/>
          <w:numId w:val="3"/>
        </w:numPr>
        <w:adjustRightInd w:val="0"/>
        <w:snapToGrid w:val="0"/>
        <w:spacing w:line="228" w:lineRule="auto"/>
        <w:ind w:left="425" w:hanging="425"/>
        <w:rPr>
          <w:rFonts w:eastAsia="Times New Roman"/>
          <w:noProof w:val="0"/>
          <w:sz w:val="18"/>
          <w:lang w:eastAsia="de-DE" w:bidi="en-US"/>
        </w:rPr>
      </w:pPr>
      <w:r w:rsidRPr="00E17E76">
        <w:rPr>
          <w:sz w:val="18"/>
          <w:szCs w:val="18"/>
        </w:rPr>
        <w:t xml:space="preserve">Copeland, L.; Edwards, P.; Thorley, M.; Donaghey, S.; Gascoigne-Pees, L.; Kentish, M.; Cert, G.; Lindsley, J.; McLennan, K.; Sakzewski, L.; et al. Botulinum toxin a for nonambulatory children with cerebral palsy: A double blind randomized controlled trial. </w:t>
      </w:r>
      <w:r w:rsidRPr="00E17E76">
        <w:rPr>
          <w:i/>
          <w:iCs/>
          <w:sz w:val="18"/>
          <w:szCs w:val="18"/>
        </w:rPr>
        <w:t>J. Pediatr.</w:t>
      </w:r>
      <w:r w:rsidRPr="00E17E76">
        <w:rPr>
          <w:sz w:val="18"/>
          <w:szCs w:val="18"/>
        </w:rPr>
        <w:t xml:space="preserve"> </w:t>
      </w:r>
      <w:r w:rsidRPr="00E17E76">
        <w:rPr>
          <w:b/>
          <w:bCs/>
          <w:sz w:val="18"/>
          <w:szCs w:val="18"/>
        </w:rPr>
        <w:t>2014</w:t>
      </w:r>
      <w:r w:rsidRPr="00E17E76">
        <w:rPr>
          <w:sz w:val="18"/>
          <w:szCs w:val="18"/>
        </w:rPr>
        <w:t xml:space="preserve">, </w:t>
      </w:r>
      <w:r w:rsidRPr="00E17E76">
        <w:rPr>
          <w:i/>
          <w:iCs/>
          <w:sz w:val="18"/>
          <w:szCs w:val="18"/>
        </w:rPr>
        <w:t>165</w:t>
      </w:r>
      <w:r w:rsidRPr="00E17E76">
        <w:rPr>
          <w:sz w:val="18"/>
          <w:szCs w:val="18"/>
        </w:rPr>
        <w:t>, 140–146</w:t>
      </w:r>
      <w:r w:rsidRPr="00E17E76">
        <w:rPr>
          <w:rFonts w:eastAsia="Times New Roman"/>
          <w:noProof w:val="0"/>
          <w:sz w:val="18"/>
          <w:szCs w:val="18"/>
          <w:lang w:eastAsia="de-DE" w:bidi="en-US"/>
        </w:rPr>
        <w:t>.</w:t>
      </w:r>
      <w:r w:rsidRPr="00E17E76">
        <w:rPr>
          <w:rFonts w:eastAsia="Times New Roman"/>
          <w:noProof w:val="0"/>
          <w:sz w:val="18"/>
          <w:lang w:eastAsia="de-DE" w:bidi="en-US"/>
        </w:rPr>
        <w:t xml:space="preserve"> https://doi.org/10.1016/j.jpeds.2014.01.050.</w:t>
      </w:r>
    </w:p>
    <w:p w14:paraId="590FEA6A" w14:textId="77777777" w:rsidR="006675DB" w:rsidRPr="00E17E76" w:rsidRDefault="006675DB" w:rsidP="006675DB">
      <w:pPr>
        <w:numPr>
          <w:ilvl w:val="0"/>
          <w:numId w:val="3"/>
        </w:numPr>
        <w:adjustRightInd w:val="0"/>
        <w:snapToGrid w:val="0"/>
        <w:spacing w:line="228" w:lineRule="auto"/>
        <w:ind w:left="425" w:hanging="425"/>
        <w:rPr>
          <w:rFonts w:eastAsia="Times New Roman"/>
          <w:noProof w:val="0"/>
          <w:sz w:val="18"/>
          <w:lang w:eastAsia="de-DE" w:bidi="en-US"/>
        </w:rPr>
      </w:pPr>
      <w:r w:rsidRPr="00E17E76">
        <w:rPr>
          <w:sz w:val="18"/>
          <w:szCs w:val="18"/>
        </w:rPr>
        <w:t xml:space="preserve">O’Dickinson, H.; Parkinson, K.N.; Ravens-Sieberer, U.; Schirripa, G.; Thyen, U.; Arnaud, C.; Beckung, E.; Fauconnier, J.; McManus, V.; I Michelsen, S.; et al. Self-reported quality of life of 8–12-year-old children with cerebral palsy: A cross-sectional European study. </w:t>
      </w:r>
      <w:r w:rsidRPr="00E17E76">
        <w:rPr>
          <w:i/>
          <w:iCs/>
          <w:sz w:val="18"/>
          <w:szCs w:val="18"/>
        </w:rPr>
        <w:t>Lancet</w:t>
      </w:r>
      <w:r w:rsidRPr="00E17E76">
        <w:rPr>
          <w:sz w:val="18"/>
          <w:szCs w:val="18"/>
        </w:rPr>
        <w:t xml:space="preserve"> </w:t>
      </w:r>
      <w:r w:rsidRPr="00E17E76">
        <w:rPr>
          <w:b/>
          <w:bCs/>
          <w:sz w:val="18"/>
          <w:szCs w:val="18"/>
        </w:rPr>
        <w:t>2007</w:t>
      </w:r>
      <w:r w:rsidRPr="00E17E76">
        <w:rPr>
          <w:sz w:val="18"/>
          <w:szCs w:val="18"/>
        </w:rPr>
        <w:t xml:space="preserve">, </w:t>
      </w:r>
      <w:r w:rsidRPr="00E17E76">
        <w:rPr>
          <w:i/>
          <w:iCs/>
          <w:sz w:val="18"/>
          <w:szCs w:val="18"/>
        </w:rPr>
        <w:t>369</w:t>
      </w:r>
      <w:r w:rsidRPr="00E17E76">
        <w:rPr>
          <w:sz w:val="18"/>
          <w:szCs w:val="18"/>
        </w:rPr>
        <w:t>, 2171–2178</w:t>
      </w:r>
      <w:r w:rsidRPr="00E17E76">
        <w:rPr>
          <w:rFonts w:eastAsia="Times New Roman"/>
          <w:noProof w:val="0"/>
          <w:sz w:val="18"/>
          <w:szCs w:val="18"/>
          <w:lang w:eastAsia="de-DE" w:bidi="en-US"/>
        </w:rPr>
        <w:t>.</w:t>
      </w:r>
      <w:r w:rsidRPr="00E17E76">
        <w:rPr>
          <w:rFonts w:eastAsia="Times New Roman"/>
          <w:noProof w:val="0"/>
          <w:sz w:val="18"/>
          <w:lang w:eastAsia="de-DE" w:bidi="en-US"/>
        </w:rPr>
        <w:t xml:space="preserve"> https://doi.org/10.1016/S0140-6736(07)61013-7.</w:t>
      </w:r>
    </w:p>
    <w:p w14:paraId="52A0CA69" w14:textId="77777777" w:rsidR="006675DB" w:rsidRPr="00E17E76" w:rsidRDefault="006675DB" w:rsidP="006675DB">
      <w:pPr>
        <w:numPr>
          <w:ilvl w:val="0"/>
          <w:numId w:val="3"/>
        </w:numPr>
        <w:adjustRightInd w:val="0"/>
        <w:snapToGrid w:val="0"/>
        <w:spacing w:line="228" w:lineRule="auto"/>
        <w:ind w:left="425" w:hanging="425"/>
        <w:rPr>
          <w:rFonts w:eastAsia="Times New Roman"/>
          <w:noProof w:val="0"/>
          <w:sz w:val="18"/>
          <w:lang w:eastAsia="de-DE" w:bidi="en-US"/>
        </w:rPr>
      </w:pPr>
      <w:r w:rsidRPr="00E17E76">
        <w:rPr>
          <w:sz w:val="18"/>
          <w:szCs w:val="18"/>
        </w:rPr>
        <w:t xml:space="preserve">Parkinson, K.N.; Gibson, L.; O Dickinson, H.; Colver, A.F. Pain in children with cerebral palsy: A cross-sectional multicentre European study. </w:t>
      </w:r>
      <w:r w:rsidRPr="00E17E76">
        <w:rPr>
          <w:i/>
          <w:iCs/>
          <w:sz w:val="18"/>
          <w:szCs w:val="18"/>
        </w:rPr>
        <w:t>Acta Paediatr.</w:t>
      </w:r>
      <w:r w:rsidRPr="00E17E76">
        <w:rPr>
          <w:sz w:val="18"/>
          <w:szCs w:val="18"/>
        </w:rPr>
        <w:t xml:space="preserve"> </w:t>
      </w:r>
      <w:r w:rsidRPr="00E17E76">
        <w:rPr>
          <w:b/>
          <w:bCs/>
          <w:sz w:val="18"/>
          <w:szCs w:val="18"/>
        </w:rPr>
        <w:t>2010</w:t>
      </w:r>
      <w:r w:rsidRPr="00E17E76">
        <w:rPr>
          <w:sz w:val="18"/>
          <w:szCs w:val="18"/>
        </w:rPr>
        <w:t xml:space="preserve">, </w:t>
      </w:r>
      <w:r w:rsidRPr="00E17E76">
        <w:rPr>
          <w:i/>
          <w:iCs/>
          <w:sz w:val="18"/>
          <w:szCs w:val="18"/>
        </w:rPr>
        <w:t>99</w:t>
      </w:r>
      <w:r w:rsidRPr="00E17E76">
        <w:rPr>
          <w:sz w:val="18"/>
          <w:szCs w:val="18"/>
        </w:rPr>
        <w:t>, 446–451</w:t>
      </w:r>
      <w:r w:rsidRPr="00E17E76">
        <w:rPr>
          <w:rFonts w:eastAsia="Times New Roman"/>
          <w:noProof w:val="0"/>
          <w:sz w:val="18"/>
          <w:szCs w:val="18"/>
          <w:lang w:eastAsia="de-DE" w:bidi="en-US"/>
        </w:rPr>
        <w:t>.</w:t>
      </w:r>
      <w:r w:rsidRPr="00E17E76">
        <w:rPr>
          <w:rFonts w:eastAsia="Times New Roman"/>
          <w:noProof w:val="0"/>
          <w:sz w:val="18"/>
          <w:lang w:eastAsia="de-DE" w:bidi="en-US"/>
        </w:rPr>
        <w:t xml:space="preserve"> https://doi.org/10.1111/j.1651-2227.2009.01626.x.</w:t>
      </w:r>
    </w:p>
    <w:p w14:paraId="7D81F92E" w14:textId="77777777" w:rsidR="006675DB" w:rsidRPr="00E17E76" w:rsidRDefault="006675DB" w:rsidP="006675DB">
      <w:pPr>
        <w:numPr>
          <w:ilvl w:val="0"/>
          <w:numId w:val="3"/>
        </w:numPr>
        <w:adjustRightInd w:val="0"/>
        <w:snapToGrid w:val="0"/>
        <w:spacing w:line="228" w:lineRule="auto"/>
        <w:ind w:left="425" w:hanging="425"/>
        <w:rPr>
          <w:rFonts w:eastAsia="Times New Roman"/>
          <w:noProof w:val="0"/>
          <w:sz w:val="18"/>
          <w:lang w:eastAsia="de-DE" w:bidi="en-US"/>
        </w:rPr>
      </w:pPr>
      <w:r w:rsidRPr="00E17E76">
        <w:rPr>
          <w:sz w:val="18"/>
          <w:szCs w:val="18"/>
        </w:rPr>
        <w:t xml:space="preserve">Ostojic, K.; Paget, S.P.; Morrow, A.M. </w:t>
      </w:r>
      <w:bookmarkStart w:id="9" w:name="OLE_LINK5"/>
      <w:bookmarkStart w:id="10" w:name="OLE_LINK6"/>
      <w:r w:rsidRPr="00E17E76">
        <w:rPr>
          <w:sz w:val="18"/>
          <w:szCs w:val="18"/>
        </w:rPr>
        <w:t>Management of pain in children and adolescents with cerebral palsy: A systematic review.</w:t>
      </w:r>
      <w:bookmarkEnd w:id="9"/>
      <w:bookmarkEnd w:id="10"/>
      <w:r w:rsidRPr="00E17E76">
        <w:rPr>
          <w:sz w:val="18"/>
          <w:szCs w:val="18"/>
        </w:rPr>
        <w:t xml:space="preserve"> </w:t>
      </w:r>
      <w:r w:rsidRPr="00E17E76">
        <w:rPr>
          <w:i/>
          <w:iCs/>
          <w:sz w:val="18"/>
          <w:szCs w:val="18"/>
        </w:rPr>
        <w:t>Dev. Med. Child Neurol.</w:t>
      </w:r>
      <w:r w:rsidRPr="00E17E76">
        <w:rPr>
          <w:sz w:val="18"/>
          <w:szCs w:val="18"/>
        </w:rPr>
        <w:t xml:space="preserve"> </w:t>
      </w:r>
      <w:r w:rsidRPr="00E17E76">
        <w:rPr>
          <w:b/>
          <w:bCs/>
          <w:sz w:val="18"/>
          <w:szCs w:val="18"/>
        </w:rPr>
        <w:t>2019</w:t>
      </w:r>
      <w:r w:rsidRPr="00E17E76">
        <w:rPr>
          <w:sz w:val="18"/>
          <w:szCs w:val="18"/>
        </w:rPr>
        <w:t xml:space="preserve">, </w:t>
      </w:r>
      <w:r w:rsidRPr="00E17E76">
        <w:rPr>
          <w:i/>
          <w:iCs/>
          <w:sz w:val="18"/>
          <w:szCs w:val="18"/>
        </w:rPr>
        <w:t>61</w:t>
      </w:r>
      <w:r w:rsidRPr="00E17E76">
        <w:rPr>
          <w:sz w:val="18"/>
          <w:szCs w:val="18"/>
        </w:rPr>
        <w:t>, 315–321</w:t>
      </w:r>
      <w:r w:rsidRPr="00E17E76">
        <w:rPr>
          <w:rFonts w:eastAsia="Times New Roman"/>
          <w:noProof w:val="0"/>
          <w:sz w:val="18"/>
          <w:szCs w:val="18"/>
          <w:lang w:eastAsia="de-DE" w:bidi="en-US"/>
        </w:rPr>
        <w:t>.</w:t>
      </w:r>
      <w:r w:rsidRPr="00E17E76">
        <w:rPr>
          <w:rFonts w:eastAsia="Times New Roman"/>
          <w:noProof w:val="0"/>
          <w:sz w:val="18"/>
          <w:lang w:eastAsia="de-DE" w:bidi="en-US"/>
        </w:rPr>
        <w:t xml:space="preserve"> https://doi.org/10.1111/dmcn.14088.</w:t>
      </w:r>
    </w:p>
    <w:p w14:paraId="7E414E25" w14:textId="77777777" w:rsidR="006675DB" w:rsidRPr="00E17E76" w:rsidRDefault="006675DB" w:rsidP="006675DB">
      <w:pPr>
        <w:numPr>
          <w:ilvl w:val="0"/>
          <w:numId w:val="3"/>
        </w:numPr>
        <w:adjustRightInd w:val="0"/>
        <w:snapToGrid w:val="0"/>
        <w:spacing w:line="228" w:lineRule="auto"/>
        <w:ind w:left="425" w:hanging="425"/>
        <w:rPr>
          <w:rFonts w:eastAsia="Times New Roman"/>
          <w:noProof w:val="0"/>
          <w:sz w:val="18"/>
          <w:lang w:eastAsia="de-DE" w:bidi="en-US"/>
        </w:rPr>
      </w:pPr>
      <w:r w:rsidRPr="00E17E76">
        <w:rPr>
          <w:rFonts w:eastAsia="Times New Roman"/>
          <w:noProof w:val="0"/>
          <w:sz w:val="18"/>
          <w:lang w:eastAsia="de-DE" w:bidi="en-US"/>
        </w:rPr>
        <w:t xml:space="preserve">Flyckt, N.; Wong, C.; Michelsen, J.S. </w:t>
      </w:r>
      <w:bookmarkStart w:id="11" w:name="OLE_LINK7"/>
      <w:bookmarkStart w:id="12" w:name="OLE_LINK8"/>
      <w:r w:rsidRPr="00E17E76">
        <w:rPr>
          <w:rFonts w:eastAsia="Times New Roman"/>
          <w:noProof w:val="0"/>
          <w:sz w:val="18"/>
          <w:lang w:eastAsia="de-DE" w:bidi="en-US"/>
        </w:rPr>
        <w:t xml:space="preserve">Non-pharmacological and non-surgical treatment of pain in children and adolescents with cerebral palsy: A scoping review. </w:t>
      </w:r>
      <w:bookmarkEnd w:id="11"/>
      <w:bookmarkEnd w:id="12"/>
      <w:r w:rsidRPr="00E17E76">
        <w:rPr>
          <w:rFonts w:eastAsia="Times New Roman"/>
          <w:i/>
          <w:iCs/>
          <w:noProof w:val="0"/>
          <w:sz w:val="18"/>
          <w:lang w:eastAsia="de-DE" w:bidi="en-US"/>
        </w:rPr>
        <w:t xml:space="preserve">J. </w:t>
      </w:r>
      <w:proofErr w:type="spellStart"/>
      <w:r w:rsidRPr="00E17E76">
        <w:rPr>
          <w:rFonts w:eastAsia="Times New Roman"/>
          <w:i/>
          <w:iCs/>
          <w:noProof w:val="0"/>
          <w:sz w:val="18"/>
          <w:lang w:eastAsia="de-DE" w:bidi="en-US"/>
        </w:rPr>
        <w:t>Pediatr</w:t>
      </w:r>
      <w:proofErr w:type="spellEnd"/>
      <w:r w:rsidRPr="00E17E76">
        <w:rPr>
          <w:rFonts w:eastAsia="Times New Roman"/>
          <w:i/>
          <w:iCs/>
          <w:noProof w:val="0"/>
          <w:sz w:val="18"/>
          <w:lang w:eastAsia="de-DE" w:bidi="en-US"/>
        </w:rPr>
        <w:t xml:space="preserve">. </w:t>
      </w:r>
      <w:proofErr w:type="spellStart"/>
      <w:r w:rsidRPr="00E17E76">
        <w:rPr>
          <w:rFonts w:eastAsia="Times New Roman"/>
          <w:i/>
          <w:iCs/>
          <w:noProof w:val="0"/>
          <w:sz w:val="18"/>
          <w:lang w:eastAsia="de-DE" w:bidi="en-US"/>
        </w:rPr>
        <w:t>Rehabil</w:t>
      </w:r>
      <w:proofErr w:type="spellEnd"/>
      <w:r w:rsidRPr="00E17E76">
        <w:rPr>
          <w:rFonts w:eastAsia="Times New Roman"/>
          <w:i/>
          <w:iCs/>
          <w:noProof w:val="0"/>
          <w:sz w:val="18"/>
          <w:lang w:eastAsia="de-DE" w:bidi="en-US"/>
        </w:rPr>
        <w:t>. Med.</w:t>
      </w:r>
      <w:r w:rsidRPr="00E17E76">
        <w:rPr>
          <w:rFonts w:eastAsia="Times New Roman"/>
          <w:noProof w:val="0"/>
          <w:sz w:val="18"/>
          <w:lang w:eastAsia="de-DE" w:bidi="en-US"/>
        </w:rPr>
        <w:t xml:space="preserve"> </w:t>
      </w:r>
      <w:r w:rsidRPr="00E17E76">
        <w:rPr>
          <w:rFonts w:eastAsia="Times New Roman"/>
          <w:b/>
          <w:bCs/>
          <w:noProof w:val="0"/>
          <w:sz w:val="18"/>
          <w:lang w:eastAsia="de-DE" w:bidi="en-US"/>
        </w:rPr>
        <w:t>2021</w:t>
      </w:r>
      <w:r w:rsidRPr="00E17E76">
        <w:rPr>
          <w:rFonts w:eastAsia="Times New Roman"/>
          <w:noProof w:val="0"/>
          <w:sz w:val="18"/>
          <w:lang w:eastAsia="de-DE" w:bidi="en-US"/>
        </w:rPr>
        <w:t>, in revision.</w:t>
      </w:r>
    </w:p>
    <w:p w14:paraId="2A5FEC23" w14:textId="77777777" w:rsidR="006675DB" w:rsidRPr="00E17E76" w:rsidRDefault="006675DB" w:rsidP="006675DB">
      <w:pPr>
        <w:numPr>
          <w:ilvl w:val="0"/>
          <w:numId w:val="3"/>
        </w:numPr>
        <w:adjustRightInd w:val="0"/>
        <w:snapToGrid w:val="0"/>
        <w:spacing w:line="228" w:lineRule="auto"/>
        <w:ind w:left="425" w:hanging="425"/>
        <w:rPr>
          <w:rFonts w:eastAsia="Times New Roman"/>
          <w:noProof w:val="0"/>
          <w:sz w:val="18"/>
          <w:lang w:eastAsia="de-DE" w:bidi="en-US"/>
        </w:rPr>
      </w:pPr>
      <w:r w:rsidRPr="00E17E76">
        <w:rPr>
          <w:sz w:val="18"/>
          <w:szCs w:val="18"/>
        </w:rPr>
        <w:t xml:space="preserve">Pin, T.W.; Elmasry, J.; Lewis, J. Efficacy of botulinum toxin A in children with cerebral palsy in Gross Motor Function Classification System levels IV and V: A systematic review. </w:t>
      </w:r>
      <w:r w:rsidRPr="00E17E76">
        <w:rPr>
          <w:i/>
          <w:iCs/>
          <w:sz w:val="18"/>
          <w:szCs w:val="18"/>
        </w:rPr>
        <w:t>Dev. Med. Child Neurol.</w:t>
      </w:r>
      <w:r w:rsidRPr="00E17E76">
        <w:rPr>
          <w:sz w:val="18"/>
          <w:szCs w:val="18"/>
        </w:rPr>
        <w:t xml:space="preserve"> </w:t>
      </w:r>
      <w:r w:rsidRPr="00E17E76">
        <w:rPr>
          <w:b/>
          <w:bCs/>
          <w:sz w:val="18"/>
          <w:szCs w:val="18"/>
        </w:rPr>
        <w:t>2013</w:t>
      </w:r>
      <w:r w:rsidRPr="00E17E76">
        <w:rPr>
          <w:sz w:val="18"/>
          <w:szCs w:val="18"/>
        </w:rPr>
        <w:t xml:space="preserve">, </w:t>
      </w:r>
      <w:r w:rsidRPr="00E17E76">
        <w:rPr>
          <w:i/>
          <w:iCs/>
          <w:sz w:val="18"/>
          <w:szCs w:val="18"/>
        </w:rPr>
        <w:t>55</w:t>
      </w:r>
      <w:r w:rsidRPr="00E17E76">
        <w:rPr>
          <w:sz w:val="18"/>
          <w:szCs w:val="18"/>
        </w:rPr>
        <w:t>, 304–313</w:t>
      </w:r>
      <w:r w:rsidRPr="00E17E76">
        <w:rPr>
          <w:rFonts w:eastAsia="Times New Roman"/>
          <w:noProof w:val="0"/>
          <w:sz w:val="18"/>
          <w:szCs w:val="18"/>
          <w:lang w:eastAsia="de-DE" w:bidi="en-US"/>
        </w:rPr>
        <w:t>.</w:t>
      </w:r>
      <w:r w:rsidRPr="00E17E76">
        <w:rPr>
          <w:rFonts w:eastAsia="Times New Roman"/>
          <w:noProof w:val="0"/>
          <w:sz w:val="18"/>
          <w:lang w:eastAsia="de-DE" w:bidi="en-US"/>
        </w:rPr>
        <w:t xml:space="preserve"> https://doi.org/10.1111/j.1469-8749.2012.04438.x.</w:t>
      </w:r>
    </w:p>
    <w:p w14:paraId="3CF2B695" w14:textId="77777777" w:rsidR="006675DB" w:rsidRPr="00E17E76" w:rsidRDefault="006675DB" w:rsidP="006675DB">
      <w:pPr>
        <w:numPr>
          <w:ilvl w:val="0"/>
          <w:numId w:val="3"/>
        </w:numPr>
        <w:adjustRightInd w:val="0"/>
        <w:snapToGrid w:val="0"/>
        <w:spacing w:line="228" w:lineRule="auto"/>
        <w:ind w:left="425" w:hanging="425"/>
        <w:rPr>
          <w:rFonts w:eastAsia="Times New Roman"/>
          <w:noProof w:val="0"/>
          <w:sz w:val="18"/>
          <w:lang w:eastAsia="de-DE" w:bidi="en-US"/>
        </w:rPr>
      </w:pPr>
      <w:r w:rsidRPr="00E17E76">
        <w:rPr>
          <w:sz w:val="18"/>
          <w:szCs w:val="18"/>
        </w:rPr>
        <w:t xml:space="preserve">Delgado, M.R.; Tilton, A.; Russman, B.; Benavides, O.; Bonikowski, M.; Carranza, J.; Dabrowski, E.; Dursun, N.; Gormley, M.; Jozwiak, M.; et al. </w:t>
      </w:r>
      <w:bookmarkStart w:id="13" w:name="OLE_LINK9"/>
      <w:bookmarkStart w:id="14" w:name="OLE_LINK10"/>
      <w:r w:rsidRPr="00E17E76">
        <w:rPr>
          <w:sz w:val="18"/>
          <w:szCs w:val="18"/>
        </w:rPr>
        <w:t xml:space="preserve">AbobotulinumtoxinA for equinus foot deformity in cerebral palsy: A randomized controlled trial. </w:t>
      </w:r>
      <w:bookmarkEnd w:id="13"/>
      <w:bookmarkEnd w:id="14"/>
      <w:r w:rsidRPr="00E17E76">
        <w:rPr>
          <w:i/>
          <w:iCs/>
          <w:sz w:val="18"/>
          <w:szCs w:val="18"/>
        </w:rPr>
        <w:t>Pediatrics</w:t>
      </w:r>
      <w:r w:rsidRPr="00E17E76">
        <w:rPr>
          <w:sz w:val="18"/>
          <w:szCs w:val="18"/>
        </w:rPr>
        <w:t xml:space="preserve"> </w:t>
      </w:r>
      <w:r w:rsidRPr="00E17E76">
        <w:rPr>
          <w:b/>
          <w:bCs/>
          <w:sz w:val="18"/>
          <w:szCs w:val="18"/>
        </w:rPr>
        <w:t>2016</w:t>
      </w:r>
      <w:r w:rsidRPr="00E17E76">
        <w:rPr>
          <w:sz w:val="18"/>
          <w:szCs w:val="18"/>
        </w:rPr>
        <w:t xml:space="preserve">, </w:t>
      </w:r>
      <w:r w:rsidRPr="00E17E76">
        <w:rPr>
          <w:i/>
          <w:iCs/>
          <w:sz w:val="18"/>
          <w:szCs w:val="18"/>
        </w:rPr>
        <w:t>137</w:t>
      </w:r>
      <w:r w:rsidRPr="00E17E76">
        <w:rPr>
          <w:sz w:val="18"/>
          <w:szCs w:val="18"/>
        </w:rPr>
        <w:t>, e20152830</w:t>
      </w:r>
      <w:r w:rsidRPr="00E17E76">
        <w:rPr>
          <w:rFonts w:eastAsia="Times New Roman"/>
          <w:noProof w:val="0"/>
          <w:sz w:val="18"/>
          <w:szCs w:val="18"/>
          <w:lang w:eastAsia="de-DE" w:bidi="en-US"/>
        </w:rPr>
        <w:t>.</w:t>
      </w:r>
      <w:r w:rsidRPr="00E17E76">
        <w:rPr>
          <w:rFonts w:eastAsia="Times New Roman"/>
          <w:noProof w:val="0"/>
          <w:sz w:val="18"/>
          <w:lang w:eastAsia="de-DE" w:bidi="en-US"/>
        </w:rPr>
        <w:t xml:space="preserve"> https://doi.org/10.1542/peds.2015-2830.</w:t>
      </w:r>
    </w:p>
    <w:p w14:paraId="465350FD" w14:textId="77777777" w:rsidR="006675DB" w:rsidRPr="00E17E76" w:rsidRDefault="006675DB" w:rsidP="006675DB">
      <w:pPr>
        <w:numPr>
          <w:ilvl w:val="0"/>
          <w:numId w:val="3"/>
        </w:numPr>
        <w:adjustRightInd w:val="0"/>
        <w:snapToGrid w:val="0"/>
        <w:spacing w:line="228" w:lineRule="auto"/>
        <w:ind w:left="425" w:hanging="425"/>
        <w:rPr>
          <w:rFonts w:eastAsia="Times New Roman"/>
          <w:noProof w:val="0"/>
          <w:sz w:val="18"/>
          <w:lang w:eastAsia="de-DE" w:bidi="en-US"/>
        </w:rPr>
      </w:pPr>
      <w:r w:rsidRPr="00E17E76">
        <w:rPr>
          <w:sz w:val="18"/>
          <w:szCs w:val="18"/>
        </w:rPr>
        <w:lastRenderedPageBreak/>
        <w:t xml:space="preserve">Dashtipour, K.; Chen, J.J.; Walker, H.W.; Lee, M.Y. Systematic literature review of AbobotulinumtoxinA in clinical trials for lower limb spasticity. </w:t>
      </w:r>
      <w:r w:rsidRPr="00E17E76">
        <w:rPr>
          <w:i/>
          <w:iCs/>
          <w:sz w:val="18"/>
          <w:szCs w:val="18"/>
        </w:rPr>
        <w:t>Medicine</w:t>
      </w:r>
      <w:r w:rsidRPr="00E17E76">
        <w:rPr>
          <w:sz w:val="18"/>
          <w:szCs w:val="18"/>
        </w:rPr>
        <w:t xml:space="preserve"> </w:t>
      </w:r>
      <w:r w:rsidRPr="00E17E76">
        <w:rPr>
          <w:b/>
          <w:bCs/>
          <w:sz w:val="18"/>
          <w:szCs w:val="18"/>
        </w:rPr>
        <w:t>2016</w:t>
      </w:r>
      <w:r w:rsidRPr="00E17E76">
        <w:rPr>
          <w:sz w:val="18"/>
          <w:szCs w:val="18"/>
        </w:rPr>
        <w:t xml:space="preserve">, </w:t>
      </w:r>
      <w:r w:rsidRPr="00E17E76">
        <w:rPr>
          <w:i/>
          <w:iCs/>
          <w:sz w:val="18"/>
          <w:szCs w:val="18"/>
        </w:rPr>
        <w:t>95</w:t>
      </w:r>
      <w:r w:rsidRPr="00E17E76">
        <w:rPr>
          <w:sz w:val="18"/>
          <w:szCs w:val="18"/>
        </w:rPr>
        <w:t>, e2468</w:t>
      </w:r>
      <w:r w:rsidRPr="00E17E76">
        <w:rPr>
          <w:rFonts w:eastAsia="Times New Roman"/>
          <w:noProof w:val="0"/>
          <w:sz w:val="18"/>
          <w:szCs w:val="18"/>
          <w:lang w:eastAsia="de-DE" w:bidi="en-US"/>
        </w:rPr>
        <w:t>.</w:t>
      </w:r>
      <w:r w:rsidRPr="00E17E76">
        <w:rPr>
          <w:rFonts w:eastAsia="Times New Roman"/>
          <w:noProof w:val="0"/>
          <w:sz w:val="18"/>
          <w:lang w:eastAsia="de-DE" w:bidi="en-US"/>
        </w:rPr>
        <w:t xml:space="preserve"> https://doi.org/10.1097/MD.0000000000002468.</w:t>
      </w:r>
    </w:p>
    <w:p w14:paraId="0556D21B" w14:textId="77777777" w:rsidR="006675DB" w:rsidRPr="00E17E76" w:rsidRDefault="006675DB" w:rsidP="006675DB">
      <w:pPr>
        <w:numPr>
          <w:ilvl w:val="0"/>
          <w:numId w:val="3"/>
        </w:numPr>
        <w:adjustRightInd w:val="0"/>
        <w:snapToGrid w:val="0"/>
        <w:spacing w:line="228" w:lineRule="auto"/>
        <w:ind w:left="425" w:hanging="425"/>
        <w:rPr>
          <w:rFonts w:eastAsia="Times New Roman"/>
          <w:noProof w:val="0"/>
          <w:sz w:val="18"/>
          <w:lang w:eastAsia="de-DE" w:bidi="en-US"/>
        </w:rPr>
      </w:pPr>
      <w:r w:rsidRPr="00E17E76">
        <w:rPr>
          <w:sz w:val="18"/>
          <w:szCs w:val="18"/>
        </w:rPr>
        <w:t xml:space="preserve">Almina, S.; Karile, Y.; Audrone, P.; Indre, B. Analgesic effect of botulinum toxin in children with cerebral palsy: A systematic review. </w:t>
      </w:r>
      <w:r w:rsidRPr="00E17E76">
        <w:rPr>
          <w:i/>
          <w:iCs/>
          <w:sz w:val="18"/>
          <w:szCs w:val="18"/>
        </w:rPr>
        <w:t>Toxicon</w:t>
      </w:r>
      <w:r w:rsidRPr="00E17E76">
        <w:rPr>
          <w:sz w:val="18"/>
          <w:szCs w:val="18"/>
        </w:rPr>
        <w:t xml:space="preserve"> </w:t>
      </w:r>
      <w:r w:rsidRPr="00E17E76">
        <w:rPr>
          <w:b/>
          <w:bCs/>
          <w:sz w:val="18"/>
          <w:szCs w:val="18"/>
        </w:rPr>
        <w:t>2021</w:t>
      </w:r>
      <w:r w:rsidRPr="00E17E76">
        <w:rPr>
          <w:sz w:val="18"/>
          <w:szCs w:val="18"/>
        </w:rPr>
        <w:t xml:space="preserve">, </w:t>
      </w:r>
      <w:r w:rsidRPr="00E17E76">
        <w:rPr>
          <w:i/>
          <w:iCs/>
          <w:sz w:val="18"/>
          <w:szCs w:val="18"/>
        </w:rPr>
        <w:t>199</w:t>
      </w:r>
      <w:r w:rsidRPr="00E17E76">
        <w:rPr>
          <w:sz w:val="18"/>
          <w:szCs w:val="18"/>
        </w:rPr>
        <w:t>, 60–67</w:t>
      </w:r>
      <w:r w:rsidRPr="00E17E76">
        <w:rPr>
          <w:rFonts w:eastAsia="Times New Roman"/>
          <w:noProof w:val="0"/>
          <w:sz w:val="18"/>
          <w:szCs w:val="18"/>
          <w:lang w:eastAsia="de-DE" w:bidi="en-US"/>
        </w:rPr>
        <w:t>.</w:t>
      </w:r>
      <w:r w:rsidRPr="00E17E76">
        <w:rPr>
          <w:rFonts w:eastAsia="Times New Roman"/>
          <w:noProof w:val="0"/>
          <w:sz w:val="18"/>
          <w:lang w:eastAsia="de-DE" w:bidi="en-US"/>
        </w:rPr>
        <w:t xml:space="preserve"> https://doi.org/10.1016/j.toxicon.2021.05.012.</w:t>
      </w:r>
    </w:p>
    <w:p w14:paraId="6EC70144" w14:textId="77777777" w:rsidR="006675DB" w:rsidRPr="00E17E76" w:rsidRDefault="006675DB" w:rsidP="006675DB">
      <w:pPr>
        <w:numPr>
          <w:ilvl w:val="0"/>
          <w:numId w:val="3"/>
        </w:numPr>
        <w:adjustRightInd w:val="0"/>
        <w:snapToGrid w:val="0"/>
        <w:spacing w:line="228" w:lineRule="auto"/>
        <w:ind w:left="425" w:hanging="425"/>
        <w:rPr>
          <w:rFonts w:eastAsia="Times New Roman"/>
          <w:noProof w:val="0"/>
          <w:sz w:val="18"/>
          <w:lang w:eastAsia="de-DE" w:bidi="en-US"/>
        </w:rPr>
      </w:pPr>
      <w:r w:rsidRPr="00E17E76">
        <w:rPr>
          <w:rFonts w:eastAsia="Times New Roman"/>
          <w:noProof w:val="0"/>
          <w:sz w:val="18"/>
          <w:lang w:eastAsia="de-DE" w:bidi="en-US"/>
        </w:rPr>
        <w:t xml:space="preserve">Jabbari, B. Botulinum neurotoxins for relief of pain associated with spasticity. In </w:t>
      </w:r>
      <w:r w:rsidRPr="00E17E76">
        <w:rPr>
          <w:rFonts w:eastAsia="Times New Roman"/>
          <w:i/>
          <w:iCs/>
          <w:noProof w:val="0"/>
          <w:sz w:val="18"/>
          <w:lang w:eastAsia="de-DE" w:bidi="en-US"/>
        </w:rPr>
        <w:t>Botulinum Toxin Treatment of Pain Disorders</w:t>
      </w:r>
      <w:r w:rsidRPr="00E17E76">
        <w:rPr>
          <w:rFonts w:eastAsia="Times New Roman"/>
          <w:noProof w:val="0"/>
          <w:sz w:val="18"/>
          <w:lang w:eastAsia="de-DE" w:bidi="en-US"/>
        </w:rPr>
        <w:t>; Jabbari, B., Ed.; Springer: New York, NY, USA, 2015; pp. 153–166, ISBN 978-1-4939-2501-8.</w:t>
      </w:r>
    </w:p>
    <w:p w14:paraId="63887507" w14:textId="77777777" w:rsidR="006675DB" w:rsidRPr="00E17E76" w:rsidRDefault="006675DB" w:rsidP="006675DB">
      <w:pPr>
        <w:numPr>
          <w:ilvl w:val="0"/>
          <w:numId w:val="3"/>
        </w:numPr>
        <w:adjustRightInd w:val="0"/>
        <w:snapToGrid w:val="0"/>
        <w:spacing w:line="228" w:lineRule="auto"/>
        <w:ind w:left="425" w:hanging="425"/>
        <w:rPr>
          <w:rFonts w:eastAsia="Times New Roman"/>
          <w:noProof w:val="0"/>
          <w:sz w:val="18"/>
          <w:lang w:eastAsia="de-DE" w:bidi="en-US"/>
        </w:rPr>
      </w:pPr>
      <w:r w:rsidRPr="00E17E76">
        <w:rPr>
          <w:sz w:val="18"/>
          <w:szCs w:val="18"/>
        </w:rPr>
        <w:t xml:space="preserve">Lundy, C.T.; Doherty, G.M.; Fairhurst, C.B. Botulinum toxin type A injections can be an effective treatment for pain in children with hip spasms and cerebral palsy. </w:t>
      </w:r>
      <w:r w:rsidRPr="00E17E76">
        <w:rPr>
          <w:i/>
          <w:iCs/>
          <w:sz w:val="18"/>
          <w:szCs w:val="18"/>
        </w:rPr>
        <w:t>Dev. Med. Child Neurol.</w:t>
      </w:r>
      <w:r w:rsidRPr="00E17E76">
        <w:rPr>
          <w:sz w:val="18"/>
          <w:szCs w:val="18"/>
        </w:rPr>
        <w:t xml:space="preserve"> </w:t>
      </w:r>
      <w:r w:rsidRPr="00E17E76">
        <w:rPr>
          <w:b/>
          <w:bCs/>
          <w:sz w:val="18"/>
          <w:szCs w:val="18"/>
        </w:rPr>
        <w:t>2009</w:t>
      </w:r>
      <w:r w:rsidRPr="00E17E76">
        <w:rPr>
          <w:sz w:val="18"/>
          <w:szCs w:val="18"/>
        </w:rPr>
        <w:t xml:space="preserve">, </w:t>
      </w:r>
      <w:r w:rsidRPr="00E17E76">
        <w:rPr>
          <w:i/>
          <w:iCs/>
          <w:sz w:val="18"/>
          <w:szCs w:val="18"/>
        </w:rPr>
        <w:t>51</w:t>
      </w:r>
      <w:r w:rsidRPr="00E17E76">
        <w:rPr>
          <w:sz w:val="18"/>
          <w:szCs w:val="18"/>
        </w:rPr>
        <w:t>, 705–710</w:t>
      </w:r>
      <w:r w:rsidRPr="00E17E76">
        <w:rPr>
          <w:rFonts w:eastAsia="Times New Roman"/>
          <w:noProof w:val="0"/>
          <w:sz w:val="18"/>
          <w:szCs w:val="18"/>
          <w:lang w:eastAsia="de-DE" w:bidi="en-US"/>
        </w:rPr>
        <w:t>.</w:t>
      </w:r>
      <w:r w:rsidRPr="00E17E76">
        <w:rPr>
          <w:rFonts w:eastAsia="Times New Roman"/>
          <w:noProof w:val="0"/>
          <w:sz w:val="18"/>
          <w:lang w:eastAsia="de-DE" w:bidi="en-US"/>
        </w:rPr>
        <w:t xml:space="preserve"> https://doi.org/10.1111/j.1469-8749.2009.03315.x.</w:t>
      </w:r>
    </w:p>
    <w:p w14:paraId="04FE79F8" w14:textId="77777777" w:rsidR="006675DB" w:rsidRPr="00E17E76" w:rsidRDefault="006675DB" w:rsidP="006675DB">
      <w:pPr>
        <w:numPr>
          <w:ilvl w:val="0"/>
          <w:numId w:val="3"/>
        </w:numPr>
        <w:adjustRightInd w:val="0"/>
        <w:snapToGrid w:val="0"/>
        <w:spacing w:line="228" w:lineRule="auto"/>
        <w:ind w:left="425" w:hanging="425"/>
        <w:rPr>
          <w:rFonts w:eastAsia="Times New Roman"/>
          <w:noProof w:val="0"/>
          <w:sz w:val="18"/>
          <w:lang w:eastAsia="de-DE" w:bidi="en-US"/>
        </w:rPr>
      </w:pPr>
      <w:r w:rsidRPr="00E17E76">
        <w:rPr>
          <w:sz w:val="18"/>
          <w:szCs w:val="18"/>
        </w:rPr>
        <w:t xml:space="preserve">Vles, G.F.; de Louw, A.J.; Speth, L.A.; van Rhijn, L.W.; Janssen-Potten, Y.J.; Hendriksen, J.G.; Vles, J.S. Visual analogue scale to score the effects of botulinum toxin a treatment in children with cerebral palsy in daily clinical practice. </w:t>
      </w:r>
      <w:r w:rsidRPr="00E17E76">
        <w:rPr>
          <w:i/>
          <w:iCs/>
          <w:sz w:val="18"/>
          <w:szCs w:val="18"/>
        </w:rPr>
        <w:t>Eur. J. Paediatr. Neurol.</w:t>
      </w:r>
      <w:r w:rsidRPr="00E17E76">
        <w:rPr>
          <w:sz w:val="18"/>
          <w:szCs w:val="18"/>
        </w:rPr>
        <w:t xml:space="preserve"> </w:t>
      </w:r>
      <w:r w:rsidRPr="00E17E76">
        <w:rPr>
          <w:b/>
          <w:bCs/>
          <w:sz w:val="18"/>
          <w:szCs w:val="18"/>
        </w:rPr>
        <w:t>2008</w:t>
      </w:r>
      <w:r w:rsidRPr="00E17E76">
        <w:rPr>
          <w:sz w:val="18"/>
          <w:szCs w:val="18"/>
        </w:rPr>
        <w:t xml:space="preserve">, </w:t>
      </w:r>
      <w:r w:rsidRPr="00E17E76">
        <w:rPr>
          <w:i/>
          <w:iCs/>
          <w:sz w:val="18"/>
          <w:szCs w:val="18"/>
        </w:rPr>
        <w:t>12</w:t>
      </w:r>
      <w:r w:rsidRPr="00E17E76">
        <w:rPr>
          <w:sz w:val="18"/>
          <w:szCs w:val="18"/>
        </w:rPr>
        <w:t>, 231–238</w:t>
      </w:r>
      <w:r w:rsidRPr="00E17E76">
        <w:rPr>
          <w:rFonts w:eastAsia="Times New Roman"/>
          <w:noProof w:val="0"/>
          <w:sz w:val="18"/>
          <w:szCs w:val="18"/>
          <w:lang w:eastAsia="de-DE" w:bidi="en-US"/>
        </w:rPr>
        <w:t>.</w:t>
      </w:r>
      <w:r w:rsidRPr="00E17E76">
        <w:rPr>
          <w:rFonts w:eastAsia="Times New Roman"/>
          <w:noProof w:val="0"/>
          <w:sz w:val="18"/>
          <w:lang w:eastAsia="de-DE" w:bidi="en-US"/>
        </w:rPr>
        <w:t xml:space="preserve"> https://doi.org/10.1016/j.ejpn.2007.08.002.</w:t>
      </w:r>
    </w:p>
    <w:p w14:paraId="3199CC34" w14:textId="77777777" w:rsidR="006675DB" w:rsidRPr="00E17E76" w:rsidRDefault="006675DB" w:rsidP="006675DB">
      <w:pPr>
        <w:numPr>
          <w:ilvl w:val="0"/>
          <w:numId w:val="3"/>
        </w:numPr>
        <w:adjustRightInd w:val="0"/>
        <w:snapToGrid w:val="0"/>
        <w:spacing w:line="228" w:lineRule="auto"/>
        <w:ind w:left="425" w:hanging="425"/>
        <w:rPr>
          <w:rFonts w:eastAsia="Times New Roman"/>
          <w:noProof w:val="0"/>
          <w:sz w:val="18"/>
          <w:lang w:eastAsia="de-DE" w:bidi="en-US"/>
        </w:rPr>
      </w:pPr>
      <w:r w:rsidRPr="00E17E76">
        <w:rPr>
          <w:sz w:val="18"/>
          <w:szCs w:val="18"/>
        </w:rPr>
        <w:t xml:space="preserve">Chaléat-Valayer, E.; Parratte, B.; Colin, C.; Denis, A.; Oudin, S.; Bérard, C.; Bernard, J.; Bourg, V.; Deleplanque, B.; Dulieu, I.; et al. A French observational study of botulinum toxin use in the management of children with cerebral palsy: BOTULOSCOPE. </w:t>
      </w:r>
      <w:r w:rsidRPr="00E17E76">
        <w:rPr>
          <w:i/>
          <w:iCs/>
          <w:sz w:val="18"/>
          <w:szCs w:val="18"/>
        </w:rPr>
        <w:t>Eur. J. Paediatr. Neurol.</w:t>
      </w:r>
      <w:r w:rsidRPr="00E17E76">
        <w:rPr>
          <w:sz w:val="18"/>
          <w:szCs w:val="18"/>
        </w:rPr>
        <w:t xml:space="preserve"> </w:t>
      </w:r>
      <w:r w:rsidRPr="00E17E76">
        <w:rPr>
          <w:b/>
          <w:bCs/>
          <w:sz w:val="18"/>
          <w:szCs w:val="18"/>
        </w:rPr>
        <w:t>2011</w:t>
      </w:r>
      <w:r w:rsidRPr="00E17E76">
        <w:rPr>
          <w:sz w:val="18"/>
          <w:szCs w:val="18"/>
        </w:rPr>
        <w:t xml:space="preserve">, </w:t>
      </w:r>
      <w:r w:rsidRPr="00E17E76">
        <w:rPr>
          <w:i/>
          <w:iCs/>
          <w:sz w:val="18"/>
          <w:szCs w:val="18"/>
        </w:rPr>
        <w:t>15</w:t>
      </w:r>
      <w:r w:rsidRPr="00E17E76">
        <w:rPr>
          <w:sz w:val="18"/>
          <w:szCs w:val="18"/>
        </w:rPr>
        <w:t>, 439–448</w:t>
      </w:r>
      <w:r w:rsidRPr="00E17E76">
        <w:rPr>
          <w:rFonts w:eastAsia="Times New Roman"/>
          <w:noProof w:val="0"/>
          <w:sz w:val="18"/>
          <w:szCs w:val="18"/>
          <w:lang w:eastAsia="de-DE" w:bidi="en-US"/>
        </w:rPr>
        <w:t>.</w:t>
      </w:r>
      <w:r w:rsidRPr="00E17E76">
        <w:rPr>
          <w:rFonts w:eastAsia="Times New Roman"/>
          <w:noProof w:val="0"/>
          <w:sz w:val="18"/>
          <w:lang w:eastAsia="de-DE" w:bidi="en-US"/>
        </w:rPr>
        <w:t xml:space="preserve"> https://doi.org/10.1016/j.ejpn.2010.04.006.</w:t>
      </w:r>
    </w:p>
    <w:p w14:paraId="743BA7B3" w14:textId="77777777" w:rsidR="006675DB" w:rsidRPr="00E17E76" w:rsidRDefault="006675DB" w:rsidP="006675DB">
      <w:pPr>
        <w:numPr>
          <w:ilvl w:val="0"/>
          <w:numId w:val="3"/>
        </w:numPr>
        <w:adjustRightInd w:val="0"/>
        <w:snapToGrid w:val="0"/>
        <w:spacing w:line="228" w:lineRule="auto"/>
        <w:ind w:left="425" w:hanging="425"/>
        <w:rPr>
          <w:rFonts w:eastAsia="Times New Roman"/>
          <w:noProof w:val="0"/>
          <w:sz w:val="18"/>
          <w:lang w:eastAsia="de-DE" w:bidi="en-US"/>
        </w:rPr>
      </w:pPr>
      <w:r w:rsidRPr="00E17E76">
        <w:rPr>
          <w:sz w:val="18"/>
          <w:szCs w:val="18"/>
        </w:rPr>
        <w:t xml:space="preserve">Beecham, E.; Candy, B.; Howard, R.; McCulloch, R.; Laddie, J.; Rees, H.; Vickerstaff, V.; Bluebond-Langner, M.; Jones, L. Pharmacological interventions for pain in children and adolescents with life-limiting conditions. </w:t>
      </w:r>
      <w:r w:rsidRPr="00E17E76">
        <w:rPr>
          <w:i/>
          <w:iCs/>
          <w:sz w:val="18"/>
          <w:szCs w:val="18"/>
        </w:rPr>
        <w:t>Cochrane Database Syst. Rev.</w:t>
      </w:r>
      <w:r w:rsidRPr="00E17E76">
        <w:rPr>
          <w:sz w:val="18"/>
          <w:szCs w:val="18"/>
        </w:rPr>
        <w:t xml:space="preserve"> </w:t>
      </w:r>
      <w:r w:rsidRPr="00E17E76">
        <w:rPr>
          <w:b/>
          <w:bCs/>
          <w:sz w:val="18"/>
          <w:szCs w:val="18"/>
        </w:rPr>
        <w:t>2015</w:t>
      </w:r>
      <w:r w:rsidRPr="00E17E76">
        <w:rPr>
          <w:sz w:val="18"/>
          <w:szCs w:val="18"/>
        </w:rPr>
        <w:t xml:space="preserve">, </w:t>
      </w:r>
      <w:r w:rsidRPr="00E17E76">
        <w:rPr>
          <w:i/>
          <w:iCs/>
          <w:sz w:val="18"/>
          <w:szCs w:val="18"/>
        </w:rPr>
        <w:t>3</w:t>
      </w:r>
      <w:r w:rsidRPr="00E17E76">
        <w:rPr>
          <w:sz w:val="18"/>
          <w:szCs w:val="18"/>
        </w:rPr>
        <w:t>, CD010750</w:t>
      </w:r>
      <w:r w:rsidRPr="00E17E76">
        <w:rPr>
          <w:rFonts w:eastAsia="Times New Roman"/>
          <w:noProof w:val="0"/>
          <w:sz w:val="18"/>
          <w:lang w:eastAsia="de-DE" w:bidi="en-US"/>
        </w:rPr>
        <w:t>. https://doi.org/10.1002/14651858.CD010750.pub2.</w:t>
      </w:r>
    </w:p>
    <w:p w14:paraId="2F9D82CD" w14:textId="77777777" w:rsidR="006675DB" w:rsidRPr="00E17E76" w:rsidRDefault="006675DB" w:rsidP="006675DB">
      <w:pPr>
        <w:numPr>
          <w:ilvl w:val="0"/>
          <w:numId w:val="3"/>
        </w:numPr>
        <w:adjustRightInd w:val="0"/>
        <w:snapToGrid w:val="0"/>
        <w:spacing w:line="228" w:lineRule="auto"/>
        <w:ind w:left="425" w:hanging="425"/>
        <w:rPr>
          <w:rFonts w:eastAsia="Times New Roman"/>
          <w:noProof w:val="0"/>
          <w:sz w:val="18"/>
          <w:lang w:eastAsia="de-DE" w:bidi="en-US"/>
        </w:rPr>
      </w:pPr>
      <w:r w:rsidRPr="00E17E76">
        <w:rPr>
          <w:sz w:val="18"/>
          <w:szCs w:val="18"/>
        </w:rPr>
        <w:t xml:space="preserve">Barwood, S.; Baillieu, C.; Boyd, R.; Brereton, K.; Low, J.; Nattrass, G.; Graham, H.K. Analgesic effects of botulinum toxin A: A randomized, placebo-controlled clinical trial. </w:t>
      </w:r>
      <w:r w:rsidRPr="00E17E76">
        <w:rPr>
          <w:i/>
          <w:iCs/>
          <w:sz w:val="18"/>
          <w:szCs w:val="18"/>
        </w:rPr>
        <w:t>Dev. Med. Child Neurol.</w:t>
      </w:r>
      <w:r w:rsidRPr="00E17E76">
        <w:rPr>
          <w:sz w:val="18"/>
          <w:szCs w:val="18"/>
        </w:rPr>
        <w:t xml:space="preserve"> </w:t>
      </w:r>
      <w:r w:rsidRPr="00E17E76">
        <w:rPr>
          <w:b/>
          <w:bCs/>
          <w:sz w:val="18"/>
          <w:szCs w:val="18"/>
        </w:rPr>
        <w:t>2000</w:t>
      </w:r>
      <w:r w:rsidRPr="00E17E76">
        <w:rPr>
          <w:sz w:val="18"/>
          <w:szCs w:val="18"/>
        </w:rPr>
        <w:t xml:space="preserve">, </w:t>
      </w:r>
      <w:r w:rsidRPr="00E17E76">
        <w:rPr>
          <w:i/>
          <w:iCs/>
          <w:sz w:val="18"/>
          <w:szCs w:val="18"/>
        </w:rPr>
        <w:t>42</w:t>
      </w:r>
      <w:r w:rsidRPr="00E17E76">
        <w:rPr>
          <w:sz w:val="18"/>
          <w:szCs w:val="18"/>
        </w:rPr>
        <w:t>, 116–121</w:t>
      </w:r>
      <w:r w:rsidRPr="00E17E76">
        <w:rPr>
          <w:rFonts w:eastAsia="Times New Roman"/>
          <w:noProof w:val="0"/>
          <w:sz w:val="18"/>
          <w:szCs w:val="18"/>
          <w:lang w:eastAsia="de-DE" w:bidi="en-US"/>
        </w:rPr>
        <w:t>.</w:t>
      </w:r>
      <w:r w:rsidRPr="00E17E76">
        <w:rPr>
          <w:rFonts w:eastAsia="Times New Roman"/>
          <w:noProof w:val="0"/>
          <w:sz w:val="18"/>
          <w:lang w:eastAsia="de-DE" w:bidi="en-US"/>
        </w:rPr>
        <w:t xml:space="preserve"> https://doi.org/10.1017/s0012162200000220.</w:t>
      </w:r>
    </w:p>
    <w:p w14:paraId="48AFC737" w14:textId="77777777" w:rsidR="006675DB" w:rsidRPr="00E17E76" w:rsidRDefault="006675DB" w:rsidP="006675DB">
      <w:pPr>
        <w:numPr>
          <w:ilvl w:val="0"/>
          <w:numId w:val="3"/>
        </w:numPr>
        <w:adjustRightInd w:val="0"/>
        <w:snapToGrid w:val="0"/>
        <w:spacing w:line="228" w:lineRule="auto"/>
        <w:ind w:left="425" w:hanging="425"/>
        <w:rPr>
          <w:rFonts w:eastAsia="Times New Roman"/>
          <w:noProof w:val="0"/>
          <w:sz w:val="18"/>
          <w:lang w:eastAsia="de-DE" w:bidi="en-US"/>
        </w:rPr>
      </w:pPr>
      <w:r w:rsidRPr="00E17E76">
        <w:rPr>
          <w:sz w:val="18"/>
          <w:szCs w:val="18"/>
        </w:rPr>
        <w:t xml:space="preserve">Rivard, P.F.; Nugent, A.C.; Symons, F.J. Parent-proxy ratings of pain before and after botulinum toxin type A treatment for children with spasticity and cerebral palsy. </w:t>
      </w:r>
      <w:r w:rsidRPr="00E17E76">
        <w:rPr>
          <w:i/>
          <w:iCs/>
          <w:sz w:val="18"/>
          <w:szCs w:val="18"/>
        </w:rPr>
        <w:t>Clin. J. Pain</w:t>
      </w:r>
      <w:r w:rsidRPr="00E17E76">
        <w:rPr>
          <w:sz w:val="18"/>
          <w:szCs w:val="18"/>
        </w:rPr>
        <w:t xml:space="preserve"> </w:t>
      </w:r>
      <w:r w:rsidRPr="00E17E76">
        <w:rPr>
          <w:b/>
          <w:bCs/>
          <w:sz w:val="18"/>
          <w:szCs w:val="18"/>
        </w:rPr>
        <w:t>2009</w:t>
      </w:r>
      <w:r w:rsidRPr="00E17E76">
        <w:rPr>
          <w:sz w:val="18"/>
          <w:szCs w:val="18"/>
        </w:rPr>
        <w:t xml:space="preserve">, </w:t>
      </w:r>
      <w:r w:rsidRPr="00E17E76">
        <w:rPr>
          <w:i/>
          <w:iCs/>
          <w:sz w:val="18"/>
          <w:szCs w:val="18"/>
        </w:rPr>
        <w:t>25</w:t>
      </w:r>
      <w:r w:rsidRPr="00E17E76">
        <w:rPr>
          <w:sz w:val="18"/>
          <w:szCs w:val="18"/>
        </w:rPr>
        <w:t>, 413–417</w:t>
      </w:r>
      <w:r w:rsidRPr="00E17E76">
        <w:rPr>
          <w:rFonts w:eastAsia="Times New Roman"/>
          <w:noProof w:val="0"/>
          <w:sz w:val="18"/>
          <w:szCs w:val="18"/>
          <w:lang w:eastAsia="de-DE" w:bidi="en-US"/>
        </w:rPr>
        <w:t>.</w:t>
      </w:r>
      <w:r w:rsidRPr="00E17E76">
        <w:rPr>
          <w:rFonts w:eastAsia="Times New Roman"/>
          <w:noProof w:val="0"/>
          <w:sz w:val="18"/>
          <w:lang w:eastAsia="de-DE" w:bidi="en-US"/>
        </w:rPr>
        <w:t xml:space="preserve"> https://doi.org/10.1097/AJP.0b013e31819a6d07.</w:t>
      </w:r>
    </w:p>
    <w:p w14:paraId="1A7A7388" w14:textId="77777777" w:rsidR="006675DB" w:rsidRPr="00E17E76" w:rsidRDefault="006675DB" w:rsidP="006675DB">
      <w:pPr>
        <w:numPr>
          <w:ilvl w:val="0"/>
          <w:numId w:val="3"/>
        </w:numPr>
        <w:adjustRightInd w:val="0"/>
        <w:snapToGrid w:val="0"/>
        <w:spacing w:line="228" w:lineRule="auto"/>
        <w:ind w:left="425" w:hanging="425"/>
        <w:rPr>
          <w:rFonts w:eastAsia="Times New Roman"/>
          <w:noProof w:val="0"/>
          <w:sz w:val="18"/>
          <w:lang w:eastAsia="de-DE" w:bidi="en-US"/>
        </w:rPr>
      </w:pPr>
      <w:r w:rsidRPr="00E17E76">
        <w:rPr>
          <w:sz w:val="18"/>
          <w:szCs w:val="18"/>
          <w:lang w:val="da-DK"/>
        </w:rPr>
        <w:t xml:space="preserve">Tilton, A.; Russman, B.; Aydin, R.; Dincer, U.; Escobar, R.; Kutlay, S.; Lipczyk, Z.; Velez, J.C.; Grandoulier, A.-S.; Tse, A.; et al. </w:t>
      </w:r>
      <w:r w:rsidRPr="00E17E76">
        <w:rPr>
          <w:sz w:val="18"/>
          <w:szCs w:val="18"/>
        </w:rPr>
        <w:t>AbobotulinumtoxinA (Dysport</w:t>
      </w:r>
      <w:r w:rsidRPr="00E17E76">
        <w:rPr>
          <w:sz w:val="18"/>
          <w:szCs w:val="18"/>
          <w:vertAlign w:val="superscript"/>
        </w:rPr>
        <w:t>®</w:t>
      </w:r>
      <w:r w:rsidRPr="00E17E76">
        <w:rPr>
          <w:sz w:val="18"/>
          <w:szCs w:val="18"/>
        </w:rPr>
        <w:t xml:space="preserve">) improves function according to goal attainment in children with dynamic equinus due to cerebral palsy. </w:t>
      </w:r>
      <w:r w:rsidRPr="00E17E76">
        <w:rPr>
          <w:i/>
          <w:iCs/>
          <w:sz w:val="18"/>
          <w:szCs w:val="18"/>
        </w:rPr>
        <w:t>J. Child Neurol.</w:t>
      </w:r>
      <w:r w:rsidRPr="00E17E76">
        <w:rPr>
          <w:sz w:val="18"/>
          <w:szCs w:val="18"/>
        </w:rPr>
        <w:t xml:space="preserve"> </w:t>
      </w:r>
      <w:r w:rsidRPr="00E17E76">
        <w:rPr>
          <w:b/>
          <w:bCs/>
          <w:sz w:val="18"/>
          <w:szCs w:val="18"/>
        </w:rPr>
        <w:t>2017</w:t>
      </w:r>
      <w:r w:rsidRPr="00E17E76">
        <w:rPr>
          <w:sz w:val="18"/>
          <w:szCs w:val="18"/>
        </w:rPr>
        <w:t xml:space="preserve">, </w:t>
      </w:r>
      <w:r w:rsidRPr="00E17E76">
        <w:rPr>
          <w:i/>
          <w:iCs/>
          <w:sz w:val="18"/>
          <w:szCs w:val="18"/>
        </w:rPr>
        <w:t>32</w:t>
      </w:r>
      <w:r w:rsidRPr="00E17E76">
        <w:rPr>
          <w:sz w:val="18"/>
          <w:szCs w:val="18"/>
        </w:rPr>
        <w:t>, 482–487</w:t>
      </w:r>
      <w:r w:rsidRPr="00E17E76">
        <w:rPr>
          <w:rFonts w:eastAsia="Times New Roman"/>
          <w:noProof w:val="0"/>
          <w:sz w:val="18"/>
          <w:szCs w:val="18"/>
          <w:lang w:eastAsia="de-DE" w:bidi="en-US"/>
        </w:rPr>
        <w:t>.</w:t>
      </w:r>
      <w:r w:rsidRPr="00E17E76">
        <w:rPr>
          <w:rFonts w:eastAsia="Times New Roman"/>
          <w:noProof w:val="0"/>
          <w:sz w:val="18"/>
          <w:lang w:eastAsia="de-DE" w:bidi="en-US"/>
        </w:rPr>
        <w:t xml:space="preserve"> https://doi.org/10.1177/0883073816686910.</w:t>
      </w:r>
    </w:p>
    <w:p w14:paraId="66AEE71F" w14:textId="77777777" w:rsidR="006675DB" w:rsidRPr="00E17E76" w:rsidRDefault="006675DB" w:rsidP="006675DB">
      <w:pPr>
        <w:numPr>
          <w:ilvl w:val="0"/>
          <w:numId w:val="3"/>
        </w:numPr>
        <w:adjustRightInd w:val="0"/>
        <w:snapToGrid w:val="0"/>
        <w:spacing w:line="228" w:lineRule="auto"/>
        <w:ind w:left="425" w:hanging="425"/>
        <w:rPr>
          <w:rFonts w:eastAsia="Times New Roman"/>
          <w:noProof w:val="0"/>
          <w:sz w:val="18"/>
          <w:lang w:eastAsia="de-DE" w:bidi="en-US"/>
        </w:rPr>
      </w:pPr>
      <w:r w:rsidRPr="00E17E76">
        <w:rPr>
          <w:sz w:val="18"/>
          <w:szCs w:val="18"/>
        </w:rPr>
        <w:t xml:space="preserve">Russo, R.N.; Crotty, M.; Miller, M.D.; Murchland, S.; Flett, P.; Haan, E. Upper-limb botulinum toxin a injection and occupational therapy in children with hemiplegic cerebral palsy identified from a population register: A single-blind, randomized, controlled trial. </w:t>
      </w:r>
      <w:r w:rsidRPr="00E17E76">
        <w:rPr>
          <w:i/>
          <w:iCs/>
          <w:sz w:val="18"/>
          <w:szCs w:val="18"/>
        </w:rPr>
        <w:t>Pediatrics</w:t>
      </w:r>
      <w:r w:rsidRPr="00E17E76">
        <w:rPr>
          <w:sz w:val="18"/>
          <w:szCs w:val="18"/>
        </w:rPr>
        <w:t xml:space="preserve"> </w:t>
      </w:r>
      <w:r w:rsidRPr="00E17E76">
        <w:rPr>
          <w:b/>
          <w:bCs/>
          <w:sz w:val="18"/>
          <w:szCs w:val="18"/>
        </w:rPr>
        <w:t>2007</w:t>
      </w:r>
      <w:r w:rsidRPr="00E17E76">
        <w:rPr>
          <w:sz w:val="18"/>
          <w:szCs w:val="18"/>
        </w:rPr>
        <w:t xml:space="preserve">, </w:t>
      </w:r>
      <w:r w:rsidRPr="00E17E76">
        <w:rPr>
          <w:i/>
          <w:iCs/>
          <w:sz w:val="18"/>
          <w:szCs w:val="18"/>
        </w:rPr>
        <w:t>119</w:t>
      </w:r>
      <w:r w:rsidRPr="00E17E76">
        <w:rPr>
          <w:rFonts w:eastAsia="Times New Roman"/>
          <w:noProof w:val="0"/>
          <w:sz w:val="18"/>
          <w:szCs w:val="18"/>
          <w:lang w:eastAsia="de-DE" w:bidi="en-US"/>
        </w:rPr>
        <w:t>, e1149</w:t>
      </w:r>
      <w:r w:rsidRPr="00E17E76">
        <w:rPr>
          <w:rFonts w:eastAsia="Times New Roman"/>
          <w:noProof w:val="0"/>
          <w:sz w:val="18"/>
          <w:lang w:eastAsia="de-DE" w:bidi="en-US"/>
        </w:rPr>
        <w:t>–e1158. https://doi.org/10.1542/peds.2006–2425.</w:t>
      </w:r>
    </w:p>
    <w:p w14:paraId="5EE56B5F" w14:textId="77777777" w:rsidR="006675DB" w:rsidRPr="00E17E76" w:rsidRDefault="006675DB" w:rsidP="006675DB">
      <w:pPr>
        <w:numPr>
          <w:ilvl w:val="0"/>
          <w:numId w:val="3"/>
        </w:numPr>
        <w:adjustRightInd w:val="0"/>
        <w:snapToGrid w:val="0"/>
        <w:spacing w:line="228" w:lineRule="auto"/>
        <w:ind w:left="425" w:hanging="425"/>
        <w:rPr>
          <w:rFonts w:eastAsia="Times New Roman"/>
          <w:noProof w:val="0"/>
          <w:sz w:val="18"/>
          <w:lang w:eastAsia="de-DE" w:bidi="en-US"/>
        </w:rPr>
      </w:pPr>
      <w:r w:rsidRPr="00E17E76">
        <w:rPr>
          <w:sz w:val="18"/>
          <w:szCs w:val="18"/>
        </w:rPr>
        <w:t xml:space="preserve">Kinnett, D. Botulinum toxin A injections in children. </w:t>
      </w:r>
      <w:r w:rsidRPr="00E17E76">
        <w:rPr>
          <w:i/>
          <w:iCs/>
          <w:sz w:val="18"/>
          <w:szCs w:val="18"/>
        </w:rPr>
        <w:t>Am. J. Phys. Med. Rehabilitation</w:t>
      </w:r>
      <w:r w:rsidRPr="00E17E76">
        <w:rPr>
          <w:sz w:val="18"/>
          <w:szCs w:val="18"/>
        </w:rPr>
        <w:t xml:space="preserve"> </w:t>
      </w:r>
      <w:r w:rsidRPr="00E17E76">
        <w:rPr>
          <w:b/>
          <w:bCs/>
          <w:sz w:val="18"/>
          <w:szCs w:val="18"/>
        </w:rPr>
        <w:t>2004</w:t>
      </w:r>
      <w:r w:rsidRPr="00E17E76">
        <w:rPr>
          <w:sz w:val="18"/>
          <w:szCs w:val="18"/>
        </w:rPr>
        <w:t xml:space="preserve">, </w:t>
      </w:r>
      <w:r w:rsidRPr="00E17E76">
        <w:rPr>
          <w:i/>
          <w:iCs/>
          <w:sz w:val="18"/>
          <w:szCs w:val="18"/>
        </w:rPr>
        <w:t xml:space="preserve">83 </w:t>
      </w:r>
      <w:r w:rsidRPr="00E17E76">
        <w:rPr>
          <w:sz w:val="18"/>
          <w:szCs w:val="18"/>
        </w:rPr>
        <w:t>(Suppl. s10), s59–s64</w:t>
      </w:r>
      <w:r w:rsidRPr="00E17E76">
        <w:rPr>
          <w:rFonts w:eastAsia="Times New Roman"/>
          <w:noProof w:val="0"/>
          <w:sz w:val="18"/>
          <w:szCs w:val="18"/>
          <w:lang w:eastAsia="de-DE" w:bidi="en-US"/>
        </w:rPr>
        <w:t xml:space="preserve">. </w:t>
      </w:r>
      <w:r w:rsidRPr="00E17E76">
        <w:rPr>
          <w:rFonts w:eastAsia="Times New Roman"/>
          <w:noProof w:val="0"/>
          <w:sz w:val="18"/>
          <w:lang w:eastAsia="de-DE" w:bidi="en-US"/>
        </w:rPr>
        <w:t>https://doi.org/10.1097/01.phm.0000141131.66648.e9.</w:t>
      </w:r>
    </w:p>
    <w:p w14:paraId="225516EC" w14:textId="77777777" w:rsidR="006675DB" w:rsidRPr="00E17E76" w:rsidRDefault="006675DB" w:rsidP="006675DB">
      <w:pPr>
        <w:numPr>
          <w:ilvl w:val="0"/>
          <w:numId w:val="3"/>
        </w:numPr>
        <w:adjustRightInd w:val="0"/>
        <w:snapToGrid w:val="0"/>
        <w:spacing w:line="228" w:lineRule="auto"/>
        <w:ind w:left="425" w:hanging="425"/>
        <w:rPr>
          <w:rFonts w:eastAsia="Times New Roman"/>
          <w:noProof w:val="0"/>
          <w:sz w:val="18"/>
          <w:lang w:eastAsia="de-DE" w:bidi="en-US"/>
        </w:rPr>
      </w:pPr>
      <w:r w:rsidRPr="00E17E76">
        <w:rPr>
          <w:sz w:val="18"/>
          <w:szCs w:val="18"/>
        </w:rPr>
        <w:t xml:space="preserve">Sätilä, H. Over 25 years of pediatric botulinum toxin treatments: What have we learned from injection techniques, doses, dilutions, and recovery of repeated injections? </w:t>
      </w:r>
      <w:r w:rsidRPr="00E17E76">
        <w:rPr>
          <w:i/>
          <w:iCs/>
          <w:sz w:val="18"/>
          <w:szCs w:val="18"/>
        </w:rPr>
        <w:t>Toxins</w:t>
      </w:r>
      <w:r w:rsidRPr="00E17E76">
        <w:rPr>
          <w:sz w:val="18"/>
          <w:szCs w:val="18"/>
        </w:rPr>
        <w:t xml:space="preserve"> </w:t>
      </w:r>
      <w:r w:rsidRPr="00E17E76">
        <w:rPr>
          <w:b/>
          <w:bCs/>
          <w:sz w:val="18"/>
          <w:szCs w:val="18"/>
        </w:rPr>
        <w:t>2020</w:t>
      </w:r>
      <w:r w:rsidRPr="00E17E76">
        <w:rPr>
          <w:sz w:val="18"/>
          <w:szCs w:val="18"/>
        </w:rPr>
        <w:t xml:space="preserve">, </w:t>
      </w:r>
      <w:r w:rsidRPr="00E17E76">
        <w:rPr>
          <w:i/>
          <w:iCs/>
          <w:sz w:val="18"/>
          <w:szCs w:val="18"/>
        </w:rPr>
        <w:t>12</w:t>
      </w:r>
      <w:r w:rsidRPr="00E17E76">
        <w:rPr>
          <w:sz w:val="18"/>
          <w:szCs w:val="18"/>
        </w:rPr>
        <w:t>, 440</w:t>
      </w:r>
      <w:r w:rsidRPr="00E17E76">
        <w:rPr>
          <w:rFonts w:eastAsia="Times New Roman"/>
          <w:noProof w:val="0"/>
          <w:sz w:val="18"/>
          <w:szCs w:val="18"/>
          <w:lang w:eastAsia="de-DE" w:bidi="en-US"/>
        </w:rPr>
        <w:t>.</w:t>
      </w:r>
      <w:r w:rsidRPr="00E17E76">
        <w:rPr>
          <w:rFonts w:eastAsia="Times New Roman"/>
          <w:noProof w:val="0"/>
          <w:sz w:val="18"/>
          <w:lang w:eastAsia="de-DE" w:bidi="en-US"/>
        </w:rPr>
        <w:t xml:space="preserve"> https://doi.org/10.3390/toxins12070440.</w:t>
      </w:r>
    </w:p>
    <w:p w14:paraId="355D156E" w14:textId="77777777" w:rsidR="006675DB" w:rsidRPr="00E17E76" w:rsidRDefault="006675DB" w:rsidP="006675DB">
      <w:pPr>
        <w:numPr>
          <w:ilvl w:val="0"/>
          <w:numId w:val="3"/>
        </w:numPr>
        <w:adjustRightInd w:val="0"/>
        <w:snapToGrid w:val="0"/>
        <w:spacing w:line="228" w:lineRule="auto"/>
        <w:ind w:left="425" w:hanging="425"/>
        <w:rPr>
          <w:rFonts w:eastAsia="Times New Roman"/>
          <w:noProof w:val="0"/>
          <w:sz w:val="18"/>
          <w:lang w:eastAsia="de-DE" w:bidi="en-US"/>
        </w:rPr>
      </w:pPr>
      <w:r w:rsidRPr="00E17E76">
        <w:rPr>
          <w:sz w:val="18"/>
          <w:szCs w:val="18"/>
        </w:rPr>
        <w:t xml:space="preserve">Malviya, S.; Voepel-Lewis, T.; Burke, C.; Merkel, S.; Tait, A.R. The revised FLACC observational pain tool: Improved reliability and validity for pain assessment in children with cognitive impairment. </w:t>
      </w:r>
      <w:r w:rsidRPr="00E17E76">
        <w:rPr>
          <w:i/>
          <w:iCs/>
          <w:sz w:val="18"/>
          <w:szCs w:val="18"/>
        </w:rPr>
        <w:t xml:space="preserve">Pediatr. Anesth. </w:t>
      </w:r>
      <w:r w:rsidRPr="00E17E76">
        <w:rPr>
          <w:b/>
          <w:bCs/>
          <w:sz w:val="18"/>
          <w:szCs w:val="18"/>
        </w:rPr>
        <w:t>2006</w:t>
      </w:r>
      <w:r w:rsidRPr="00E17E76">
        <w:rPr>
          <w:sz w:val="18"/>
          <w:szCs w:val="18"/>
        </w:rPr>
        <w:t xml:space="preserve">, </w:t>
      </w:r>
      <w:r w:rsidRPr="00E17E76">
        <w:rPr>
          <w:i/>
          <w:iCs/>
          <w:sz w:val="18"/>
          <w:szCs w:val="18"/>
        </w:rPr>
        <w:t>16</w:t>
      </w:r>
      <w:r w:rsidRPr="00E17E76">
        <w:rPr>
          <w:sz w:val="18"/>
          <w:szCs w:val="18"/>
        </w:rPr>
        <w:t>, 258–265</w:t>
      </w:r>
      <w:r w:rsidRPr="00E17E76">
        <w:rPr>
          <w:rFonts w:eastAsia="Times New Roman"/>
          <w:noProof w:val="0"/>
          <w:sz w:val="18"/>
          <w:szCs w:val="18"/>
          <w:lang w:eastAsia="de-DE" w:bidi="en-US"/>
        </w:rPr>
        <w:t>.</w:t>
      </w:r>
      <w:r w:rsidRPr="00E17E76">
        <w:rPr>
          <w:rFonts w:eastAsia="Times New Roman"/>
          <w:noProof w:val="0"/>
          <w:sz w:val="18"/>
          <w:lang w:eastAsia="de-DE" w:bidi="en-US"/>
        </w:rPr>
        <w:t xml:space="preserve"> https://doi.org/10.1111/j.1460-9592.2005.01773.x.</w:t>
      </w:r>
    </w:p>
    <w:p w14:paraId="4F0BF18E" w14:textId="77777777" w:rsidR="006675DB" w:rsidRPr="00E17E76" w:rsidRDefault="006675DB" w:rsidP="006675DB">
      <w:pPr>
        <w:numPr>
          <w:ilvl w:val="0"/>
          <w:numId w:val="3"/>
        </w:numPr>
        <w:adjustRightInd w:val="0"/>
        <w:snapToGrid w:val="0"/>
        <w:spacing w:line="228" w:lineRule="auto"/>
        <w:ind w:left="425" w:hanging="425"/>
        <w:rPr>
          <w:rFonts w:eastAsia="Times New Roman"/>
          <w:noProof w:val="0"/>
          <w:sz w:val="18"/>
          <w:lang w:eastAsia="de-DE" w:bidi="en-US"/>
        </w:rPr>
      </w:pPr>
      <w:r w:rsidRPr="00E17E76">
        <w:rPr>
          <w:sz w:val="18"/>
          <w:szCs w:val="18"/>
        </w:rPr>
        <w:t xml:space="preserve">Pedersen, L.K.; Rahbek, O.; Nikolajsen, L.; Møller-Madsen, B. Assessment of pain in children with cerebral palsy focused on translation and clinical feasibility of the revised FLACC score. </w:t>
      </w:r>
      <w:r w:rsidRPr="00E17E76">
        <w:rPr>
          <w:i/>
          <w:iCs/>
          <w:sz w:val="18"/>
          <w:szCs w:val="18"/>
        </w:rPr>
        <w:t>Scand. J. Pain</w:t>
      </w:r>
      <w:r w:rsidRPr="00E17E76">
        <w:rPr>
          <w:sz w:val="18"/>
          <w:szCs w:val="18"/>
        </w:rPr>
        <w:t xml:space="preserve"> </w:t>
      </w:r>
      <w:r w:rsidRPr="00E17E76">
        <w:rPr>
          <w:b/>
          <w:bCs/>
          <w:sz w:val="18"/>
          <w:szCs w:val="18"/>
        </w:rPr>
        <w:t>2015</w:t>
      </w:r>
      <w:r w:rsidRPr="00E17E76">
        <w:rPr>
          <w:sz w:val="18"/>
          <w:szCs w:val="18"/>
        </w:rPr>
        <w:t xml:space="preserve">, </w:t>
      </w:r>
      <w:r w:rsidRPr="00E17E76">
        <w:rPr>
          <w:i/>
          <w:iCs/>
          <w:sz w:val="18"/>
          <w:szCs w:val="18"/>
        </w:rPr>
        <w:t>9</w:t>
      </w:r>
      <w:r w:rsidRPr="00E17E76">
        <w:rPr>
          <w:sz w:val="18"/>
          <w:szCs w:val="18"/>
        </w:rPr>
        <w:t>, 49–54</w:t>
      </w:r>
      <w:r w:rsidRPr="00E17E76">
        <w:rPr>
          <w:rFonts w:eastAsia="Times New Roman"/>
          <w:noProof w:val="0"/>
          <w:sz w:val="18"/>
          <w:szCs w:val="18"/>
          <w:lang w:eastAsia="de-DE" w:bidi="en-US"/>
        </w:rPr>
        <w:t>.</w:t>
      </w:r>
      <w:r w:rsidRPr="00E17E76">
        <w:rPr>
          <w:rFonts w:eastAsia="Times New Roman"/>
          <w:noProof w:val="0"/>
          <w:sz w:val="18"/>
          <w:lang w:eastAsia="de-DE" w:bidi="en-US"/>
        </w:rPr>
        <w:t xml:space="preserve"> https://doi.org/10.1016/j.sjpain.2015.06.005.</w:t>
      </w:r>
    </w:p>
    <w:p w14:paraId="183EB133" w14:textId="77777777" w:rsidR="006675DB" w:rsidRPr="00E17E76" w:rsidRDefault="006675DB" w:rsidP="006675DB">
      <w:pPr>
        <w:numPr>
          <w:ilvl w:val="0"/>
          <w:numId w:val="3"/>
        </w:numPr>
        <w:adjustRightInd w:val="0"/>
        <w:snapToGrid w:val="0"/>
        <w:spacing w:line="228" w:lineRule="auto"/>
        <w:ind w:left="425" w:hanging="425"/>
        <w:rPr>
          <w:rFonts w:eastAsia="Times New Roman"/>
          <w:noProof w:val="0"/>
          <w:sz w:val="18"/>
          <w:lang w:eastAsia="de-DE" w:bidi="en-US"/>
        </w:rPr>
      </w:pPr>
      <w:r w:rsidRPr="00E17E76">
        <w:rPr>
          <w:sz w:val="18"/>
          <w:szCs w:val="18"/>
        </w:rPr>
        <w:t xml:space="preserve">Hunt, A.; Goldman, A.; Seers, K.; Crichton, N.; Mastroyannopoulou, K.; Moffat, V.; Oulton, K.; Brady, M. Clinical validation of the paediatric pain profile.. </w:t>
      </w:r>
      <w:r w:rsidRPr="00E17E76">
        <w:rPr>
          <w:i/>
          <w:iCs/>
          <w:sz w:val="18"/>
          <w:szCs w:val="18"/>
        </w:rPr>
        <w:t>Dev. Med. Child Neurol.</w:t>
      </w:r>
      <w:r w:rsidRPr="00E17E76">
        <w:rPr>
          <w:sz w:val="18"/>
          <w:szCs w:val="18"/>
        </w:rPr>
        <w:t xml:space="preserve"> </w:t>
      </w:r>
      <w:r w:rsidRPr="00E17E76">
        <w:rPr>
          <w:b/>
          <w:bCs/>
          <w:sz w:val="18"/>
          <w:szCs w:val="18"/>
        </w:rPr>
        <w:t>2003</w:t>
      </w:r>
      <w:r w:rsidRPr="00E17E76">
        <w:rPr>
          <w:sz w:val="18"/>
          <w:szCs w:val="18"/>
        </w:rPr>
        <w:t xml:space="preserve">, </w:t>
      </w:r>
      <w:r w:rsidRPr="00E17E76">
        <w:rPr>
          <w:i/>
          <w:iCs/>
          <w:sz w:val="18"/>
          <w:szCs w:val="18"/>
        </w:rPr>
        <w:t>46</w:t>
      </w:r>
      <w:r w:rsidRPr="00E17E76">
        <w:rPr>
          <w:rFonts w:eastAsia="Times New Roman"/>
          <w:noProof w:val="0"/>
          <w:sz w:val="18"/>
          <w:szCs w:val="18"/>
          <w:lang w:eastAsia="de-DE" w:bidi="en-US"/>
        </w:rPr>
        <w:t>,</w:t>
      </w:r>
      <w:r w:rsidRPr="00E17E76">
        <w:rPr>
          <w:rFonts w:eastAsia="Times New Roman"/>
          <w:noProof w:val="0"/>
          <w:sz w:val="18"/>
          <w:lang w:eastAsia="de-DE" w:bidi="en-US"/>
        </w:rPr>
        <w:t xml:space="preserve"> 9–</w:t>
      </w:r>
      <w:proofErr w:type="gramStart"/>
      <w:r w:rsidRPr="00E17E76">
        <w:rPr>
          <w:rFonts w:eastAsia="Times New Roman"/>
          <w:noProof w:val="0"/>
          <w:sz w:val="18"/>
          <w:lang w:eastAsia="de-DE" w:bidi="en-US"/>
        </w:rPr>
        <w:t>18;.</w:t>
      </w:r>
      <w:proofErr w:type="gramEnd"/>
      <w:r w:rsidRPr="00E17E76">
        <w:rPr>
          <w:rFonts w:eastAsia="Times New Roman"/>
          <w:noProof w:val="0"/>
          <w:sz w:val="18"/>
          <w:lang w:eastAsia="de-DE" w:bidi="en-US"/>
        </w:rPr>
        <w:t xml:space="preserve"> https://doi.org/10.1017/s0012162204000039.</w:t>
      </w:r>
    </w:p>
    <w:p w14:paraId="3820B87C" w14:textId="77777777" w:rsidR="006675DB" w:rsidRPr="00E17E76" w:rsidRDefault="006675DB" w:rsidP="006675DB">
      <w:pPr>
        <w:numPr>
          <w:ilvl w:val="0"/>
          <w:numId w:val="3"/>
        </w:numPr>
        <w:adjustRightInd w:val="0"/>
        <w:snapToGrid w:val="0"/>
        <w:spacing w:line="228" w:lineRule="auto"/>
        <w:ind w:left="425" w:hanging="425"/>
        <w:rPr>
          <w:rFonts w:eastAsia="Times New Roman"/>
          <w:noProof w:val="0"/>
          <w:sz w:val="18"/>
          <w:lang w:eastAsia="de-DE" w:bidi="en-US"/>
        </w:rPr>
      </w:pPr>
      <w:r w:rsidRPr="00E17E76">
        <w:rPr>
          <w:sz w:val="18"/>
          <w:szCs w:val="18"/>
        </w:rPr>
        <w:t xml:space="preserve">Zaza, C.; Stolee, P.; Prkachin, K. The application of goal attainment scaling in chronic pain settings. </w:t>
      </w:r>
      <w:r w:rsidRPr="00E17E76">
        <w:rPr>
          <w:i/>
          <w:iCs/>
          <w:sz w:val="18"/>
          <w:szCs w:val="18"/>
        </w:rPr>
        <w:t>J. Pain Symptom. Manag.</w:t>
      </w:r>
      <w:r w:rsidRPr="00E17E76">
        <w:rPr>
          <w:sz w:val="18"/>
          <w:szCs w:val="18"/>
        </w:rPr>
        <w:t xml:space="preserve"> </w:t>
      </w:r>
      <w:r w:rsidRPr="00E17E76">
        <w:rPr>
          <w:b/>
          <w:bCs/>
          <w:sz w:val="18"/>
          <w:szCs w:val="18"/>
        </w:rPr>
        <w:t>1999</w:t>
      </w:r>
      <w:r w:rsidRPr="00E17E76">
        <w:rPr>
          <w:sz w:val="18"/>
          <w:szCs w:val="18"/>
        </w:rPr>
        <w:t xml:space="preserve">, </w:t>
      </w:r>
      <w:r w:rsidRPr="00E17E76">
        <w:rPr>
          <w:i/>
          <w:iCs/>
          <w:sz w:val="18"/>
          <w:szCs w:val="18"/>
        </w:rPr>
        <w:t>17</w:t>
      </w:r>
      <w:r w:rsidRPr="00E17E76">
        <w:rPr>
          <w:sz w:val="18"/>
          <w:szCs w:val="18"/>
        </w:rPr>
        <w:t>, 55–64</w:t>
      </w:r>
      <w:r w:rsidRPr="00E17E76">
        <w:rPr>
          <w:rFonts w:eastAsia="Times New Roman"/>
          <w:noProof w:val="0"/>
          <w:sz w:val="18"/>
          <w:szCs w:val="18"/>
          <w:lang w:eastAsia="de-DE" w:bidi="en-US"/>
        </w:rPr>
        <w:t>.</w:t>
      </w:r>
      <w:r w:rsidRPr="00E17E76">
        <w:rPr>
          <w:rFonts w:eastAsia="Times New Roman"/>
          <w:noProof w:val="0"/>
          <w:sz w:val="18"/>
          <w:lang w:eastAsia="de-DE" w:bidi="en-US"/>
        </w:rPr>
        <w:t xml:space="preserve"> https://doi.org/10.1016/s0885-392400106-7.</w:t>
      </w:r>
    </w:p>
    <w:p w14:paraId="5A524769" w14:textId="77777777" w:rsidR="006675DB" w:rsidRPr="00E17E76" w:rsidRDefault="006675DB" w:rsidP="006675DB">
      <w:pPr>
        <w:numPr>
          <w:ilvl w:val="0"/>
          <w:numId w:val="3"/>
        </w:numPr>
        <w:adjustRightInd w:val="0"/>
        <w:snapToGrid w:val="0"/>
        <w:spacing w:line="228" w:lineRule="auto"/>
        <w:ind w:left="425" w:hanging="425"/>
        <w:rPr>
          <w:rFonts w:eastAsia="Times New Roman"/>
          <w:noProof w:val="0"/>
          <w:sz w:val="18"/>
          <w:lang w:eastAsia="de-DE" w:bidi="en-US"/>
        </w:rPr>
      </w:pPr>
      <w:r w:rsidRPr="00E17E76">
        <w:rPr>
          <w:sz w:val="18"/>
          <w:szCs w:val="18"/>
        </w:rPr>
        <w:t xml:space="preserve">Boven’Eerdt, T.J.H.; Botell, R.E.; Wade, D. Writing SMART rehabilitation goals and achieving goal attainment scaling: A practical guide. </w:t>
      </w:r>
      <w:r w:rsidRPr="00E17E76">
        <w:rPr>
          <w:i/>
          <w:iCs/>
          <w:sz w:val="18"/>
          <w:szCs w:val="18"/>
        </w:rPr>
        <w:t xml:space="preserve">Clin. Rehabil. </w:t>
      </w:r>
      <w:r w:rsidRPr="00E17E76">
        <w:rPr>
          <w:b/>
          <w:bCs/>
          <w:sz w:val="18"/>
          <w:szCs w:val="18"/>
        </w:rPr>
        <w:t>2009</w:t>
      </w:r>
      <w:r w:rsidRPr="00E17E76">
        <w:rPr>
          <w:sz w:val="18"/>
          <w:szCs w:val="18"/>
        </w:rPr>
        <w:t xml:space="preserve">, </w:t>
      </w:r>
      <w:r w:rsidRPr="00E17E76">
        <w:rPr>
          <w:i/>
          <w:iCs/>
          <w:sz w:val="18"/>
          <w:szCs w:val="18"/>
        </w:rPr>
        <w:t>23</w:t>
      </w:r>
      <w:r w:rsidRPr="00E17E76">
        <w:rPr>
          <w:sz w:val="18"/>
          <w:szCs w:val="18"/>
        </w:rPr>
        <w:t>, 352–361</w:t>
      </w:r>
      <w:r w:rsidRPr="00E17E76">
        <w:rPr>
          <w:rFonts w:eastAsia="Times New Roman"/>
          <w:noProof w:val="0"/>
          <w:sz w:val="18"/>
          <w:szCs w:val="18"/>
          <w:lang w:eastAsia="de-DE" w:bidi="en-US"/>
        </w:rPr>
        <w:t>.</w:t>
      </w:r>
      <w:r w:rsidRPr="00E17E76">
        <w:rPr>
          <w:rFonts w:eastAsia="Times New Roman"/>
          <w:noProof w:val="0"/>
          <w:sz w:val="18"/>
          <w:lang w:eastAsia="de-DE" w:bidi="en-US"/>
        </w:rPr>
        <w:t xml:space="preserve"> https://doi.org/10.1177/0269215508101741.</w:t>
      </w:r>
    </w:p>
    <w:p w14:paraId="218A633C" w14:textId="77777777" w:rsidR="006675DB" w:rsidRPr="00E17E76" w:rsidRDefault="006675DB" w:rsidP="006675DB">
      <w:pPr>
        <w:numPr>
          <w:ilvl w:val="0"/>
          <w:numId w:val="3"/>
        </w:numPr>
        <w:adjustRightInd w:val="0"/>
        <w:snapToGrid w:val="0"/>
        <w:spacing w:line="228" w:lineRule="auto"/>
        <w:ind w:left="425" w:hanging="425"/>
        <w:rPr>
          <w:rFonts w:eastAsia="Times New Roman"/>
          <w:noProof w:val="0"/>
          <w:sz w:val="18"/>
          <w:lang w:eastAsia="de-DE" w:bidi="en-US"/>
        </w:rPr>
      </w:pPr>
      <w:r w:rsidRPr="00E17E76">
        <w:rPr>
          <w:sz w:val="18"/>
          <w:szCs w:val="18"/>
        </w:rPr>
        <w:t xml:space="preserve">Davis, E.; Mackinnon, A.; Davern, M.; Boyd, R.; Bohanna, I.; Waters, E.; Graham, H.K.; Reid, S.; Reddihough, D. Description and psychometric properties of the CP QOL-Teen: A quality of life questionnaire for adolescents with cerebral palsy. </w:t>
      </w:r>
      <w:r w:rsidRPr="00E17E76">
        <w:rPr>
          <w:i/>
          <w:iCs/>
          <w:sz w:val="18"/>
          <w:szCs w:val="18"/>
        </w:rPr>
        <w:t>Res. Dev. Disabil.</w:t>
      </w:r>
      <w:r w:rsidRPr="00E17E76">
        <w:rPr>
          <w:sz w:val="18"/>
          <w:szCs w:val="18"/>
        </w:rPr>
        <w:t xml:space="preserve"> </w:t>
      </w:r>
      <w:r w:rsidRPr="00E17E76">
        <w:rPr>
          <w:b/>
          <w:bCs/>
          <w:sz w:val="18"/>
          <w:szCs w:val="18"/>
        </w:rPr>
        <w:t>2013</w:t>
      </w:r>
      <w:r w:rsidRPr="00E17E76">
        <w:rPr>
          <w:sz w:val="18"/>
          <w:szCs w:val="18"/>
        </w:rPr>
        <w:t xml:space="preserve">, </w:t>
      </w:r>
      <w:r w:rsidRPr="00E17E76">
        <w:rPr>
          <w:i/>
          <w:iCs/>
          <w:sz w:val="18"/>
          <w:szCs w:val="18"/>
        </w:rPr>
        <w:t>34</w:t>
      </w:r>
      <w:r w:rsidRPr="00E17E76">
        <w:rPr>
          <w:sz w:val="18"/>
          <w:szCs w:val="18"/>
        </w:rPr>
        <w:t>, 344–352</w:t>
      </w:r>
      <w:r w:rsidRPr="00E17E76">
        <w:rPr>
          <w:rFonts w:eastAsia="Times New Roman"/>
          <w:noProof w:val="0"/>
          <w:sz w:val="18"/>
          <w:szCs w:val="18"/>
          <w:lang w:eastAsia="de-DE" w:bidi="en-US"/>
        </w:rPr>
        <w:t>.</w:t>
      </w:r>
      <w:r w:rsidRPr="00E17E76">
        <w:rPr>
          <w:rFonts w:eastAsia="Times New Roman"/>
          <w:noProof w:val="0"/>
          <w:sz w:val="18"/>
          <w:lang w:eastAsia="de-DE" w:bidi="en-US"/>
        </w:rPr>
        <w:t xml:space="preserve"> https://doi.org/10.1016/j.ridd.2012.08.018.</w:t>
      </w:r>
    </w:p>
    <w:p w14:paraId="550DB157" w14:textId="77777777" w:rsidR="006675DB" w:rsidRPr="00E17E76" w:rsidRDefault="006675DB" w:rsidP="006675DB">
      <w:pPr>
        <w:numPr>
          <w:ilvl w:val="0"/>
          <w:numId w:val="3"/>
        </w:numPr>
        <w:adjustRightInd w:val="0"/>
        <w:snapToGrid w:val="0"/>
        <w:spacing w:line="228" w:lineRule="auto"/>
        <w:ind w:left="425" w:hanging="425"/>
        <w:rPr>
          <w:rFonts w:eastAsia="Times New Roman"/>
          <w:noProof w:val="0"/>
          <w:sz w:val="18"/>
          <w:lang w:eastAsia="de-DE" w:bidi="en-US"/>
        </w:rPr>
      </w:pPr>
      <w:r w:rsidRPr="00E17E76">
        <w:rPr>
          <w:rFonts w:eastAsia="Times New Roman"/>
          <w:noProof w:val="0"/>
          <w:sz w:val="18"/>
          <w:lang w:eastAsia="de-DE" w:bidi="en-US"/>
        </w:rPr>
        <w:t xml:space="preserve">Davis, E.; </w:t>
      </w:r>
      <w:proofErr w:type="spellStart"/>
      <w:r w:rsidRPr="00E17E76">
        <w:rPr>
          <w:rFonts w:eastAsia="Times New Roman"/>
          <w:noProof w:val="0"/>
          <w:sz w:val="18"/>
          <w:lang w:eastAsia="de-DE" w:bidi="en-US"/>
        </w:rPr>
        <w:t>Davern</w:t>
      </w:r>
      <w:proofErr w:type="spellEnd"/>
      <w:r w:rsidRPr="00E17E76">
        <w:rPr>
          <w:rFonts w:eastAsia="Times New Roman"/>
          <w:noProof w:val="0"/>
          <w:sz w:val="18"/>
          <w:lang w:eastAsia="de-DE" w:bidi="en-US"/>
        </w:rPr>
        <w:t xml:space="preserve">, M.; Waters, E.; Boyd, R.; </w:t>
      </w:r>
      <w:proofErr w:type="spellStart"/>
      <w:r w:rsidRPr="00E17E76">
        <w:rPr>
          <w:rFonts w:eastAsia="Times New Roman"/>
          <w:noProof w:val="0"/>
          <w:sz w:val="18"/>
          <w:lang w:eastAsia="de-DE" w:bidi="en-US"/>
        </w:rPr>
        <w:t>Reddihough</w:t>
      </w:r>
      <w:proofErr w:type="spellEnd"/>
      <w:r w:rsidRPr="00E17E76">
        <w:rPr>
          <w:rFonts w:eastAsia="Times New Roman"/>
          <w:noProof w:val="0"/>
          <w:sz w:val="18"/>
          <w:lang w:eastAsia="de-DE" w:bidi="en-US"/>
        </w:rPr>
        <w:t xml:space="preserve">, D.; Mackinnon, A.; Graham, H.K. </w:t>
      </w:r>
      <w:r w:rsidRPr="00E17E76">
        <w:rPr>
          <w:rFonts w:eastAsia="Times New Roman"/>
          <w:i/>
          <w:iCs/>
          <w:noProof w:val="0"/>
          <w:sz w:val="18"/>
          <w:lang w:eastAsia="de-DE" w:bidi="en-US"/>
        </w:rPr>
        <w:t>Cerebral Palsy Quality of Life Questionnaire for Adolescents (CP QOL-Teen) Manual</w:t>
      </w:r>
      <w:r w:rsidRPr="00E17E76">
        <w:rPr>
          <w:rFonts w:eastAsia="Times New Roman"/>
          <w:noProof w:val="0"/>
          <w:sz w:val="18"/>
          <w:lang w:eastAsia="de-DE" w:bidi="en-US"/>
        </w:rPr>
        <w:t>, 1st ed.; University of Melbourne: Melbourne, VIC, Australia, 2013.</w:t>
      </w:r>
    </w:p>
    <w:p w14:paraId="09592775" w14:textId="77777777" w:rsidR="006675DB" w:rsidRPr="00E17E76" w:rsidRDefault="006675DB" w:rsidP="006675DB">
      <w:pPr>
        <w:numPr>
          <w:ilvl w:val="0"/>
          <w:numId w:val="3"/>
        </w:numPr>
        <w:adjustRightInd w:val="0"/>
        <w:snapToGrid w:val="0"/>
        <w:spacing w:line="228" w:lineRule="auto"/>
        <w:ind w:left="425" w:hanging="425"/>
        <w:rPr>
          <w:rFonts w:eastAsia="Times New Roman"/>
          <w:noProof w:val="0"/>
          <w:sz w:val="18"/>
          <w:lang w:eastAsia="de-DE" w:bidi="en-US"/>
        </w:rPr>
      </w:pPr>
      <w:r w:rsidRPr="00E17E76">
        <w:rPr>
          <w:sz w:val="18"/>
          <w:szCs w:val="18"/>
        </w:rPr>
        <w:t xml:space="preserve">Narayanan, U.G.; Fehlings, D.; Weir, S.; Knights, S.; Kiran, S.; Campbell, K. Initial development and validation of the Caregiver Priorities and Child Health Index of Life with Disabilities (CPCHILD). </w:t>
      </w:r>
      <w:r w:rsidRPr="00E17E76">
        <w:rPr>
          <w:i/>
          <w:iCs/>
          <w:sz w:val="18"/>
          <w:szCs w:val="18"/>
        </w:rPr>
        <w:t>Dev. Med. Child Neurol.</w:t>
      </w:r>
      <w:r w:rsidRPr="00E17E76">
        <w:rPr>
          <w:sz w:val="18"/>
          <w:szCs w:val="18"/>
        </w:rPr>
        <w:t xml:space="preserve"> </w:t>
      </w:r>
      <w:r w:rsidRPr="00E17E76">
        <w:rPr>
          <w:b/>
          <w:bCs/>
          <w:sz w:val="18"/>
          <w:szCs w:val="18"/>
        </w:rPr>
        <w:t>2006</w:t>
      </w:r>
      <w:r w:rsidRPr="00E17E76">
        <w:rPr>
          <w:sz w:val="18"/>
          <w:szCs w:val="18"/>
        </w:rPr>
        <w:t xml:space="preserve">, </w:t>
      </w:r>
      <w:r w:rsidRPr="00E17E76">
        <w:rPr>
          <w:i/>
          <w:iCs/>
          <w:sz w:val="18"/>
          <w:szCs w:val="18"/>
        </w:rPr>
        <w:t>48</w:t>
      </w:r>
      <w:r w:rsidRPr="00E17E76">
        <w:rPr>
          <w:sz w:val="18"/>
          <w:szCs w:val="18"/>
        </w:rPr>
        <w:t>, 804–812</w:t>
      </w:r>
      <w:r w:rsidRPr="00E17E76">
        <w:rPr>
          <w:rFonts w:eastAsia="Times New Roman"/>
          <w:noProof w:val="0"/>
          <w:sz w:val="18"/>
          <w:szCs w:val="18"/>
          <w:lang w:eastAsia="de-DE" w:bidi="en-US"/>
        </w:rPr>
        <w:t>.</w:t>
      </w:r>
      <w:r w:rsidRPr="00E17E76">
        <w:rPr>
          <w:rFonts w:eastAsia="Times New Roman"/>
          <w:noProof w:val="0"/>
          <w:sz w:val="18"/>
          <w:lang w:eastAsia="de-DE" w:bidi="en-US"/>
        </w:rPr>
        <w:t xml:space="preserve"> https://doi.org/10.1017/S0012162206001745.</w:t>
      </w:r>
    </w:p>
    <w:p w14:paraId="3C4B669B" w14:textId="77777777" w:rsidR="006675DB" w:rsidRPr="00E17E76" w:rsidRDefault="006675DB" w:rsidP="006675DB">
      <w:pPr>
        <w:numPr>
          <w:ilvl w:val="0"/>
          <w:numId w:val="3"/>
        </w:numPr>
        <w:adjustRightInd w:val="0"/>
        <w:snapToGrid w:val="0"/>
        <w:spacing w:line="228" w:lineRule="auto"/>
        <w:ind w:left="425" w:hanging="425"/>
        <w:rPr>
          <w:rFonts w:eastAsia="Times New Roman"/>
          <w:noProof w:val="0"/>
          <w:sz w:val="18"/>
          <w:lang w:eastAsia="de-DE" w:bidi="en-US"/>
        </w:rPr>
      </w:pPr>
      <w:r w:rsidRPr="00E17E76">
        <w:rPr>
          <w:rFonts w:eastAsia="Times New Roman"/>
          <w:noProof w:val="0"/>
          <w:sz w:val="18"/>
          <w:lang w:eastAsia="de-DE" w:bidi="en-US"/>
        </w:rPr>
        <w:t xml:space="preserve">Nestor, M.S.; </w:t>
      </w:r>
      <w:proofErr w:type="spellStart"/>
      <w:r w:rsidRPr="00E17E76">
        <w:rPr>
          <w:rFonts w:eastAsia="Times New Roman"/>
          <w:noProof w:val="0"/>
          <w:sz w:val="18"/>
          <w:lang w:eastAsia="de-DE" w:bidi="en-US"/>
        </w:rPr>
        <w:t>Ablon</w:t>
      </w:r>
      <w:proofErr w:type="spellEnd"/>
      <w:r w:rsidRPr="00E17E76">
        <w:rPr>
          <w:rFonts w:eastAsia="Times New Roman"/>
          <w:noProof w:val="0"/>
          <w:sz w:val="18"/>
          <w:lang w:eastAsia="de-DE" w:bidi="en-US"/>
        </w:rPr>
        <w:t xml:space="preserve">, G.R. Duration of action of </w:t>
      </w:r>
      <w:proofErr w:type="spellStart"/>
      <w:r w:rsidRPr="00E17E76">
        <w:rPr>
          <w:rFonts w:eastAsia="Times New Roman"/>
          <w:noProof w:val="0"/>
          <w:sz w:val="18"/>
          <w:lang w:eastAsia="de-DE" w:bidi="en-US"/>
        </w:rPr>
        <w:t>abobotulinumtoxina</w:t>
      </w:r>
      <w:proofErr w:type="spellEnd"/>
      <w:r w:rsidRPr="00E17E76">
        <w:rPr>
          <w:rFonts w:eastAsia="Times New Roman"/>
          <w:noProof w:val="0"/>
          <w:sz w:val="18"/>
          <w:lang w:eastAsia="de-DE" w:bidi="en-US"/>
        </w:rPr>
        <w:t xml:space="preserve"> and </w:t>
      </w:r>
      <w:proofErr w:type="spellStart"/>
      <w:r w:rsidRPr="00E17E76">
        <w:rPr>
          <w:rFonts w:eastAsia="Times New Roman"/>
          <w:noProof w:val="0"/>
          <w:sz w:val="18"/>
          <w:lang w:eastAsia="de-DE" w:bidi="en-US"/>
        </w:rPr>
        <w:t>onabotulinumtoxina</w:t>
      </w:r>
      <w:proofErr w:type="spellEnd"/>
      <w:r w:rsidRPr="00E17E76">
        <w:rPr>
          <w:rFonts w:eastAsia="Times New Roman"/>
          <w:noProof w:val="0"/>
          <w:sz w:val="18"/>
          <w:lang w:eastAsia="de-DE" w:bidi="en-US"/>
        </w:rPr>
        <w:t xml:space="preserve">: A randomized, double-blind study using a contralateral frontalis model. </w:t>
      </w:r>
      <w:r w:rsidRPr="00E17E76">
        <w:rPr>
          <w:rFonts w:eastAsia="Times New Roman"/>
          <w:i/>
          <w:iCs/>
          <w:noProof w:val="0"/>
          <w:sz w:val="18"/>
          <w:lang w:eastAsia="de-DE" w:bidi="en-US"/>
        </w:rPr>
        <w:t xml:space="preserve">J. Clin. </w:t>
      </w:r>
      <w:proofErr w:type="spellStart"/>
      <w:r w:rsidRPr="00E17E76">
        <w:rPr>
          <w:rFonts w:eastAsia="Times New Roman"/>
          <w:i/>
          <w:iCs/>
          <w:noProof w:val="0"/>
          <w:sz w:val="18"/>
          <w:lang w:eastAsia="de-DE" w:bidi="en-US"/>
        </w:rPr>
        <w:t>Aesthet</w:t>
      </w:r>
      <w:proofErr w:type="spellEnd"/>
      <w:r w:rsidRPr="00E17E76">
        <w:rPr>
          <w:rFonts w:eastAsia="Times New Roman"/>
          <w:i/>
          <w:iCs/>
          <w:noProof w:val="0"/>
          <w:sz w:val="18"/>
          <w:lang w:eastAsia="de-DE" w:bidi="en-US"/>
        </w:rPr>
        <w:t>. Dermatol.</w:t>
      </w:r>
      <w:r w:rsidRPr="00E17E76">
        <w:rPr>
          <w:rFonts w:eastAsia="Times New Roman"/>
          <w:noProof w:val="0"/>
          <w:sz w:val="18"/>
          <w:lang w:eastAsia="de-DE" w:bidi="en-US"/>
        </w:rPr>
        <w:t xml:space="preserve"> </w:t>
      </w:r>
      <w:r w:rsidRPr="00E17E76">
        <w:rPr>
          <w:rFonts w:eastAsia="Times New Roman"/>
          <w:b/>
          <w:bCs/>
          <w:noProof w:val="0"/>
          <w:sz w:val="18"/>
          <w:lang w:eastAsia="de-DE" w:bidi="en-US"/>
        </w:rPr>
        <w:t>2011</w:t>
      </w:r>
      <w:r w:rsidRPr="00E17E76">
        <w:rPr>
          <w:rFonts w:eastAsia="Times New Roman"/>
          <w:noProof w:val="0"/>
          <w:sz w:val="18"/>
          <w:lang w:eastAsia="de-DE" w:bidi="en-US"/>
        </w:rPr>
        <w:t xml:space="preserve">, </w:t>
      </w:r>
      <w:r w:rsidRPr="00E17E76">
        <w:rPr>
          <w:rFonts w:eastAsia="Times New Roman"/>
          <w:i/>
          <w:iCs/>
          <w:noProof w:val="0"/>
          <w:sz w:val="18"/>
          <w:lang w:eastAsia="de-DE" w:bidi="en-US"/>
        </w:rPr>
        <w:t>4</w:t>
      </w:r>
      <w:r w:rsidRPr="00E17E76">
        <w:rPr>
          <w:rFonts w:eastAsia="Times New Roman"/>
          <w:noProof w:val="0"/>
          <w:sz w:val="18"/>
          <w:lang w:eastAsia="de-DE" w:bidi="en-US"/>
        </w:rPr>
        <w:t>, 43–49.</w:t>
      </w:r>
    </w:p>
    <w:p w14:paraId="33AC1D81" w14:textId="77777777" w:rsidR="006675DB" w:rsidRPr="00E17E76" w:rsidRDefault="006675DB" w:rsidP="006675DB">
      <w:pPr>
        <w:numPr>
          <w:ilvl w:val="0"/>
          <w:numId w:val="3"/>
        </w:numPr>
        <w:adjustRightInd w:val="0"/>
        <w:snapToGrid w:val="0"/>
        <w:spacing w:line="228" w:lineRule="auto"/>
        <w:ind w:left="425" w:hanging="425"/>
        <w:rPr>
          <w:rFonts w:eastAsia="Times New Roman"/>
          <w:noProof w:val="0"/>
          <w:sz w:val="18"/>
          <w:lang w:eastAsia="de-DE" w:bidi="en-US"/>
        </w:rPr>
      </w:pPr>
      <w:r w:rsidRPr="00E17E76">
        <w:rPr>
          <w:sz w:val="18"/>
          <w:szCs w:val="18"/>
        </w:rPr>
        <w:t xml:space="preserve">Esquenazi, A.; Delgado, M.R.; Hauser, R.A.; Picaut, P.; Foster, K.; Lysandropoulos, A.; Gracies, J.-M. Duration of symptom relief between injections for AbobotulinumtoxinA (Dysport®) in spastic paresis and cervical dystonia: Comparison of evidence from clinical studies. </w:t>
      </w:r>
      <w:r w:rsidRPr="00E17E76">
        <w:rPr>
          <w:i/>
          <w:iCs/>
          <w:sz w:val="18"/>
          <w:szCs w:val="18"/>
        </w:rPr>
        <w:t>Front. Neurol.</w:t>
      </w:r>
      <w:r w:rsidRPr="00E17E76">
        <w:rPr>
          <w:sz w:val="18"/>
          <w:szCs w:val="18"/>
        </w:rPr>
        <w:t xml:space="preserve"> </w:t>
      </w:r>
      <w:r w:rsidRPr="00E17E76">
        <w:rPr>
          <w:b/>
          <w:bCs/>
          <w:sz w:val="18"/>
          <w:szCs w:val="18"/>
        </w:rPr>
        <w:t>2020</w:t>
      </w:r>
      <w:r w:rsidRPr="00E17E76">
        <w:rPr>
          <w:sz w:val="18"/>
          <w:szCs w:val="18"/>
        </w:rPr>
        <w:t xml:space="preserve">, </w:t>
      </w:r>
      <w:r w:rsidRPr="00E17E76">
        <w:rPr>
          <w:i/>
          <w:iCs/>
          <w:sz w:val="18"/>
          <w:szCs w:val="18"/>
        </w:rPr>
        <w:t>11</w:t>
      </w:r>
      <w:r w:rsidRPr="00E17E76">
        <w:rPr>
          <w:rFonts w:eastAsia="Times New Roman"/>
          <w:noProof w:val="0"/>
          <w:sz w:val="18"/>
          <w:szCs w:val="18"/>
          <w:lang w:eastAsia="de-DE" w:bidi="en-US"/>
        </w:rPr>
        <w:t>,</w:t>
      </w:r>
      <w:r w:rsidRPr="00E17E76">
        <w:rPr>
          <w:rFonts w:eastAsia="Times New Roman"/>
          <w:noProof w:val="0"/>
          <w:sz w:val="18"/>
          <w:lang w:eastAsia="de-DE" w:bidi="en-US"/>
        </w:rPr>
        <w:t xml:space="preserve"> 576117. https://doi.org/10.3389/fneur.2020.576117.</w:t>
      </w:r>
    </w:p>
    <w:p w14:paraId="6CF4A57E" w14:textId="77777777" w:rsidR="006675DB" w:rsidRPr="00E17E76" w:rsidRDefault="006675DB" w:rsidP="006675DB">
      <w:pPr>
        <w:numPr>
          <w:ilvl w:val="0"/>
          <w:numId w:val="3"/>
        </w:numPr>
        <w:adjustRightInd w:val="0"/>
        <w:snapToGrid w:val="0"/>
        <w:spacing w:line="228" w:lineRule="auto"/>
        <w:ind w:left="425" w:hanging="425"/>
        <w:rPr>
          <w:rFonts w:eastAsia="Times New Roman"/>
          <w:noProof w:val="0"/>
          <w:sz w:val="18"/>
          <w:lang w:eastAsia="de-DE" w:bidi="en-US"/>
        </w:rPr>
      </w:pPr>
      <w:r w:rsidRPr="00E17E76">
        <w:rPr>
          <w:sz w:val="18"/>
          <w:szCs w:val="18"/>
        </w:rPr>
        <w:t xml:space="preserve">Finnerup, N. Neuropathic pain and spasticity: Intricate consequences of spinal cord injury. </w:t>
      </w:r>
      <w:r w:rsidRPr="00E17E76">
        <w:rPr>
          <w:i/>
          <w:iCs/>
          <w:sz w:val="18"/>
          <w:szCs w:val="18"/>
        </w:rPr>
        <w:t>Spinal Cord</w:t>
      </w:r>
      <w:r w:rsidRPr="00E17E76">
        <w:rPr>
          <w:sz w:val="18"/>
          <w:szCs w:val="18"/>
        </w:rPr>
        <w:t xml:space="preserve"> </w:t>
      </w:r>
      <w:r w:rsidRPr="00E17E76">
        <w:rPr>
          <w:b/>
          <w:bCs/>
          <w:sz w:val="18"/>
          <w:szCs w:val="18"/>
        </w:rPr>
        <w:t>2017</w:t>
      </w:r>
      <w:r w:rsidRPr="00E17E76">
        <w:rPr>
          <w:sz w:val="18"/>
          <w:szCs w:val="18"/>
        </w:rPr>
        <w:t xml:space="preserve">, </w:t>
      </w:r>
      <w:r w:rsidRPr="00E17E76">
        <w:rPr>
          <w:i/>
          <w:iCs/>
          <w:sz w:val="18"/>
          <w:szCs w:val="18"/>
        </w:rPr>
        <w:t>55</w:t>
      </w:r>
      <w:r w:rsidRPr="00E17E76">
        <w:rPr>
          <w:sz w:val="18"/>
          <w:szCs w:val="18"/>
        </w:rPr>
        <w:t>, 1046–1050</w:t>
      </w:r>
      <w:r w:rsidRPr="00E17E76">
        <w:rPr>
          <w:rFonts w:eastAsia="Times New Roman"/>
          <w:noProof w:val="0"/>
          <w:sz w:val="18"/>
          <w:szCs w:val="18"/>
          <w:lang w:eastAsia="de-DE" w:bidi="en-US"/>
        </w:rPr>
        <w:t>.</w:t>
      </w:r>
      <w:r w:rsidRPr="00E17E76">
        <w:rPr>
          <w:rFonts w:eastAsia="Times New Roman"/>
          <w:noProof w:val="0"/>
          <w:sz w:val="18"/>
          <w:lang w:eastAsia="de-DE" w:bidi="en-US"/>
        </w:rPr>
        <w:t xml:space="preserve"> https://doi.org/10.1038/sc.2017.70.</w:t>
      </w:r>
    </w:p>
    <w:p w14:paraId="1574148B" w14:textId="7CE9BAEF" w:rsidR="006675DB" w:rsidRPr="00E17E76" w:rsidRDefault="006675DB" w:rsidP="006675DB">
      <w:pPr>
        <w:numPr>
          <w:ilvl w:val="0"/>
          <w:numId w:val="3"/>
        </w:numPr>
        <w:adjustRightInd w:val="0"/>
        <w:snapToGrid w:val="0"/>
        <w:spacing w:line="228" w:lineRule="auto"/>
        <w:ind w:left="425" w:hanging="425"/>
        <w:rPr>
          <w:rFonts w:eastAsia="Times New Roman"/>
          <w:noProof w:val="0"/>
          <w:sz w:val="18"/>
          <w:szCs w:val="18"/>
          <w:lang w:eastAsia="de-DE" w:bidi="en-US"/>
        </w:rPr>
      </w:pPr>
      <w:r w:rsidRPr="00E17E76">
        <w:rPr>
          <w:sz w:val="18"/>
          <w:szCs w:val="18"/>
        </w:rPr>
        <w:t xml:space="preserve">Park, J.; Park, H.J. Botulinum toxin for the treatment of neuropathic pain. </w:t>
      </w:r>
      <w:r w:rsidRPr="00E17E76">
        <w:rPr>
          <w:i/>
          <w:iCs/>
          <w:sz w:val="18"/>
          <w:szCs w:val="18"/>
        </w:rPr>
        <w:t>Toxins</w:t>
      </w:r>
      <w:r w:rsidRPr="00E17E76">
        <w:rPr>
          <w:sz w:val="18"/>
          <w:szCs w:val="18"/>
        </w:rPr>
        <w:t xml:space="preserve"> </w:t>
      </w:r>
      <w:r w:rsidRPr="00E17E76">
        <w:rPr>
          <w:b/>
          <w:bCs/>
          <w:sz w:val="18"/>
          <w:szCs w:val="18"/>
        </w:rPr>
        <w:t>2017</w:t>
      </w:r>
      <w:r w:rsidRPr="00E17E76">
        <w:rPr>
          <w:sz w:val="18"/>
          <w:szCs w:val="18"/>
        </w:rPr>
        <w:t xml:space="preserve">, </w:t>
      </w:r>
      <w:r w:rsidRPr="00E17E76">
        <w:rPr>
          <w:i/>
          <w:iCs/>
          <w:sz w:val="18"/>
          <w:szCs w:val="18"/>
        </w:rPr>
        <w:t>9</w:t>
      </w:r>
      <w:r w:rsidRPr="00E17E76">
        <w:rPr>
          <w:sz w:val="18"/>
          <w:szCs w:val="18"/>
        </w:rPr>
        <w:t>, 260</w:t>
      </w:r>
      <w:r w:rsidRPr="00E17E76">
        <w:rPr>
          <w:rFonts w:eastAsia="Times New Roman"/>
          <w:noProof w:val="0"/>
          <w:sz w:val="18"/>
          <w:szCs w:val="18"/>
          <w:lang w:eastAsia="de-DE" w:bidi="en-US"/>
        </w:rPr>
        <w:t>.</w:t>
      </w:r>
    </w:p>
    <w:sectPr w:rsidR="006675DB" w:rsidRPr="00E17E76" w:rsidSect="003A41A8">
      <w:headerReference w:type="even" r:id="rId16"/>
      <w:headerReference w:type="default" r:id="rId17"/>
      <w:footerReference w:type="default" r:id="rId18"/>
      <w:headerReference w:type="first" r:id="rId19"/>
      <w:footerReference w:type="first" r:id="rId20"/>
      <w:type w:val="continuous"/>
      <w:pgSz w:w="11906" w:h="16838" w:code="9"/>
      <w:pgMar w:top="1417" w:right="720" w:bottom="1077" w:left="720" w:header="1020" w:footer="340" w:gutter="0"/>
      <w:pgNumType w:start="1"/>
      <w:cols w:space="425"/>
      <w:titlePg/>
      <w:bidi/>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6D3C73" w14:textId="77777777" w:rsidR="00A61E57" w:rsidRDefault="00A61E57">
      <w:pPr>
        <w:spacing w:line="240" w:lineRule="auto"/>
      </w:pPr>
      <w:r>
        <w:separator/>
      </w:r>
    </w:p>
  </w:endnote>
  <w:endnote w:type="continuationSeparator" w:id="0">
    <w:p w14:paraId="6FCAE3E6" w14:textId="77777777" w:rsidR="00A61E57" w:rsidRDefault="00A61E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DengXian"/>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10FAA5" w14:textId="77777777" w:rsidR="00112B62" w:rsidRPr="000E330B" w:rsidRDefault="00112B62" w:rsidP="00D60C64">
    <w:pPr>
      <w:pStyle w:val="Sidefod"/>
      <w:spacing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139235" w14:textId="77777777" w:rsidR="00112B62" w:rsidRDefault="00112B62" w:rsidP="00A01938">
    <w:pPr>
      <w:pStyle w:val="MDPIfooterfirstpage"/>
      <w:pBdr>
        <w:top w:val="single" w:sz="4" w:space="0" w:color="000000"/>
      </w:pBdr>
      <w:adjustRightInd w:val="0"/>
      <w:snapToGrid w:val="0"/>
      <w:spacing w:before="480" w:line="100" w:lineRule="exact"/>
      <w:rPr>
        <w:i/>
        <w:szCs w:val="16"/>
        <w:lang w:val="fr-CH"/>
      </w:rPr>
    </w:pPr>
  </w:p>
  <w:p w14:paraId="06DCB135" w14:textId="77777777" w:rsidR="00112B62" w:rsidRPr="008B308E" w:rsidRDefault="00112B62" w:rsidP="00352871">
    <w:pPr>
      <w:pStyle w:val="MDPIfooterfirstpage"/>
      <w:tabs>
        <w:tab w:val="clear" w:pos="8845"/>
        <w:tab w:val="right" w:pos="10466"/>
      </w:tabs>
      <w:spacing w:line="240" w:lineRule="auto"/>
      <w:jc w:val="both"/>
      <w:rPr>
        <w:lang w:val="fr-CH"/>
      </w:rPr>
    </w:pPr>
    <w:r w:rsidRPr="00CF6D28">
      <w:rPr>
        <w:i/>
        <w:szCs w:val="16"/>
        <w:lang w:val="fr-CH"/>
      </w:rPr>
      <w:t>Toxins</w:t>
    </w:r>
    <w:r w:rsidRPr="00CF6D28">
      <w:rPr>
        <w:iCs/>
        <w:szCs w:val="16"/>
        <w:lang w:val="fr-CH"/>
      </w:rPr>
      <w:t xml:space="preserve"> </w:t>
    </w:r>
    <w:r>
      <w:rPr>
        <w:b/>
        <w:bCs/>
        <w:iCs/>
        <w:szCs w:val="16"/>
        <w:lang w:val="fr-CH"/>
      </w:rPr>
      <w:t>2022</w:t>
    </w:r>
    <w:r w:rsidRPr="00AD1B0C">
      <w:rPr>
        <w:bCs/>
        <w:iCs/>
        <w:szCs w:val="16"/>
        <w:lang w:val="fr-CH"/>
      </w:rPr>
      <w:t>,</w:t>
    </w:r>
    <w:r>
      <w:rPr>
        <w:bCs/>
        <w:i/>
        <w:iCs/>
        <w:szCs w:val="16"/>
        <w:lang w:val="fr-CH"/>
      </w:rPr>
      <w:t xml:space="preserve"> 14</w:t>
    </w:r>
    <w:r w:rsidRPr="00AD1B0C">
      <w:rPr>
        <w:bCs/>
        <w:iCs/>
        <w:szCs w:val="16"/>
        <w:lang w:val="fr-CH"/>
      </w:rPr>
      <w:t xml:space="preserve">, </w:t>
    </w:r>
    <w:r>
      <w:rPr>
        <w:bCs/>
        <w:iCs/>
        <w:szCs w:val="16"/>
        <w:lang w:val="fr-CH"/>
      </w:rPr>
      <w:t>x. https://doi.org/10.3390/xxxxx</w:t>
    </w:r>
    <w:r w:rsidRPr="008B308E">
      <w:rPr>
        <w:lang w:val="fr-CH"/>
      </w:rPr>
      <w:tab/>
      <w:t>www.mdpi.com/journal/</w:t>
    </w:r>
    <w:r>
      <w:t>toxins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80F5BF" w14:textId="77777777" w:rsidR="00A61E57" w:rsidRDefault="00A61E57">
      <w:pPr>
        <w:spacing w:line="240" w:lineRule="auto"/>
      </w:pPr>
      <w:r>
        <w:separator/>
      </w:r>
    </w:p>
  </w:footnote>
  <w:footnote w:type="continuationSeparator" w:id="0">
    <w:p w14:paraId="3274F4D1" w14:textId="77777777" w:rsidR="00A61E57" w:rsidRDefault="00A61E5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5ECE66" w14:textId="77777777" w:rsidR="00112B62" w:rsidRDefault="00112B62" w:rsidP="00D60C64">
    <w:pPr>
      <w:pStyle w:val="Sidehoved"/>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DC2524" w14:textId="77777777" w:rsidR="00112B62" w:rsidRDefault="00112B62" w:rsidP="00352871">
    <w:pPr>
      <w:tabs>
        <w:tab w:val="right" w:pos="10466"/>
      </w:tabs>
      <w:adjustRightInd w:val="0"/>
      <w:snapToGrid w:val="0"/>
      <w:spacing w:line="240" w:lineRule="auto"/>
      <w:rPr>
        <w:sz w:val="16"/>
      </w:rPr>
    </w:pPr>
    <w:r>
      <w:rPr>
        <w:i/>
        <w:sz w:val="16"/>
      </w:rPr>
      <w:t xml:space="preserve">Toxins </w:t>
    </w:r>
    <w:r>
      <w:rPr>
        <w:b/>
        <w:sz w:val="16"/>
      </w:rPr>
      <w:t>2022</w:t>
    </w:r>
    <w:r w:rsidRPr="00AD1B0C">
      <w:rPr>
        <w:sz w:val="16"/>
      </w:rPr>
      <w:t>,</w:t>
    </w:r>
    <w:r>
      <w:rPr>
        <w:i/>
        <w:sz w:val="16"/>
      </w:rPr>
      <w:t xml:space="preserve"> 14</w:t>
    </w:r>
    <w:r>
      <w:rPr>
        <w:sz w:val="16"/>
      </w:rPr>
      <w:t>, x FOR PEER REVIEW</w:t>
    </w:r>
    <w:r>
      <w:rPr>
        <w:sz w:val="16"/>
      </w:rPr>
      <w:tab/>
    </w:r>
    <w:r>
      <w:rPr>
        <w:sz w:val="16"/>
      </w:rPr>
      <w:fldChar w:fldCharType="begin"/>
    </w:r>
    <w:r>
      <w:rPr>
        <w:sz w:val="16"/>
      </w:rPr>
      <w:instrText xml:space="preserve"> PAGE   \* MERGEFORMAT </w:instrText>
    </w:r>
    <w:r>
      <w:rPr>
        <w:sz w:val="16"/>
      </w:rPr>
      <w:fldChar w:fldCharType="separate"/>
    </w:r>
    <w:r w:rsidR="00472C6E">
      <w:rPr>
        <w:sz w:val="16"/>
      </w:rPr>
      <w:t>15</w:t>
    </w:r>
    <w:r>
      <w:rPr>
        <w:sz w:val="16"/>
      </w:rPr>
      <w:fldChar w:fldCharType="end"/>
    </w:r>
    <w:r>
      <w:rPr>
        <w:sz w:val="16"/>
      </w:rPr>
      <w:t xml:space="preserve"> of </w:t>
    </w:r>
    <w:r>
      <w:rPr>
        <w:sz w:val="16"/>
      </w:rPr>
      <w:fldChar w:fldCharType="begin"/>
    </w:r>
    <w:r>
      <w:rPr>
        <w:sz w:val="16"/>
      </w:rPr>
      <w:instrText xml:space="preserve"> NUMPAGES   \* MERGEFORMAT </w:instrText>
    </w:r>
    <w:r>
      <w:rPr>
        <w:sz w:val="16"/>
      </w:rPr>
      <w:fldChar w:fldCharType="separate"/>
    </w:r>
    <w:r w:rsidR="00472C6E">
      <w:rPr>
        <w:sz w:val="16"/>
      </w:rPr>
      <w:t>15</w:t>
    </w:r>
    <w:r>
      <w:rPr>
        <w:sz w:val="16"/>
      </w:rPr>
      <w:fldChar w:fldCharType="end"/>
    </w:r>
  </w:p>
  <w:p w14:paraId="2289874F" w14:textId="77777777" w:rsidR="00112B62" w:rsidRPr="00693176" w:rsidRDefault="00112B62" w:rsidP="00A01938">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487" w:type="dxa"/>
      <w:tblCellMar>
        <w:left w:w="0" w:type="dxa"/>
        <w:right w:w="0" w:type="dxa"/>
      </w:tblCellMar>
      <w:tblLook w:val="04A0" w:firstRow="1" w:lastRow="0" w:firstColumn="1" w:lastColumn="0" w:noHBand="0" w:noVBand="1"/>
    </w:tblPr>
    <w:tblGrid>
      <w:gridCol w:w="3679"/>
      <w:gridCol w:w="4535"/>
      <w:gridCol w:w="2273"/>
    </w:tblGrid>
    <w:tr w:rsidR="00112B62" w:rsidRPr="00352871" w14:paraId="606DA4C4" w14:textId="77777777" w:rsidTr="00352871">
      <w:trPr>
        <w:trHeight w:val="686"/>
      </w:trPr>
      <w:tc>
        <w:tcPr>
          <w:tcW w:w="3679" w:type="dxa"/>
          <w:shd w:val="clear" w:color="auto" w:fill="auto"/>
          <w:vAlign w:val="center"/>
        </w:tcPr>
        <w:p w14:paraId="2ADC80B6" w14:textId="77777777" w:rsidR="00112B62" w:rsidRPr="005F269D" w:rsidRDefault="00112B62" w:rsidP="00352871">
          <w:pPr>
            <w:pStyle w:val="Sidehoved"/>
            <w:pBdr>
              <w:bottom w:val="none" w:sz="0" w:space="0" w:color="auto"/>
            </w:pBdr>
            <w:jc w:val="left"/>
            <w:rPr>
              <w:rFonts w:eastAsia="DengXian"/>
              <w:b/>
              <w:bCs/>
            </w:rPr>
          </w:pPr>
          <w:r w:rsidRPr="005F269D">
            <w:rPr>
              <w:rFonts w:eastAsia="DengXian"/>
              <w:b/>
              <w:bCs/>
            </w:rPr>
            <w:drawing>
              <wp:inline distT="0" distB="0" distL="0" distR="0" wp14:anchorId="0B6D1EC6" wp14:editId="74423DC3">
                <wp:extent cx="1302385" cy="429260"/>
                <wp:effectExtent l="0" t="0" r="0" b="0"/>
                <wp:docPr id="1" name="Picture 5" descr="C:\Users\home\Desktop\logos\png\toxin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ome\Desktop\logos\png\toxins-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429260"/>
                        </a:xfrm>
                        <a:prstGeom prst="rect">
                          <a:avLst/>
                        </a:prstGeom>
                        <a:noFill/>
                        <a:ln>
                          <a:noFill/>
                        </a:ln>
                      </pic:spPr>
                    </pic:pic>
                  </a:graphicData>
                </a:graphic>
              </wp:inline>
            </w:drawing>
          </w:r>
        </w:p>
      </w:tc>
      <w:tc>
        <w:tcPr>
          <w:tcW w:w="4535" w:type="dxa"/>
          <w:shd w:val="clear" w:color="auto" w:fill="auto"/>
          <w:vAlign w:val="center"/>
        </w:tcPr>
        <w:p w14:paraId="68427E03" w14:textId="77777777" w:rsidR="00112B62" w:rsidRPr="005F269D" w:rsidRDefault="00112B62" w:rsidP="00352871">
          <w:pPr>
            <w:pStyle w:val="Sidehoved"/>
            <w:pBdr>
              <w:bottom w:val="none" w:sz="0" w:space="0" w:color="auto"/>
            </w:pBdr>
            <w:rPr>
              <w:rFonts w:eastAsia="DengXian"/>
              <w:b/>
              <w:bCs/>
            </w:rPr>
          </w:pPr>
        </w:p>
      </w:tc>
      <w:tc>
        <w:tcPr>
          <w:tcW w:w="2273" w:type="dxa"/>
          <w:shd w:val="clear" w:color="auto" w:fill="auto"/>
          <w:vAlign w:val="center"/>
        </w:tcPr>
        <w:p w14:paraId="59E92642" w14:textId="77777777" w:rsidR="00112B62" w:rsidRPr="005F269D" w:rsidRDefault="00112B62" w:rsidP="00352871">
          <w:pPr>
            <w:pStyle w:val="Sidehoved"/>
            <w:pBdr>
              <w:bottom w:val="none" w:sz="0" w:space="0" w:color="auto"/>
            </w:pBdr>
            <w:jc w:val="right"/>
            <w:rPr>
              <w:rFonts w:eastAsia="DengXian"/>
              <w:b/>
              <w:bCs/>
            </w:rPr>
          </w:pPr>
          <w:r w:rsidRPr="005F269D">
            <w:rPr>
              <w:rFonts w:eastAsia="DengXian"/>
              <w:b/>
              <w:bCs/>
            </w:rPr>
            <w:drawing>
              <wp:inline distT="0" distB="0" distL="0" distR="0" wp14:anchorId="2C4845A5" wp14:editId="6BA4A2AE">
                <wp:extent cx="540385" cy="3530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0385" cy="353060"/>
                        </a:xfrm>
                        <a:prstGeom prst="rect">
                          <a:avLst/>
                        </a:prstGeom>
                        <a:noFill/>
                        <a:ln>
                          <a:noFill/>
                        </a:ln>
                      </pic:spPr>
                    </pic:pic>
                  </a:graphicData>
                </a:graphic>
              </wp:inline>
            </w:drawing>
          </w:r>
        </w:p>
      </w:tc>
    </w:tr>
  </w:tbl>
  <w:p w14:paraId="6956D788" w14:textId="77777777" w:rsidR="00112B62" w:rsidRPr="0085295F" w:rsidRDefault="00112B62" w:rsidP="00A01938">
    <w:pPr>
      <w:pBdr>
        <w:bottom w:val="single" w:sz="4" w:space="1" w:color="000000"/>
      </w:pBdr>
      <w:adjustRightInd w:val="0"/>
      <w:snapToGrid w:val="0"/>
      <w:spacing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5F6105"/>
    <w:multiLevelType w:val="hybridMultilevel"/>
    <w:tmpl w:val="7E201858"/>
    <w:lvl w:ilvl="0" w:tplc="7736F520">
      <w:start w:val="1"/>
      <w:numFmt w:val="decimal"/>
      <w:lvlRestart w:val="0"/>
      <w:pStyle w:val="MDPI71FootNotes"/>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B468F5"/>
    <w:multiLevelType w:val="hybridMultilevel"/>
    <w:tmpl w:val="F7E250A8"/>
    <w:lvl w:ilvl="0" w:tplc="8BCC773E">
      <w:start w:val="1"/>
      <w:numFmt w:val="decimal"/>
      <w:lvlRestart w:val="0"/>
      <w:pStyle w:val="MDPI71References"/>
      <w:lvlText w:val="%1."/>
      <w:lvlJc w:val="left"/>
      <w:pPr>
        <w:ind w:left="425" w:hanging="425"/>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8BFE0D56"/>
    <w:lvl w:ilvl="0" w:tplc="CCCE9BD4">
      <w:start w:val="1"/>
      <w:numFmt w:val="bullet"/>
      <w:lvlRestart w:val="0"/>
      <w:pStyle w:val="MDPI38bullet"/>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B0474EA"/>
    <w:multiLevelType w:val="hybridMultilevel"/>
    <w:tmpl w:val="88A243C2"/>
    <w:lvl w:ilvl="0" w:tplc="812CEE6E">
      <w:start w:val="1"/>
      <w:numFmt w:val="decimal"/>
      <w:lvlRestart w:val="0"/>
      <w:lvlText w:val="%1."/>
      <w:lvlJc w:val="left"/>
      <w:pPr>
        <w:ind w:left="3033" w:hanging="425"/>
      </w:pPr>
      <w:rPr>
        <w:vertAlign w:val="superscript"/>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7"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pStyle w:val="MDPI37itemize"/>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6181574A"/>
    <w:multiLevelType w:val="hybridMultilevel"/>
    <w:tmpl w:val="5FEC694C"/>
    <w:lvl w:ilvl="0" w:tplc="C096E672">
      <w:start w:val="1"/>
      <w:numFmt w:val="decimal"/>
      <w:lvlRestart w:val="0"/>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A66680A"/>
    <w:multiLevelType w:val="hybridMultilevel"/>
    <w:tmpl w:val="D9484676"/>
    <w:lvl w:ilvl="0" w:tplc="3DAC62E8">
      <w:start w:val="1"/>
      <w:numFmt w:val="decimal"/>
      <w:lvlRestart w:val="0"/>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7"/>
  </w:num>
  <w:num w:numId="3">
    <w:abstractNumId w:val="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9"/>
  </w:num>
  <w:num w:numId="7">
    <w:abstractNumId w:val="2"/>
  </w:num>
  <w:num w:numId="8">
    <w:abstractNumId w:val="9"/>
  </w:num>
  <w:num w:numId="9">
    <w:abstractNumId w:val="2"/>
  </w:num>
  <w:num w:numId="10">
    <w:abstractNumId w:val="9"/>
  </w:num>
  <w:num w:numId="11">
    <w:abstractNumId w:val="2"/>
  </w:num>
  <w:num w:numId="12">
    <w:abstractNumId w:val="11"/>
  </w:num>
  <w:num w:numId="13">
    <w:abstractNumId w:val="9"/>
  </w:num>
  <w:num w:numId="14">
    <w:abstractNumId w:val="2"/>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8"/>
  </w:num>
  <w:num w:numId="20">
    <w:abstractNumId w:val="1"/>
  </w:num>
  <w:num w:numId="21">
    <w:abstractNumId w:val="9"/>
  </w:num>
  <w:num w:numId="22">
    <w:abstractNumId w:val="2"/>
  </w:num>
  <w:num w:numId="23">
    <w:abstractNumId w:val="1"/>
  </w:num>
  <w:num w:numId="24">
    <w:abstractNumId w:val="12"/>
  </w:num>
  <w:num w:numId="25">
    <w:abstractNumId w:val="6"/>
  </w:num>
  <w:num w:numId="26">
    <w:abstractNumId w:val="10"/>
  </w:num>
  <w:num w:numId="27">
    <w:abstractNumId w:val="9"/>
  </w:num>
  <w:num w:numId="28">
    <w:abstractNumId w:val="2"/>
  </w:num>
  <w:num w:numId="29">
    <w:abstractNumId w:val="0"/>
  </w:num>
  <w:num w:numId="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bordersDoNotSurroundHeader/>
  <w:bordersDoNotSurroundFooter/>
  <w:hideSpellingErrors/>
  <w:hideGrammaticalErrors/>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hyphenationZone w:val="425"/>
  <w:drawingGridHorizontalSpacing w:val="10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E3NDM3NDE1sjCwMDdW0lEKTi0uzszPAykwrwUAlE/5aywAAAA="/>
  </w:docVars>
  <w:rsids>
    <w:rsidRoot w:val="00160D84"/>
    <w:rsid w:val="00010C72"/>
    <w:rsid w:val="0005178E"/>
    <w:rsid w:val="00062BC3"/>
    <w:rsid w:val="000677CC"/>
    <w:rsid w:val="000A02C6"/>
    <w:rsid w:val="000A0744"/>
    <w:rsid w:val="000B4460"/>
    <w:rsid w:val="000C20E0"/>
    <w:rsid w:val="000C30F5"/>
    <w:rsid w:val="000C3AA9"/>
    <w:rsid w:val="000D7A9B"/>
    <w:rsid w:val="000E047F"/>
    <w:rsid w:val="000E1D20"/>
    <w:rsid w:val="000E31FB"/>
    <w:rsid w:val="000F3849"/>
    <w:rsid w:val="001070E2"/>
    <w:rsid w:val="00112B62"/>
    <w:rsid w:val="00113DAC"/>
    <w:rsid w:val="00113E39"/>
    <w:rsid w:val="00145CEB"/>
    <w:rsid w:val="00154D0E"/>
    <w:rsid w:val="00160D84"/>
    <w:rsid w:val="00195764"/>
    <w:rsid w:val="001A12E3"/>
    <w:rsid w:val="001A5563"/>
    <w:rsid w:val="001B4D1A"/>
    <w:rsid w:val="001C2DF2"/>
    <w:rsid w:val="001D0834"/>
    <w:rsid w:val="001D3167"/>
    <w:rsid w:val="001E2AEB"/>
    <w:rsid w:val="001F7A21"/>
    <w:rsid w:val="002021B6"/>
    <w:rsid w:val="002135BD"/>
    <w:rsid w:val="00216203"/>
    <w:rsid w:val="00240F44"/>
    <w:rsid w:val="00241E36"/>
    <w:rsid w:val="0024379B"/>
    <w:rsid w:val="00255792"/>
    <w:rsid w:val="00261F94"/>
    <w:rsid w:val="002942CE"/>
    <w:rsid w:val="00296AE1"/>
    <w:rsid w:val="002A5EF1"/>
    <w:rsid w:val="002C0539"/>
    <w:rsid w:val="002C1AF5"/>
    <w:rsid w:val="002C6BBF"/>
    <w:rsid w:val="002C7EF2"/>
    <w:rsid w:val="003075C9"/>
    <w:rsid w:val="00313D93"/>
    <w:rsid w:val="003176C5"/>
    <w:rsid w:val="00321F24"/>
    <w:rsid w:val="00326141"/>
    <w:rsid w:val="00336442"/>
    <w:rsid w:val="00352871"/>
    <w:rsid w:val="003566A2"/>
    <w:rsid w:val="00356F89"/>
    <w:rsid w:val="003630C2"/>
    <w:rsid w:val="00363374"/>
    <w:rsid w:val="0037298C"/>
    <w:rsid w:val="003864BE"/>
    <w:rsid w:val="0039424C"/>
    <w:rsid w:val="003A41A8"/>
    <w:rsid w:val="003A51B7"/>
    <w:rsid w:val="003A5547"/>
    <w:rsid w:val="003B4559"/>
    <w:rsid w:val="003C3B79"/>
    <w:rsid w:val="003D1813"/>
    <w:rsid w:val="003E3475"/>
    <w:rsid w:val="003F2290"/>
    <w:rsid w:val="003F4E97"/>
    <w:rsid w:val="00401D30"/>
    <w:rsid w:val="0040344B"/>
    <w:rsid w:val="004035F9"/>
    <w:rsid w:val="00403C74"/>
    <w:rsid w:val="0041285B"/>
    <w:rsid w:val="00414630"/>
    <w:rsid w:val="00424740"/>
    <w:rsid w:val="004321F2"/>
    <w:rsid w:val="0043226C"/>
    <w:rsid w:val="004425EF"/>
    <w:rsid w:val="00444BC6"/>
    <w:rsid w:val="00445BCC"/>
    <w:rsid w:val="00450BB6"/>
    <w:rsid w:val="0045627B"/>
    <w:rsid w:val="00472C6E"/>
    <w:rsid w:val="00480A78"/>
    <w:rsid w:val="004A1CF2"/>
    <w:rsid w:val="004A6383"/>
    <w:rsid w:val="004B1B81"/>
    <w:rsid w:val="004B596B"/>
    <w:rsid w:val="004B693E"/>
    <w:rsid w:val="004C1444"/>
    <w:rsid w:val="004C2723"/>
    <w:rsid w:val="004E211A"/>
    <w:rsid w:val="004E7DC8"/>
    <w:rsid w:val="004F1660"/>
    <w:rsid w:val="00500E29"/>
    <w:rsid w:val="00513E28"/>
    <w:rsid w:val="00525341"/>
    <w:rsid w:val="005352A8"/>
    <w:rsid w:val="00536FBB"/>
    <w:rsid w:val="00565253"/>
    <w:rsid w:val="00585485"/>
    <w:rsid w:val="00596453"/>
    <w:rsid w:val="005A129B"/>
    <w:rsid w:val="005A5903"/>
    <w:rsid w:val="005A5E33"/>
    <w:rsid w:val="005F269D"/>
    <w:rsid w:val="0062327A"/>
    <w:rsid w:val="00627A89"/>
    <w:rsid w:val="00633A8E"/>
    <w:rsid w:val="00634775"/>
    <w:rsid w:val="0065196B"/>
    <w:rsid w:val="0066391B"/>
    <w:rsid w:val="006646E6"/>
    <w:rsid w:val="006675DB"/>
    <w:rsid w:val="00667DD5"/>
    <w:rsid w:val="0068492D"/>
    <w:rsid w:val="00684DEB"/>
    <w:rsid w:val="0068726C"/>
    <w:rsid w:val="00692393"/>
    <w:rsid w:val="006A05B7"/>
    <w:rsid w:val="006B7323"/>
    <w:rsid w:val="006D4449"/>
    <w:rsid w:val="006D785E"/>
    <w:rsid w:val="006E0B69"/>
    <w:rsid w:val="00702E42"/>
    <w:rsid w:val="0071116C"/>
    <w:rsid w:val="00711DB5"/>
    <w:rsid w:val="007212C3"/>
    <w:rsid w:val="00731BF1"/>
    <w:rsid w:val="00732A46"/>
    <w:rsid w:val="00734360"/>
    <w:rsid w:val="00771186"/>
    <w:rsid w:val="00783309"/>
    <w:rsid w:val="00785CBB"/>
    <w:rsid w:val="007A1B4F"/>
    <w:rsid w:val="007A657E"/>
    <w:rsid w:val="007B1A44"/>
    <w:rsid w:val="007C5E3B"/>
    <w:rsid w:val="007D0407"/>
    <w:rsid w:val="007E2DC5"/>
    <w:rsid w:val="007F17DC"/>
    <w:rsid w:val="007F3275"/>
    <w:rsid w:val="007F5AA3"/>
    <w:rsid w:val="00807BD8"/>
    <w:rsid w:val="00812226"/>
    <w:rsid w:val="008124FA"/>
    <w:rsid w:val="008217F0"/>
    <w:rsid w:val="00825CBD"/>
    <w:rsid w:val="008307C6"/>
    <w:rsid w:val="0083751B"/>
    <w:rsid w:val="0084553F"/>
    <w:rsid w:val="0085295F"/>
    <w:rsid w:val="00877D6B"/>
    <w:rsid w:val="00896FE1"/>
    <w:rsid w:val="008A1B65"/>
    <w:rsid w:val="008B70B8"/>
    <w:rsid w:val="008E059C"/>
    <w:rsid w:val="008F2B4E"/>
    <w:rsid w:val="008F66FD"/>
    <w:rsid w:val="008F7D61"/>
    <w:rsid w:val="00903201"/>
    <w:rsid w:val="00903B2F"/>
    <w:rsid w:val="00915D58"/>
    <w:rsid w:val="009251A4"/>
    <w:rsid w:val="00970CD3"/>
    <w:rsid w:val="00976303"/>
    <w:rsid w:val="009832A0"/>
    <w:rsid w:val="00986339"/>
    <w:rsid w:val="00987EA6"/>
    <w:rsid w:val="00992DF3"/>
    <w:rsid w:val="009A1A80"/>
    <w:rsid w:val="009A77D4"/>
    <w:rsid w:val="009B0487"/>
    <w:rsid w:val="009B6325"/>
    <w:rsid w:val="009B6EB5"/>
    <w:rsid w:val="009D5F44"/>
    <w:rsid w:val="009E5F7B"/>
    <w:rsid w:val="009F70E6"/>
    <w:rsid w:val="00A01938"/>
    <w:rsid w:val="00A039E4"/>
    <w:rsid w:val="00A064E6"/>
    <w:rsid w:val="00A15C19"/>
    <w:rsid w:val="00A2030D"/>
    <w:rsid w:val="00A20BE0"/>
    <w:rsid w:val="00A25D67"/>
    <w:rsid w:val="00A40CA7"/>
    <w:rsid w:val="00A61E57"/>
    <w:rsid w:val="00A66A15"/>
    <w:rsid w:val="00A823E3"/>
    <w:rsid w:val="00A93218"/>
    <w:rsid w:val="00AA0F13"/>
    <w:rsid w:val="00AB4ADC"/>
    <w:rsid w:val="00AC0E21"/>
    <w:rsid w:val="00AD1B0C"/>
    <w:rsid w:val="00B10130"/>
    <w:rsid w:val="00B136E0"/>
    <w:rsid w:val="00B13F9F"/>
    <w:rsid w:val="00B46069"/>
    <w:rsid w:val="00B7500E"/>
    <w:rsid w:val="00B82ACA"/>
    <w:rsid w:val="00B855C1"/>
    <w:rsid w:val="00BA1E5C"/>
    <w:rsid w:val="00BA50EC"/>
    <w:rsid w:val="00BC7B16"/>
    <w:rsid w:val="00BD7817"/>
    <w:rsid w:val="00BE2D2B"/>
    <w:rsid w:val="00BF39BB"/>
    <w:rsid w:val="00BF6A76"/>
    <w:rsid w:val="00C14357"/>
    <w:rsid w:val="00C14BE5"/>
    <w:rsid w:val="00C22EEC"/>
    <w:rsid w:val="00C23278"/>
    <w:rsid w:val="00C26ADF"/>
    <w:rsid w:val="00C53023"/>
    <w:rsid w:val="00C55B31"/>
    <w:rsid w:val="00C568A6"/>
    <w:rsid w:val="00C5750D"/>
    <w:rsid w:val="00C57636"/>
    <w:rsid w:val="00C61CDE"/>
    <w:rsid w:val="00C70162"/>
    <w:rsid w:val="00C70430"/>
    <w:rsid w:val="00C761DB"/>
    <w:rsid w:val="00C77585"/>
    <w:rsid w:val="00C82F57"/>
    <w:rsid w:val="00C869D0"/>
    <w:rsid w:val="00C92083"/>
    <w:rsid w:val="00C97F73"/>
    <w:rsid w:val="00CA2788"/>
    <w:rsid w:val="00CC2CD4"/>
    <w:rsid w:val="00CC3CCE"/>
    <w:rsid w:val="00CC616C"/>
    <w:rsid w:val="00CD5FEB"/>
    <w:rsid w:val="00CE7D23"/>
    <w:rsid w:val="00CF650A"/>
    <w:rsid w:val="00D11442"/>
    <w:rsid w:val="00D1367F"/>
    <w:rsid w:val="00D242F0"/>
    <w:rsid w:val="00D520DF"/>
    <w:rsid w:val="00D5661C"/>
    <w:rsid w:val="00D60C64"/>
    <w:rsid w:val="00D873B9"/>
    <w:rsid w:val="00D93BAC"/>
    <w:rsid w:val="00D95C38"/>
    <w:rsid w:val="00DB158F"/>
    <w:rsid w:val="00DB281E"/>
    <w:rsid w:val="00DB3264"/>
    <w:rsid w:val="00DD61F0"/>
    <w:rsid w:val="00DE4335"/>
    <w:rsid w:val="00DE4475"/>
    <w:rsid w:val="00DE7855"/>
    <w:rsid w:val="00DE7ADA"/>
    <w:rsid w:val="00E0517D"/>
    <w:rsid w:val="00E138B6"/>
    <w:rsid w:val="00E16215"/>
    <w:rsid w:val="00E16FC0"/>
    <w:rsid w:val="00E17CB7"/>
    <w:rsid w:val="00E17E76"/>
    <w:rsid w:val="00E3565F"/>
    <w:rsid w:val="00E37CC5"/>
    <w:rsid w:val="00E46138"/>
    <w:rsid w:val="00E55A77"/>
    <w:rsid w:val="00E55C3D"/>
    <w:rsid w:val="00E648E3"/>
    <w:rsid w:val="00E7694C"/>
    <w:rsid w:val="00E81F87"/>
    <w:rsid w:val="00E8258A"/>
    <w:rsid w:val="00EA2CEB"/>
    <w:rsid w:val="00EA60D9"/>
    <w:rsid w:val="00EC0DBB"/>
    <w:rsid w:val="00EC1BD2"/>
    <w:rsid w:val="00EE1C3B"/>
    <w:rsid w:val="00EE38F1"/>
    <w:rsid w:val="00EF2BC9"/>
    <w:rsid w:val="00F26C41"/>
    <w:rsid w:val="00F42C41"/>
    <w:rsid w:val="00F54C73"/>
    <w:rsid w:val="00F562A4"/>
    <w:rsid w:val="00F61901"/>
    <w:rsid w:val="00F62C4D"/>
    <w:rsid w:val="00F66380"/>
    <w:rsid w:val="00F70705"/>
    <w:rsid w:val="00F903B6"/>
    <w:rsid w:val="00F90944"/>
    <w:rsid w:val="00F955E0"/>
    <w:rsid w:val="00FA783E"/>
    <w:rsid w:val="00FC2243"/>
    <w:rsid w:val="00FC4671"/>
    <w:rsid w:val="00FD1E0F"/>
    <w:rsid w:val="00FD3D63"/>
    <w:rsid w:val="00FD5918"/>
    <w:rsid w:val="00FE043E"/>
    <w:rsid w:val="00FE311B"/>
    <w:rsid w:val="00FE647C"/>
    <w:rsid w:val="00FE71B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01E1F3"/>
  <w15:chartTrackingRefBased/>
  <w15:docId w15:val="{4AD3828D-B449-4611-A2CC-D3D413F53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2CEB"/>
    <w:pPr>
      <w:spacing w:line="260" w:lineRule="atLeast"/>
      <w:jc w:val="both"/>
    </w:pPr>
    <w:rPr>
      <w:rFonts w:ascii="Palatino Linotype" w:hAnsi="Palatino Linotype"/>
      <w:noProof/>
      <w:color w:val="000000"/>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customStyle="1" w:styleId="MDPI11articletype">
    <w:name w:val="MDPI_1.1_article_type"/>
    <w:next w:val="Normal"/>
    <w:qFormat/>
    <w:rsid w:val="003A41A8"/>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3A41A8"/>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3A41A8"/>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3A41A8"/>
    <w:pPr>
      <w:adjustRightInd w:val="0"/>
      <w:snapToGrid w:val="0"/>
      <w:spacing w:line="240" w:lineRule="atLeast"/>
      <w:ind w:right="113"/>
      <w:jc w:val="left"/>
    </w:pPr>
    <w:rPr>
      <w:rFonts w:eastAsia="Times New Roman"/>
      <w:noProof w:val="0"/>
      <w:sz w:val="14"/>
      <w:lang w:eastAsia="de-DE" w:bidi="en-US"/>
    </w:rPr>
  </w:style>
  <w:style w:type="paragraph" w:customStyle="1" w:styleId="MDPI16affiliation">
    <w:name w:val="MDPI_1.6_affiliation"/>
    <w:qFormat/>
    <w:rsid w:val="003A41A8"/>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3A41A8"/>
    <w:pPr>
      <w:adjustRightInd w:val="0"/>
      <w:snapToGrid w:val="0"/>
      <w:spacing w:before="240" w:line="260" w:lineRule="atLeast"/>
      <w:ind w:left="2608"/>
      <w:jc w:val="both"/>
    </w:pPr>
    <w:rPr>
      <w:rFonts w:ascii="Palatino Linotype" w:eastAsia="Times New Roman" w:hAnsi="Palatino Linotype"/>
      <w:color w:val="000000"/>
      <w:sz w:val="18"/>
      <w:szCs w:val="22"/>
      <w:lang w:eastAsia="de-DE" w:bidi="en-US"/>
    </w:rPr>
  </w:style>
  <w:style w:type="paragraph" w:customStyle="1" w:styleId="MDPI18keywords">
    <w:name w:val="MDPI_1.8_keywords"/>
    <w:next w:val="Normal"/>
    <w:qFormat/>
    <w:rsid w:val="003A41A8"/>
    <w:pPr>
      <w:adjustRightInd w:val="0"/>
      <w:snapToGrid w:val="0"/>
      <w:spacing w:before="240" w:line="260" w:lineRule="atLeast"/>
      <w:ind w:left="2608"/>
      <w:jc w:val="both"/>
    </w:pPr>
    <w:rPr>
      <w:rFonts w:ascii="Palatino Linotype" w:eastAsia="Times New Roman" w:hAnsi="Palatino Linotype"/>
      <w:snapToGrid w:val="0"/>
      <w:color w:val="000000"/>
      <w:sz w:val="18"/>
      <w:szCs w:val="22"/>
      <w:lang w:eastAsia="de-DE" w:bidi="en-US"/>
    </w:rPr>
  </w:style>
  <w:style w:type="paragraph" w:customStyle="1" w:styleId="MDPI19line">
    <w:name w:val="MDPI_1.9_line"/>
    <w:qFormat/>
    <w:rsid w:val="003A41A8"/>
    <w:pPr>
      <w:pBdr>
        <w:bottom w:val="single" w:sz="4" w:space="1" w:color="auto"/>
      </w:pBdr>
      <w:adjustRightInd w:val="0"/>
      <w:snapToGrid w:val="0"/>
      <w:spacing w:after="480" w:line="26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el-Normal"/>
    <w:uiPriority w:val="99"/>
    <w:rsid w:val="005A5E33"/>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el-Gitter">
    <w:name w:val="Table Grid"/>
    <w:basedOn w:val="Tabel-Normal"/>
    <w:uiPriority w:val="39"/>
    <w:rsid w:val="00EA2CEB"/>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defod">
    <w:name w:val="footer"/>
    <w:basedOn w:val="Normal"/>
    <w:link w:val="SidefodTegn"/>
    <w:uiPriority w:val="99"/>
    <w:rsid w:val="00EA2CEB"/>
    <w:pPr>
      <w:tabs>
        <w:tab w:val="center" w:pos="4153"/>
        <w:tab w:val="right" w:pos="8306"/>
      </w:tabs>
      <w:snapToGrid w:val="0"/>
      <w:spacing w:line="240" w:lineRule="atLeast"/>
    </w:pPr>
    <w:rPr>
      <w:szCs w:val="18"/>
    </w:rPr>
  </w:style>
  <w:style w:type="character" w:customStyle="1" w:styleId="SidefodTegn">
    <w:name w:val="Sidefod Tegn"/>
    <w:link w:val="Sidefod"/>
    <w:uiPriority w:val="99"/>
    <w:rsid w:val="00EA2CEB"/>
    <w:rPr>
      <w:rFonts w:ascii="Palatino Linotype" w:hAnsi="Palatino Linotype"/>
      <w:noProof/>
      <w:color w:val="000000"/>
      <w:szCs w:val="18"/>
    </w:rPr>
  </w:style>
  <w:style w:type="paragraph" w:styleId="Sidehoved">
    <w:name w:val="header"/>
    <w:basedOn w:val="Normal"/>
    <w:link w:val="SidehovedTegn"/>
    <w:uiPriority w:val="99"/>
    <w:rsid w:val="00EA2CEB"/>
    <w:pPr>
      <w:pBdr>
        <w:bottom w:val="single" w:sz="6" w:space="1" w:color="auto"/>
      </w:pBdr>
      <w:tabs>
        <w:tab w:val="center" w:pos="4153"/>
        <w:tab w:val="right" w:pos="8306"/>
      </w:tabs>
      <w:snapToGrid w:val="0"/>
      <w:spacing w:line="240" w:lineRule="atLeast"/>
      <w:jc w:val="center"/>
    </w:pPr>
    <w:rPr>
      <w:szCs w:val="18"/>
    </w:rPr>
  </w:style>
  <w:style w:type="character" w:customStyle="1" w:styleId="SidehovedTegn">
    <w:name w:val="Sidehoved Tegn"/>
    <w:link w:val="Sidehoved"/>
    <w:uiPriority w:val="99"/>
    <w:rsid w:val="00EA2CEB"/>
    <w:rPr>
      <w:rFonts w:ascii="Palatino Linotype" w:hAnsi="Palatino Linotype"/>
      <w:noProof/>
      <w:color w:val="000000"/>
      <w:szCs w:val="18"/>
    </w:rPr>
  </w:style>
  <w:style w:type="paragraph" w:customStyle="1" w:styleId="MDPIheaderjournallogo">
    <w:name w:val="MDPI_header_journal_logo"/>
    <w:qFormat/>
    <w:rsid w:val="003A41A8"/>
    <w:pPr>
      <w:adjustRightInd w:val="0"/>
      <w:snapToGrid w:val="0"/>
      <w:spacing w:line="260" w:lineRule="atLeast"/>
      <w:jc w:val="both"/>
    </w:pPr>
    <w:rPr>
      <w:rFonts w:ascii="Palatino Linotype" w:eastAsia="Times New Roman" w:hAnsi="Palatino Linotype"/>
      <w:i/>
      <w:color w:val="000000"/>
      <w:sz w:val="24"/>
      <w:szCs w:val="22"/>
      <w:lang w:eastAsia="de-CH"/>
    </w:rPr>
  </w:style>
  <w:style w:type="paragraph" w:customStyle="1" w:styleId="MDPI32textnoindent">
    <w:name w:val="MDPI_3.2_text_no_indent"/>
    <w:basedOn w:val="MDPI31text"/>
    <w:qFormat/>
    <w:rsid w:val="003A41A8"/>
    <w:pPr>
      <w:ind w:firstLine="0"/>
    </w:pPr>
  </w:style>
  <w:style w:type="paragraph" w:customStyle="1" w:styleId="MDPI31text">
    <w:name w:val="MDPI_3.1_text"/>
    <w:qFormat/>
    <w:rsid w:val="003A41A8"/>
    <w:pPr>
      <w:adjustRightInd w:val="0"/>
      <w:snapToGrid w:val="0"/>
      <w:spacing w:line="228" w:lineRule="auto"/>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3A41A8"/>
    <w:pPr>
      <w:adjustRightInd w:val="0"/>
      <w:snapToGrid w:val="0"/>
      <w:spacing w:after="240" w:line="228" w:lineRule="auto"/>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3A41A8"/>
    <w:pPr>
      <w:adjustRightInd w:val="0"/>
      <w:snapToGrid w:val="0"/>
      <w:spacing w:before="240" w:line="228" w:lineRule="auto"/>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3A41A8"/>
    <w:pPr>
      <w:adjustRightInd w:val="0"/>
      <w:snapToGrid w:val="0"/>
      <w:spacing w:line="228" w:lineRule="auto"/>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3A41A8"/>
    <w:pPr>
      <w:adjustRightInd w:val="0"/>
      <w:snapToGrid w:val="0"/>
      <w:spacing w:before="120" w:line="228" w:lineRule="auto"/>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3A41A8"/>
    <w:pPr>
      <w:numPr>
        <w:numId w:val="27"/>
      </w:numPr>
      <w:adjustRightInd w:val="0"/>
      <w:snapToGrid w:val="0"/>
      <w:spacing w:line="228" w:lineRule="auto"/>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3A41A8"/>
    <w:pPr>
      <w:numPr>
        <w:numId w:val="28"/>
      </w:numPr>
      <w:adjustRightInd w:val="0"/>
      <w:snapToGrid w:val="0"/>
      <w:spacing w:line="228" w:lineRule="auto"/>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3A41A8"/>
    <w:pPr>
      <w:adjustRightInd w:val="0"/>
      <w:snapToGrid w:val="0"/>
      <w:spacing w:before="120" w:after="120" w:line="26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3A41A8"/>
    <w:pPr>
      <w:spacing w:before="120" w:after="120"/>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3A41A8"/>
    <w:pPr>
      <w:adjustRightInd w:val="0"/>
      <w:snapToGrid w:val="0"/>
      <w:spacing w:before="240" w:after="120" w:line="228" w:lineRule="auto"/>
      <w:ind w:left="2608"/>
    </w:pPr>
    <w:rPr>
      <w:rFonts w:ascii="Palatino Linotype" w:eastAsia="Times New Roman" w:hAnsi="Palatino Linotype" w:cstheme="minorBidi"/>
      <w:color w:val="000000"/>
      <w:sz w:val="18"/>
      <w:szCs w:val="22"/>
      <w:lang w:eastAsia="de-DE" w:bidi="en-US"/>
    </w:rPr>
  </w:style>
  <w:style w:type="paragraph" w:customStyle="1" w:styleId="MDPI42tablebody">
    <w:name w:val="MDPI_4.2_table_body"/>
    <w:qFormat/>
    <w:rsid w:val="003A41A8"/>
    <w:pPr>
      <w:adjustRightInd w:val="0"/>
      <w:snapToGrid w:val="0"/>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3A41A8"/>
    <w:pPr>
      <w:adjustRightInd w:val="0"/>
      <w:snapToGrid w:val="0"/>
      <w:spacing w:after="240" w:line="228" w:lineRule="auto"/>
      <w:ind w:left="2608"/>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3A41A8"/>
    <w:pPr>
      <w:adjustRightInd w:val="0"/>
      <w:snapToGrid w:val="0"/>
      <w:spacing w:before="120" w:after="240" w:line="228" w:lineRule="auto"/>
      <w:ind w:left="2608"/>
    </w:pPr>
    <w:rPr>
      <w:rFonts w:ascii="Palatino Linotype" w:eastAsia="Times New Roman" w:hAnsi="Palatino Linotype"/>
      <w:color w:val="000000"/>
      <w:sz w:val="18"/>
      <w:lang w:eastAsia="de-DE" w:bidi="en-US"/>
    </w:rPr>
  </w:style>
  <w:style w:type="paragraph" w:customStyle="1" w:styleId="MDPI52figure">
    <w:name w:val="MDPI_5.2_figure"/>
    <w:qFormat/>
    <w:rsid w:val="003A41A8"/>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1theorem">
    <w:name w:val="MDPI_8.1_theorem"/>
    <w:qFormat/>
    <w:rsid w:val="003A41A8"/>
    <w:pPr>
      <w:adjustRightInd w:val="0"/>
      <w:snapToGrid w:val="0"/>
      <w:spacing w:line="228" w:lineRule="auto"/>
      <w:ind w:left="2608"/>
      <w:jc w:val="both"/>
    </w:pPr>
    <w:rPr>
      <w:rFonts w:ascii="Palatino Linotype" w:eastAsia="Times New Roman" w:hAnsi="Palatino Linotype"/>
      <w:i/>
      <w:snapToGrid w:val="0"/>
      <w:color w:val="000000"/>
      <w:szCs w:val="22"/>
      <w:lang w:eastAsia="de-DE" w:bidi="en-US"/>
    </w:rPr>
  </w:style>
  <w:style w:type="paragraph" w:customStyle="1" w:styleId="MDPI82proof">
    <w:name w:val="MDPI_8.2_proof"/>
    <w:qFormat/>
    <w:rsid w:val="003A41A8"/>
    <w:pPr>
      <w:adjustRightInd w:val="0"/>
      <w:snapToGrid w:val="0"/>
      <w:spacing w:line="228" w:lineRule="auto"/>
      <w:ind w:left="2608"/>
      <w:jc w:val="both"/>
    </w:pPr>
    <w:rPr>
      <w:rFonts w:ascii="Palatino Linotype" w:eastAsia="Times New Roman" w:hAnsi="Palatino Linotype"/>
      <w:snapToGrid w:val="0"/>
      <w:color w:val="000000"/>
      <w:szCs w:val="22"/>
      <w:lang w:eastAsia="de-DE" w:bidi="en-US"/>
    </w:rPr>
  </w:style>
  <w:style w:type="paragraph" w:customStyle="1" w:styleId="MDPIfooterfirstpage">
    <w:name w:val="MDPI_footer_firstpage"/>
    <w:qFormat/>
    <w:rsid w:val="003A41A8"/>
    <w:pPr>
      <w:tabs>
        <w:tab w:val="right" w:pos="8845"/>
      </w:tabs>
      <w:spacing w:line="160" w:lineRule="exact"/>
    </w:pPr>
    <w:rPr>
      <w:rFonts w:ascii="Palatino Linotype" w:eastAsia="Times New Roman" w:hAnsi="Palatino Linotype"/>
      <w:color w:val="000000"/>
      <w:sz w:val="16"/>
      <w:lang w:eastAsia="de-DE"/>
    </w:rPr>
  </w:style>
  <w:style w:type="paragraph" w:customStyle="1" w:styleId="MDPI23heading3">
    <w:name w:val="MDPI_2.3_heading3"/>
    <w:qFormat/>
    <w:rsid w:val="003A41A8"/>
    <w:pPr>
      <w:adjustRightInd w:val="0"/>
      <w:snapToGrid w:val="0"/>
      <w:spacing w:before="60" w:after="60" w:line="228" w:lineRule="auto"/>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3A41A8"/>
    <w:pPr>
      <w:adjustRightInd w:val="0"/>
      <w:snapToGrid w:val="0"/>
      <w:spacing w:before="240" w:after="60" w:line="228" w:lineRule="auto"/>
      <w:ind w:left="2608"/>
      <w:outlineLvl w:val="0"/>
    </w:pPr>
    <w:rPr>
      <w:rFonts w:ascii="Palatino Linotype" w:eastAsia="Times New Roman" w:hAnsi="Palatino Linotype"/>
      <w:b/>
      <w:snapToGrid w:val="0"/>
      <w:color w:val="000000"/>
      <w:szCs w:val="22"/>
      <w:lang w:eastAsia="de-DE" w:bidi="en-US"/>
    </w:rPr>
  </w:style>
  <w:style w:type="paragraph" w:customStyle="1" w:styleId="MDPI22heading2">
    <w:name w:val="MDPI_2.2_heading2"/>
    <w:qFormat/>
    <w:rsid w:val="003A41A8"/>
    <w:pPr>
      <w:adjustRightInd w:val="0"/>
      <w:snapToGrid w:val="0"/>
      <w:spacing w:before="60" w:after="60" w:line="228" w:lineRule="auto"/>
      <w:ind w:left="2608"/>
      <w:outlineLvl w:val="1"/>
    </w:pPr>
    <w:rPr>
      <w:rFonts w:ascii="Palatino Linotype" w:eastAsia="Times New Roman" w:hAnsi="Palatino Linotype"/>
      <w:i/>
      <w:noProof/>
      <w:snapToGrid w:val="0"/>
      <w:color w:val="000000"/>
      <w:szCs w:val="22"/>
      <w:lang w:eastAsia="de-DE" w:bidi="en-US"/>
    </w:rPr>
  </w:style>
  <w:style w:type="paragraph" w:customStyle="1" w:styleId="MDPI71References">
    <w:name w:val="MDPI_7.1_References"/>
    <w:qFormat/>
    <w:rsid w:val="003A41A8"/>
    <w:pPr>
      <w:numPr>
        <w:numId w:val="30"/>
      </w:numPr>
      <w:adjustRightInd w:val="0"/>
      <w:snapToGrid w:val="0"/>
      <w:spacing w:line="228" w:lineRule="auto"/>
      <w:jc w:val="both"/>
    </w:pPr>
    <w:rPr>
      <w:rFonts w:ascii="Palatino Linotype" w:eastAsia="Times New Roman" w:hAnsi="Palatino Linotype"/>
      <w:color w:val="000000"/>
      <w:sz w:val="18"/>
      <w:lang w:eastAsia="de-DE" w:bidi="en-US"/>
    </w:rPr>
  </w:style>
  <w:style w:type="paragraph" w:styleId="Markeringsbobletekst">
    <w:name w:val="Balloon Text"/>
    <w:basedOn w:val="Normal"/>
    <w:link w:val="MarkeringsbobletekstTegn"/>
    <w:uiPriority w:val="99"/>
    <w:rsid w:val="00EA2CEB"/>
    <w:rPr>
      <w:rFonts w:cs="Tahoma"/>
      <w:szCs w:val="18"/>
    </w:rPr>
  </w:style>
  <w:style w:type="character" w:customStyle="1" w:styleId="MarkeringsbobletekstTegn">
    <w:name w:val="Markeringsbobletekst Tegn"/>
    <w:link w:val="Markeringsbobletekst"/>
    <w:uiPriority w:val="99"/>
    <w:rsid w:val="00EA2CEB"/>
    <w:rPr>
      <w:rFonts w:ascii="Palatino Linotype" w:hAnsi="Palatino Linotype" w:cs="Tahoma"/>
      <w:noProof/>
      <w:color w:val="000000"/>
      <w:szCs w:val="18"/>
    </w:rPr>
  </w:style>
  <w:style w:type="character" w:styleId="Linjenummer">
    <w:name w:val="line number"/>
    <w:uiPriority w:val="99"/>
    <w:rsid w:val="00C5750D"/>
    <w:rPr>
      <w:rFonts w:ascii="Palatino Linotype" w:hAnsi="Palatino Linotype"/>
      <w:sz w:val="16"/>
    </w:rPr>
  </w:style>
  <w:style w:type="table" w:customStyle="1" w:styleId="MDPI41threelinetable">
    <w:name w:val="MDPI_4.1_three_line_table"/>
    <w:basedOn w:val="Tabel-Normal"/>
    <w:uiPriority w:val="99"/>
    <w:rsid w:val="003A41A8"/>
    <w:pPr>
      <w:adjustRightInd w:val="0"/>
      <w:snapToGrid w:val="0"/>
      <w:jc w:val="center"/>
    </w:pPr>
    <w:rPr>
      <w:rFonts w:ascii="Palatino Linotype" w:eastAsiaTheme="minorEastAsia"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EA2CEB"/>
    <w:rPr>
      <w:color w:val="0000FF"/>
      <w:u w:val="single"/>
    </w:rPr>
  </w:style>
  <w:style w:type="character" w:customStyle="1" w:styleId="UnresolvedMention1">
    <w:name w:val="Unresolved Mention1"/>
    <w:uiPriority w:val="99"/>
    <w:semiHidden/>
    <w:unhideWhenUsed/>
    <w:rsid w:val="004A6383"/>
    <w:rPr>
      <w:color w:val="605E5C"/>
      <w:shd w:val="clear" w:color="auto" w:fill="E1DFDD"/>
    </w:rPr>
  </w:style>
  <w:style w:type="table" w:styleId="Almindeligtabel4">
    <w:name w:val="Plain Table 4"/>
    <w:basedOn w:val="Tabel-Normal"/>
    <w:uiPriority w:val="44"/>
    <w:rsid w:val="00AD1B0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3A41A8"/>
    <w:pPr>
      <w:adjustRightInd w:val="0"/>
      <w:snapToGrid w:val="0"/>
      <w:spacing w:line="240" w:lineRule="atLeast"/>
      <w:ind w:right="113"/>
    </w:pPr>
    <w:rPr>
      <w:rFonts w:ascii="Palatino Linotype" w:hAnsi="Palatino Linotype" w:cs="Cordia New"/>
      <w:sz w:val="14"/>
      <w:szCs w:val="22"/>
    </w:rPr>
  </w:style>
  <w:style w:type="paragraph" w:customStyle="1" w:styleId="MDPI62BackMatter">
    <w:name w:val="MDPI_6.2_BackMatter"/>
    <w:qFormat/>
    <w:rsid w:val="003A41A8"/>
    <w:pPr>
      <w:adjustRightInd w:val="0"/>
      <w:snapToGrid w:val="0"/>
      <w:spacing w:after="120" w:line="228" w:lineRule="auto"/>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3A41A8"/>
    <w:pPr>
      <w:adjustRightInd w:val="0"/>
      <w:snapToGrid w:val="0"/>
      <w:spacing w:after="120" w:line="240" w:lineRule="atLeast"/>
      <w:ind w:right="113"/>
    </w:pPr>
    <w:rPr>
      <w:rFonts w:ascii="Palatino Linotype" w:hAnsi="Palatino Linotype"/>
      <w:snapToGrid w:val="0"/>
      <w:color w:val="000000"/>
      <w:sz w:val="14"/>
      <w:lang w:eastAsia="en-US" w:bidi="en-US"/>
    </w:rPr>
  </w:style>
  <w:style w:type="paragraph" w:customStyle="1" w:styleId="MDPI15academiceditor">
    <w:name w:val="MDPI_1.5_academic_editor"/>
    <w:qFormat/>
    <w:rsid w:val="003A41A8"/>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19classification">
    <w:name w:val="MDPI_1.9_classification"/>
    <w:qFormat/>
    <w:rsid w:val="003A41A8"/>
    <w:pPr>
      <w:spacing w:before="240" w:line="260" w:lineRule="atLeast"/>
      <w:ind w:left="113"/>
      <w:jc w:val="both"/>
    </w:pPr>
    <w:rPr>
      <w:rFonts w:ascii="Palatino Linotype" w:eastAsia="Times New Roman" w:hAnsi="Palatino Linotype"/>
      <w:b/>
      <w:color w:val="000000"/>
      <w:szCs w:val="22"/>
      <w:lang w:eastAsia="de-DE" w:bidi="en-US"/>
    </w:rPr>
  </w:style>
  <w:style w:type="paragraph" w:customStyle="1" w:styleId="MDPI411onetablecaption">
    <w:name w:val="MDPI_4.1.1_one_table_caption"/>
    <w:qFormat/>
    <w:rsid w:val="003A41A8"/>
    <w:pPr>
      <w:adjustRightInd w:val="0"/>
      <w:snapToGrid w:val="0"/>
      <w:spacing w:before="240" w:after="120" w:line="260" w:lineRule="atLeast"/>
      <w:jc w:val="center"/>
    </w:pPr>
    <w:rPr>
      <w:rFonts w:ascii="Palatino Linotype" w:eastAsiaTheme="minorEastAsia" w:hAnsi="Palatino Linotype" w:cstheme="minorBidi"/>
      <w:noProof/>
      <w:color w:val="000000"/>
      <w:sz w:val="18"/>
      <w:szCs w:val="22"/>
      <w:lang w:bidi="en-US"/>
    </w:rPr>
  </w:style>
  <w:style w:type="paragraph" w:customStyle="1" w:styleId="MDPI511onefigurecaption">
    <w:name w:val="MDPI_5.1.1_one_figure_caption"/>
    <w:qFormat/>
    <w:rsid w:val="003A41A8"/>
    <w:pPr>
      <w:adjustRightInd w:val="0"/>
      <w:snapToGrid w:val="0"/>
      <w:spacing w:before="240" w:after="120" w:line="260" w:lineRule="atLeast"/>
      <w:jc w:val="center"/>
    </w:pPr>
    <w:rPr>
      <w:rFonts w:ascii="Palatino Linotype" w:eastAsiaTheme="minorEastAsia" w:hAnsi="Palatino Linotype"/>
      <w:noProof/>
      <w:color w:val="000000"/>
      <w:sz w:val="18"/>
      <w:lang w:bidi="en-US"/>
    </w:rPr>
  </w:style>
  <w:style w:type="paragraph" w:customStyle="1" w:styleId="MDPI72Copyright">
    <w:name w:val="MDPI_7.2_Copyright"/>
    <w:qFormat/>
    <w:rsid w:val="003A41A8"/>
    <w:pPr>
      <w:adjustRightInd w:val="0"/>
      <w:snapToGrid w:val="0"/>
      <w:spacing w:before="240" w:line="240" w:lineRule="atLeast"/>
      <w:ind w:right="113"/>
    </w:pPr>
    <w:rPr>
      <w:rFonts w:ascii="Palatino Linotype" w:eastAsia="Times New Roman" w:hAnsi="Palatino Linotype"/>
      <w:noProof/>
      <w:snapToGrid w:val="0"/>
      <w:color w:val="000000"/>
      <w:spacing w:val="-2"/>
      <w:sz w:val="14"/>
      <w:lang w:val="en-GB" w:eastAsia="en-GB"/>
    </w:rPr>
  </w:style>
  <w:style w:type="paragraph" w:customStyle="1" w:styleId="MDPI73CopyrightImage">
    <w:name w:val="MDPI_7.3_CopyrightImage"/>
    <w:rsid w:val="003A41A8"/>
    <w:pPr>
      <w:adjustRightInd w:val="0"/>
      <w:snapToGrid w:val="0"/>
      <w:spacing w:after="100" w:line="260" w:lineRule="atLeast"/>
      <w:jc w:val="right"/>
    </w:pPr>
    <w:rPr>
      <w:rFonts w:ascii="Palatino Linotype" w:eastAsia="Times New Roman" w:hAnsi="Palatino Linotype"/>
      <w:color w:val="000000"/>
      <w:lang w:eastAsia="de-CH"/>
    </w:rPr>
  </w:style>
  <w:style w:type="paragraph" w:customStyle="1" w:styleId="MDPIequationFram">
    <w:name w:val="MDPI_equationFram"/>
    <w:qFormat/>
    <w:rsid w:val="003A41A8"/>
    <w:pPr>
      <w:adjustRightInd w:val="0"/>
      <w:snapToGrid w:val="0"/>
      <w:spacing w:before="120" w:after="120"/>
      <w:jc w:val="center"/>
    </w:pPr>
    <w:rPr>
      <w:rFonts w:ascii="Palatino Linotype" w:eastAsia="Times New Roman" w:hAnsi="Palatino Linotype"/>
      <w:snapToGrid w:val="0"/>
      <w:color w:val="000000"/>
      <w:szCs w:val="22"/>
      <w:lang w:eastAsia="de-DE" w:bidi="en-US"/>
    </w:rPr>
  </w:style>
  <w:style w:type="paragraph" w:customStyle="1" w:styleId="MDPIfooter">
    <w:name w:val="MDPI_footer"/>
    <w:qFormat/>
    <w:rsid w:val="003A41A8"/>
    <w:pPr>
      <w:adjustRightInd w:val="0"/>
      <w:snapToGrid w:val="0"/>
      <w:spacing w:before="120" w:line="260" w:lineRule="atLeast"/>
      <w:jc w:val="center"/>
    </w:pPr>
    <w:rPr>
      <w:rFonts w:ascii="Palatino Linotype" w:eastAsia="Times New Roman" w:hAnsi="Palatino Linotype"/>
      <w:color w:val="000000"/>
      <w:lang w:eastAsia="de-DE"/>
    </w:rPr>
  </w:style>
  <w:style w:type="paragraph" w:customStyle="1" w:styleId="MDPIheader">
    <w:name w:val="MDPI_header"/>
    <w:qFormat/>
    <w:rsid w:val="003A41A8"/>
    <w:pPr>
      <w:adjustRightInd w:val="0"/>
      <w:snapToGrid w:val="0"/>
      <w:spacing w:after="240" w:line="260" w:lineRule="atLeast"/>
      <w:jc w:val="both"/>
    </w:pPr>
    <w:rPr>
      <w:rFonts w:ascii="Palatino Linotype" w:eastAsia="Times New Roman" w:hAnsi="Palatino Linotype"/>
      <w:iCs/>
      <w:color w:val="000000"/>
      <w:sz w:val="16"/>
      <w:lang w:eastAsia="de-DE"/>
    </w:rPr>
  </w:style>
  <w:style w:type="paragraph" w:customStyle="1" w:styleId="MDPIheadercitation">
    <w:name w:val="MDPI_header_citation"/>
    <w:rsid w:val="003A41A8"/>
    <w:pPr>
      <w:spacing w:after="240"/>
    </w:pPr>
    <w:rPr>
      <w:rFonts w:ascii="Palatino Linotype" w:eastAsia="Times New Roman" w:hAnsi="Palatino Linotype"/>
      <w:snapToGrid w:val="0"/>
      <w:color w:val="000000"/>
      <w:sz w:val="18"/>
      <w:lang w:eastAsia="de-DE" w:bidi="en-US"/>
    </w:rPr>
  </w:style>
  <w:style w:type="paragraph" w:customStyle="1" w:styleId="MDPIheadermdpilogo">
    <w:name w:val="MDPI_header_mdpi_logo"/>
    <w:qFormat/>
    <w:rsid w:val="003A41A8"/>
    <w:pPr>
      <w:adjustRightInd w:val="0"/>
      <w:snapToGrid w:val="0"/>
      <w:spacing w:line="260" w:lineRule="atLeast"/>
      <w:jc w:val="right"/>
    </w:pPr>
    <w:rPr>
      <w:rFonts w:ascii="Palatino Linotype" w:eastAsia="Times New Roman" w:hAnsi="Palatino Linotype"/>
      <w:color w:val="000000"/>
      <w:sz w:val="24"/>
      <w:szCs w:val="22"/>
      <w:lang w:eastAsia="de-CH"/>
    </w:rPr>
  </w:style>
  <w:style w:type="table" w:customStyle="1" w:styleId="MDPITable">
    <w:name w:val="MDPI_Table"/>
    <w:basedOn w:val="Tabel-Normal"/>
    <w:uiPriority w:val="99"/>
    <w:rsid w:val="003A41A8"/>
    <w:rPr>
      <w:rFonts w:ascii="Palatino Linotype" w:hAnsi="Palatino Linotype"/>
      <w:color w:val="000000" w:themeColor="text1"/>
      <w:lang w:val="en-CA" w:eastAsia="en-US"/>
    </w:rPr>
    <w:tblPr>
      <w:tblCellMar>
        <w:left w:w="0" w:type="dxa"/>
        <w:right w:w="0" w:type="dxa"/>
      </w:tblCellMar>
    </w:tblPr>
  </w:style>
  <w:style w:type="paragraph" w:customStyle="1" w:styleId="MDPItext">
    <w:name w:val="MDPI_text"/>
    <w:qFormat/>
    <w:rsid w:val="003A41A8"/>
    <w:pPr>
      <w:spacing w:line="260" w:lineRule="atLeast"/>
      <w:ind w:left="425" w:right="425" w:firstLine="284"/>
      <w:jc w:val="both"/>
    </w:pPr>
    <w:rPr>
      <w:rFonts w:ascii="Times New Roman" w:eastAsia="Times New Roman" w:hAnsi="Times New Roman"/>
      <w:noProof/>
      <w:snapToGrid w:val="0"/>
      <w:color w:val="000000"/>
      <w:sz w:val="22"/>
      <w:szCs w:val="22"/>
      <w:lang w:eastAsia="de-DE" w:bidi="en-US"/>
    </w:rPr>
  </w:style>
  <w:style w:type="paragraph" w:customStyle="1" w:styleId="MDPItitle">
    <w:name w:val="MDPI_title"/>
    <w:qFormat/>
    <w:rsid w:val="003A41A8"/>
    <w:pPr>
      <w:adjustRightInd w:val="0"/>
      <w:snapToGrid w:val="0"/>
      <w:spacing w:after="240" w:line="260" w:lineRule="atLeast"/>
      <w:jc w:val="both"/>
    </w:pPr>
    <w:rPr>
      <w:rFonts w:ascii="Palatino Linotype" w:eastAsia="Times New Roman" w:hAnsi="Palatino Linotype"/>
      <w:b/>
      <w:snapToGrid w:val="0"/>
      <w:color w:val="000000"/>
      <w:sz w:val="36"/>
      <w:lang w:eastAsia="de-DE" w:bidi="en-US"/>
    </w:rPr>
  </w:style>
  <w:style w:type="character" w:customStyle="1" w:styleId="apple-converted-space">
    <w:name w:val="apple-converted-space"/>
    <w:rsid w:val="00EA2CEB"/>
  </w:style>
  <w:style w:type="paragraph" w:styleId="Bibliografi">
    <w:name w:val="Bibliography"/>
    <w:basedOn w:val="Normal"/>
    <w:next w:val="Normal"/>
    <w:uiPriority w:val="37"/>
    <w:semiHidden/>
    <w:unhideWhenUsed/>
    <w:rsid w:val="00EA2CEB"/>
  </w:style>
  <w:style w:type="paragraph" w:styleId="Brdtekst">
    <w:name w:val="Body Text"/>
    <w:link w:val="BrdtekstTegn"/>
    <w:rsid w:val="00EA2CEB"/>
    <w:pPr>
      <w:spacing w:after="120" w:line="340" w:lineRule="atLeast"/>
      <w:jc w:val="both"/>
    </w:pPr>
    <w:rPr>
      <w:rFonts w:ascii="Palatino Linotype" w:hAnsi="Palatino Linotype"/>
      <w:color w:val="000000"/>
      <w:sz w:val="24"/>
      <w:lang w:eastAsia="de-DE"/>
    </w:rPr>
  </w:style>
  <w:style w:type="character" w:customStyle="1" w:styleId="BrdtekstTegn">
    <w:name w:val="Brødtekst Tegn"/>
    <w:link w:val="Brdtekst"/>
    <w:rsid w:val="00EA2CEB"/>
    <w:rPr>
      <w:rFonts w:ascii="Palatino Linotype" w:hAnsi="Palatino Linotype"/>
      <w:color w:val="000000"/>
      <w:sz w:val="24"/>
      <w:lang w:eastAsia="de-DE"/>
    </w:rPr>
  </w:style>
  <w:style w:type="character" w:styleId="Kommentarhenvisning">
    <w:name w:val="annotation reference"/>
    <w:rsid w:val="00EA2CEB"/>
    <w:rPr>
      <w:sz w:val="21"/>
      <w:szCs w:val="21"/>
    </w:rPr>
  </w:style>
  <w:style w:type="paragraph" w:styleId="Kommentartekst">
    <w:name w:val="annotation text"/>
    <w:basedOn w:val="Normal"/>
    <w:link w:val="KommentartekstTegn"/>
    <w:rsid w:val="00EA2CEB"/>
  </w:style>
  <w:style w:type="character" w:customStyle="1" w:styleId="KommentartekstTegn">
    <w:name w:val="Kommentartekst Tegn"/>
    <w:link w:val="Kommentartekst"/>
    <w:rsid w:val="00EA2CEB"/>
    <w:rPr>
      <w:rFonts w:ascii="Palatino Linotype" w:hAnsi="Palatino Linotype"/>
      <w:noProof/>
      <w:color w:val="000000"/>
    </w:rPr>
  </w:style>
  <w:style w:type="paragraph" w:styleId="Kommentaremne">
    <w:name w:val="annotation subject"/>
    <w:basedOn w:val="Kommentartekst"/>
    <w:next w:val="Kommentartekst"/>
    <w:link w:val="KommentaremneTegn"/>
    <w:rsid w:val="00EA2CEB"/>
    <w:rPr>
      <w:b/>
      <w:bCs/>
    </w:rPr>
  </w:style>
  <w:style w:type="character" w:customStyle="1" w:styleId="KommentaremneTegn">
    <w:name w:val="Kommentaremne Tegn"/>
    <w:link w:val="Kommentaremne"/>
    <w:rsid w:val="00EA2CEB"/>
    <w:rPr>
      <w:rFonts w:ascii="Palatino Linotype" w:hAnsi="Palatino Linotype"/>
      <w:b/>
      <w:bCs/>
      <w:noProof/>
      <w:color w:val="000000"/>
    </w:rPr>
  </w:style>
  <w:style w:type="character" w:styleId="Slutnotehenvisning">
    <w:name w:val="endnote reference"/>
    <w:rsid w:val="00EA2CEB"/>
    <w:rPr>
      <w:vertAlign w:val="superscript"/>
    </w:rPr>
  </w:style>
  <w:style w:type="paragraph" w:styleId="Slutnotetekst">
    <w:name w:val="endnote text"/>
    <w:basedOn w:val="Normal"/>
    <w:link w:val="SlutnotetekstTegn"/>
    <w:semiHidden/>
    <w:unhideWhenUsed/>
    <w:rsid w:val="00EA2CEB"/>
    <w:pPr>
      <w:spacing w:line="240" w:lineRule="auto"/>
    </w:pPr>
  </w:style>
  <w:style w:type="character" w:customStyle="1" w:styleId="SlutnotetekstTegn">
    <w:name w:val="Slutnotetekst Tegn"/>
    <w:link w:val="Slutnotetekst"/>
    <w:semiHidden/>
    <w:rsid w:val="00EA2CEB"/>
    <w:rPr>
      <w:rFonts w:ascii="Palatino Linotype" w:hAnsi="Palatino Linotype"/>
      <w:noProof/>
      <w:color w:val="000000"/>
    </w:rPr>
  </w:style>
  <w:style w:type="character" w:styleId="BesgtLink">
    <w:name w:val="FollowedHyperlink"/>
    <w:rsid w:val="00EA2CEB"/>
    <w:rPr>
      <w:color w:val="954F72"/>
      <w:u w:val="single"/>
    </w:rPr>
  </w:style>
  <w:style w:type="paragraph" w:styleId="Fodnotetekst">
    <w:name w:val="footnote text"/>
    <w:basedOn w:val="Normal"/>
    <w:link w:val="FodnotetekstTegn"/>
    <w:semiHidden/>
    <w:unhideWhenUsed/>
    <w:rsid w:val="00EA2CEB"/>
    <w:pPr>
      <w:spacing w:line="240" w:lineRule="auto"/>
    </w:pPr>
  </w:style>
  <w:style w:type="character" w:customStyle="1" w:styleId="FodnotetekstTegn">
    <w:name w:val="Fodnotetekst Tegn"/>
    <w:link w:val="Fodnotetekst"/>
    <w:semiHidden/>
    <w:rsid w:val="00EA2CEB"/>
    <w:rPr>
      <w:rFonts w:ascii="Palatino Linotype" w:hAnsi="Palatino Linotype"/>
      <w:noProof/>
      <w:color w:val="000000"/>
    </w:rPr>
  </w:style>
  <w:style w:type="paragraph" w:styleId="NormalWeb">
    <w:name w:val="Normal (Web)"/>
    <w:basedOn w:val="Normal"/>
    <w:uiPriority w:val="99"/>
    <w:rsid w:val="00EA2CEB"/>
    <w:rPr>
      <w:szCs w:val="24"/>
    </w:rPr>
  </w:style>
  <w:style w:type="paragraph" w:customStyle="1" w:styleId="MsoFootnoteText0">
    <w:name w:val="MsoFootnoteText"/>
    <w:basedOn w:val="NormalWeb"/>
    <w:qFormat/>
    <w:rsid w:val="00EA2CEB"/>
    <w:rPr>
      <w:rFonts w:ascii="Times New Roman" w:hAnsi="Times New Roman"/>
    </w:rPr>
  </w:style>
  <w:style w:type="character" w:styleId="Sidetal">
    <w:name w:val="page number"/>
    <w:rsid w:val="00EA2CEB"/>
  </w:style>
  <w:style w:type="character" w:styleId="Pladsholdertekst">
    <w:name w:val="Placeholder Text"/>
    <w:uiPriority w:val="99"/>
    <w:semiHidden/>
    <w:rsid w:val="00EA2CEB"/>
    <w:rPr>
      <w:color w:val="808080"/>
    </w:rPr>
  </w:style>
  <w:style w:type="paragraph" w:customStyle="1" w:styleId="MDPI71FootNotes">
    <w:name w:val="MDPI_7.1_FootNotes"/>
    <w:qFormat/>
    <w:rsid w:val="003A41A8"/>
    <w:pPr>
      <w:numPr>
        <w:numId w:val="29"/>
      </w:numPr>
      <w:adjustRightInd w:val="0"/>
      <w:snapToGrid w:val="0"/>
      <w:spacing w:line="228" w:lineRule="auto"/>
    </w:pPr>
    <w:rPr>
      <w:rFonts w:ascii="Palatino Linotype" w:eastAsiaTheme="minorEastAsia" w:hAnsi="Palatino Linotype"/>
      <w:noProof/>
      <w:color w:val="000000"/>
      <w:sz w:val="18"/>
    </w:rPr>
  </w:style>
  <w:style w:type="character" w:styleId="Strk">
    <w:name w:val="Strong"/>
    <w:basedOn w:val="Standardskrifttypeiafsnit"/>
    <w:uiPriority w:val="22"/>
    <w:qFormat/>
    <w:rsid w:val="00160D84"/>
    <w:rPr>
      <w:b/>
      <w:bCs/>
    </w:rPr>
  </w:style>
  <w:style w:type="paragraph" w:styleId="Korrektur">
    <w:name w:val="Revision"/>
    <w:hidden/>
    <w:uiPriority w:val="99"/>
    <w:semiHidden/>
    <w:rsid w:val="0068726C"/>
    <w:rPr>
      <w:rFonts w:ascii="Palatino Linotype" w:hAnsi="Palatino Linotype"/>
      <w:noProof/>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0048939">
      <w:bodyDiv w:val="1"/>
      <w:marLeft w:val="0"/>
      <w:marRight w:val="0"/>
      <w:marTop w:val="0"/>
      <w:marBottom w:val="0"/>
      <w:divBdr>
        <w:top w:val="none" w:sz="0" w:space="0" w:color="auto"/>
        <w:left w:val="none" w:sz="0" w:space="0" w:color="auto"/>
        <w:bottom w:val="none" w:sz="0" w:space="0" w:color="auto"/>
        <w:right w:val="none" w:sz="0" w:space="0" w:color="auto"/>
      </w:divBdr>
    </w:div>
    <w:div w:id="1464152825">
      <w:bodyDiv w:val="1"/>
      <w:marLeft w:val="0"/>
      <w:marRight w:val="0"/>
      <w:marTop w:val="0"/>
      <w:marBottom w:val="0"/>
      <w:divBdr>
        <w:top w:val="none" w:sz="0" w:space="0" w:color="auto"/>
        <w:left w:val="none" w:sz="0" w:space="0" w:color="auto"/>
        <w:bottom w:val="none" w:sz="0" w:space="0" w:color="auto"/>
        <w:right w:val="none" w:sz="0" w:space="0" w:color="auto"/>
      </w:divBdr>
    </w:div>
    <w:div w:id="2109349779">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4.jpe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3.jpeg"/><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3.xml"/><Relationship Id="rId5" Type="http://schemas.openxmlformats.org/officeDocument/2006/relationships/footnotes" Target="footnotes.xml"/><Relationship Id="rId15" Type="http://schemas.openxmlformats.org/officeDocument/2006/relationships/image" Target="media/image6.jpeg"/><Relationship Id="rId10" Type="http://schemas.openxmlformats.org/officeDocument/2006/relationships/chart" Target="charts/chart2.xm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image" Target="media/image5.png"/><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DPI\Desktop\Word%20templates\toxins-template.dot"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regionh.top.local\dfs\Logget\LovbeskyttetMapper\MBRSA%20projekter\CW%20forskningsdata\Christian%20Wong\SMERTE%20PROJEKTER\DYSPORT\ONGOING%20artikel%20og%20refferdysport\ongoing%20resulatater\figurer%20og%20tabeller\Copy%20of%20charterisation%20figur%202%20v2.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da-DK"/>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Sheet1!$D$4:$D$8</c:f>
              <c:strCache>
                <c:ptCount val="5"/>
                <c:pt idx="0">
                  <c:v>GFMCS 1</c:v>
                </c:pt>
                <c:pt idx="1">
                  <c:v>GFMCS2</c:v>
                </c:pt>
                <c:pt idx="2">
                  <c:v>GFMCS 3</c:v>
                </c:pt>
                <c:pt idx="3">
                  <c:v>GFMCS 4</c:v>
                </c:pt>
                <c:pt idx="4">
                  <c:v>GFMCS 5</c:v>
                </c:pt>
              </c:strCache>
            </c:strRef>
          </c:cat>
          <c:val>
            <c:numRef>
              <c:f>Sheet1!$E$4:$E$8</c:f>
              <c:numCache>
                <c:formatCode>General</c:formatCode>
                <c:ptCount val="5"/>
                <c:pt idx="0">
                  <c:v>4</c:v>
                </c:pt>
                <c:pt idx="1">
                  <c:v>4</c:v>
                </c:pt>
                <c:pt idx="2">
                  <c:v>1</c:v>
                </c:pt>
                <c:pt idx="3">
                  <c:v>5</c:v>
                </c:pt>
                <c:pt idx="4">
                  <c:v>7</c:v>
                </c:pt>
              </c:numCache>
            </c:numRef>
          </c:val>
          <c:extLst>
            <c:ext xmlns:c16="http://schemas.microsoft.com/office/drawing/2014/chart" uri="{C3380CC4-5D6E-409C-BE32-E72D297353CC}">
              <c16:uniqueId val="{00000000-38C5-4ED4-B0A4-57C04301ACCA}"/>
            </c:ext>
          </c:extLst>
        </c:ser>
        <c:dLbls>
          <c:showLegendKey val="0"/>
          <c:showVal val="0"/>
          <c:showCatName val="0"/>
          <c:showSerName val="0"/>
          <c:showPercent val="0"/>
          <c:showBubbleSize val="0"/>
        </c:dLbls>
        <c:gapWidth val="219"/>
        <c:overlap val="-27"/>
        <c:axId val="779032288"/>
        <c:axId val="779033272"/>
      </c:barChart>
      <c:catAx>
        <c:axId val="779032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da-DK"/>
          </a:p>
        </c:txPr>
        <c:crossAx val="779033272"/>
        <c:crosses val="autoZero"/>
        <c:auto val="1"/>
        <c:lblAlgn val="ctr"/>
        <c:lblOffset val="100"/>
        <c:noMultiLvlLbl val="0"/>
      </c:catAx>
      <c:valAx>
        <c:axId val="7790332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da-DK"/>
          </a:p>
        </c:txPr>
        <c:crossAx val="77903228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da-DK"/>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da-DK"/>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Sheet1!$F$4:$F$6</c:f>
              <c:strCache>
                <c:ptCount val="3"/>
                <c:pt idx="0">
                  <c:v>Hemilegia</c:v>
                </c:pt>
                <c:pt idx="1">
                  <c:v>Diplegia</c:v>
                </c:pt>
                <c:pt idx="2">
                  <c:v>Tetraplegia</c:v>
                </c:pt>
              </c:strCache>
            </c:strRef>
          </c:cat>
          <c:val>
            <c:numRef>
              <c:f>Sheet1!$G$4:$G$6</c:f>
              <c:numCache>
                <c:formatCode>General</c:formatCode>
                <c:ptCount val="3"/>
                <c:pt idx="0">
                  <c:v>3</c:v>
                </c:pt>
                <c:pt idx="1">
                  <c:v>9</c:v>
                </c:pt>
                <c:pt idx="2">
                  <c:v>10</c:v>
                </c:pt>
              </c:numCache>
            </c:numRef>
          </c:val>
          <c:extLst>
            <c:ext xmlns:c16="http://schemas.microsoft.com/office/drawing/2014/chart" uri="{C3380CC4-5D6E-409C-BE32-E72D297353CC}">
              <c16:uniqueId val="{00000000-D041-4EF5-86FC-6196CE4F6F1D}"/>
            </c:ext>
          </c:extLst>
        </c:ser>
        <c:dLbls>
          <c:showLegendKey val="0"/>
          <c:showVal val="0"/>
          <c:showCatName val="0"/>
          <c:showSerName val="0"/>
          <c:showPercent val="0"/>
          <c:showBubbleSize val="0"/>
        </c:dLbls>
        <c:gapWidth val="219"/>
        <c:overlap val="-27"/>
        <c:axId val="779029664"/>
        <c:axId val="779030648"/>
      </c:barChart>
      <c:catAx>
        <c:axId val="7790296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da-DK"/>
          </a:p>
        </c:txPr>
        <c:crossAx val="779030648"/>
        <c:crosses val="autoZero"/>
        <c:auto val="1"/>
        <c:lblAlgn val="ctr"/>
        <c:lblOffset val="100"/>
        <c:noMultiLvlLbl val="0"/>
      </c:catAx>
      <c:valAx>
        <c:axId val="7790306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da-DK"/>
          </a:p>
        </c:txPr>
        <c:crossAx val="77902966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da-DK"/>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da-DK"/>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Sheet1!$H$4:$H$5</c:f>
              <c:strCache>
                <c:ptCount val="2"/>
                <c:pt idx="0">
                  <c:v>Unilateral</c:v>
                </c:pt>
                <c:pt idx="1">
                  <c:v>Bilateral</c:v>
                </c:pt>
              </c:strCache>
            </c:strRef>
          </c:cat>
          <c:val>
            <c:numRef>
              <c:f>Sheet1!$I$4:$I$5</c:f>
              <c:numCache>
                <c:formatCode>General</c:formatCode>
                <c:ptCount val="2"/>
                <c:pt idx="0">
                  <c:v>3</c:v>
                </c:pt>
                <c:pt idx="1">
                  <c:v>19</c:v>
                </c:pt>
              </c:numCache>
            </c:numRef>
          </c:val>
          <c:extLst>
            <c:ext xmlns:c16="http://schemas.microsoft.com/office/drawing/2014/chart" uri="{C3380CC4-5D6E-409C-BE32-E72D297353CC}">
              <c16:uniqueId val="{00000000-2CF9-4724-917D-E9A84929BA67}"/>
            </c:ext>
          </c:extLst>
        </c:ser>
        <c:dLbls>
          <c:showLegendKey val="0"/>
          <c:showVal val="0"/>
          <c:showCatName val="0"/>
          <c:showSerName val="0"/>
          <c:showPercent val="0"/>
          <c:showBubbleSize val="0"/>
        </c:dLbls>
        <c:gapWidth val="219"/>
        <c:overlap val="-27"/>
        <c:axId val="504181816"/>
        <c:axId val="504186080"/>
      </c:barChart>
      <c:catAx>
        <c:axId val="5041818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da-DK"/>
          </a:p>
        </c:txPr>
        <c:crossAx val="504186080"/>
        <c:crosses val="autoZero"/>
        <c:auto val="1"/>
        <c:lblAlgn val="ctr"/>
        <c:lblOffset val="100"/>
        <c:noMultiLvlLbl val="0"/>
      </c:catAx>
      <c:valAx>
        <c:axId val="5041860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da-DK"/>
          </a:p>
        </c:txPr>
        <c:crossAx val="50418181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da-DK"/>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toxins-template</Template>
  <TotalTime>0</TotalTime>
  <Pages>15</Pages>
  <Words>7266</Words>
  <Characters>44323</Characters>
  <Application>Microsoft Office Word</Application>
  <DocSecurity>0</DocSecurity>
  <Lines>369</Lines>
  <Paragraphs>102</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Type of the Paper (Article</vt:lpstr>
      <vt:lpstr>Type of the Paper (Article</vt:lpstr>
    </vt:vector>
  </TitlesOfParts>
  <Company/>
  <LinksUpToDate>false</LinksUpToDate>
  <CharactersWithSpaces>51487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Christian Nai En Tierp-Wong</dc:creator>
  <cp:keywords/>
  <dc:description/>
  <cp:lastModifiedBy>Christian Nai En</cp:lastModifiedBy>
  <cp:revision>2</cp:revision>
  <cp:lastPrinted>2021-12-22T09:22:00Z</cp:lastPrinted>
  <dcterms:created xsi:type="dcterms:W3CDTF">2022-01-28T16:42:00Z</dcterms:created>
  <dcterms:modified xsi:type="dcterms:W3CDTF">2022-01-28T16:42:00Z</dcterms:modified>
</cp:coreProperties>
</file>