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1"/>
        <w:gridCol w:w="2246"/>
        <w:gridCol w:w="296"/>
        <w:gridCol w:w="1972"/>
        <w:gridCol w:w="605"/>
        <w:gridCol w:w="1684"/>
      </w:tblGrid>
      <w:tr w:rsidR="00322ADF" w:rsidRPr="007E1A6B" w:rsidTr="006667FC">
        <w:tc>
          <w:tcPr>
            <w:tcW w:w="4428" w:type="dxa"/>
            <w:gridSpan w:val="3"/>
          </w:tcPr>
          <w:p w:rsidR="00322ADF" w:rsidRPr="007E1A6B" w:rsidRDefault="00322ADF" w:rsidP="006667FC">
            <w:pPr>
              <w:rPr>
                <w:b/>
                <w:sz w:val="18"/>
                <w:szCs w:val="18"/>
                <w:u w:val="single"/>
              </w:rPr>
            </w:pPr>
            <w:r w:rsidRPr="007E1A6B">
              <w:rPr>
                <w:b/>
                <w:sz w:val="18"/>
                <w:szCs w:val="18"/>
                <w:u w:val="single"/>
              </w:rPr>
              <w:t xml:space="preserve">NAME OF SPONSOR </w:t>
            </w:r>
          </w:p>
          <w:p w:rsidR="00322ADF" w:rsidRPr="007E1A6B" w:rsidRDefault="00322ADF" w:rsidP="006667FC">
            <w:pPr>
              <w:rPr>
                <w:sz w:val="18"/>
                <w:szCs w:val="18"/>
              </w:rPr>
            </w:pPr>
            <w:r w:rsidRPr="007E1A6B">
              <w:rPr>
                <w:sz w:val="18"/>
                <w:szCs w:val="18"/>
              </w:rPr>
              <w:t>FUNDACION ONCOSUR</w:t>
            </w:r>
          </w:p>
          <w:p w:rsidR="00322ADF" w:rsidRPr="007E1A6B" w:rsidRDefault="00322ADF" w:rsidP="006667FC">
            <w:pPr>
              <w:rPr>
                <w:b/>
                <w:sz w:val="18"/>
                <w:szCs w:val="18"/>
                <w:u w:val="single"/>
              </w:rPr>
            </w:pPr>
          </w:p>
          <w:p w:rsidR="00322ADF" w:rsidRPr="007E1A6B" w:rsidRDefault="00322ADF" w:rsidP="006667FC">
            <w:pPr>
              <w:rPr>
                <w:sz w:val="18"/>
                <w:szCs w:val="18"/>
              </w:rPr>
            </w:pPr>
            <w:r w:rsidRPr="007E1A6B">
              <w:rPr>
                <w:b/>
                <w:sz w:val="18"/>
                <w:szCs w:val="18"/>
                <w:u w:val="single"/>
              </w:rPr>
              <w:t>NAME OF FINISHED PRODUCT</w:t>
            </w:r>
            <w:r w:rsidRPr="007E1A6B">
              <w:rPr>
                <w:sz w:val="18"/>
                <w:szCs w:val="18"/>
              </w:rPr>
              <w:t xml:space="preserve"> </w:t>
            </w:r>
          </w:p>
          <w:p w:rsidR="00322ADF" w:rsidRPr="007E1A6B" w:rsidRDefault="00322ADF" w:rsidP="006667FC">
            <w:pPr>
              <w:rPr>
                <w:sz w:val="18"/>
                <w:szCs w:val="18"/>
              </w:rPr>
            </w:pPr>
            <w:proofErr w:type="spellStart"/>
            <w:r w:rsidRPr="007E1A6B">
              <w:rPr>
                <w:sz w:val="18"/>
                <w:szCs w:val="18"/>
              </w:rPr>
              <w:t>Cabometyx</w:t>
            </w:r>
            <w:proofErr w:type="spellEnd"/>
            <w:r w:rsidRPr="007E1A6B">
              <w:rPr>
                <w:sz w:val="18"/>
                <w:szCs w:val="18"/>
              </w:rPr>
              <w:t>®</w:t>
            </w:r>
          </w:p>
          <w:p w:rsidR="00322ADF" w:rsidRPr="007E1A6B" w:rsidRDefault="00322ADF" w:rsidP="006667FC">
            <w:pPr>
              <w:rPr>
                <w:b/>
                <w:sz w:val="18"/>
                <w:szCs w:val="18"/>
                <w:u w:val="single"/>
              </w:rPr>
            </w:pPr>
          </w:p>
          <w:p w:rsidR="00322ADF" w:rsidRPr="007E1A6B" w:rsidRDefault="00322ADF" w:rsidP="006667FC">
            <w:pPr>
              <w:rPr>
                <w:b/>
                <w:sz w:val="18"/>
                <w:szCs w:val="18"/>
                <w:u w:val="single"/>
              </w:rPr>
            </w:pPr>
            <w:r w:rsidRPr="007E1A6B">
              <w:rPr>
                <w:b/>
                <w:sz w:val="18"/>
                <w:szCs w:val="18"/>
                <w:u w:val="single"/>
              </w:rPr>
              <w:t>NAME OF ACTIVE INGREDIENT(S)</w:t>
            </w:r>
          </w:p>
          <w:p w:rsidR="00322ADF" w:rsidRPr="007E1A6B" w:rsidRDefault="00322ADF" w:rsidP="006667FC">
            <w:pPr>
              <w:rPr>
                <w:b/>
                <w:sz w:val="18"/>
                <w:szCs w:val="18"/>
                <w:u w:val="single"/>
              </w:rPr>
            </w:pPr>
            <w:r w:rsidRPr="007E1A6B">
              <w:rPr>
                <w:sz w:val="18"/>
                <w:szCs w:val="18"/>
              </w:rPr>
              <w:t>Cabozantinib</w:t>
            </w:r>
          </w:p>
          <w:p w:rsidR="00322ADF" w:rsidRPr="007E1A6B" w:rsidRDefault="00322ADF" w:rsidP="006667FC">
            <w:pPr>
              <w:rPr>
                <w:sz w:val="18"/>
                <w:szCs w:val="18"/>
              </w:rPr>
            </w:pPr>
          </w:p>
        </w:tc>
        <w:tc>
          <w:tcPr>
            <w:tcW w:w="2700" w:type="dxa"/>
            <w:gridSpan w:val="2"/>
          </w:tcPr>
          <w:p w:rsidR="00322ADF" w:rsidRPr="007E1A6B" w:rsidRDefault="00322ADF" w:rsidP="006667FC">
            <w:pPr>
              <w:rPr>
                <w:b/>
                <w:sz w:val="18"/>
                <w:szCs w:val="18"/>
                <w:u w:val="single"/>
              </w:rPr>
            </w:pPr>
            <w:r w:rsidRPr="007E1A6B">
              <w:rPr>
                <w:b/>
                <w:sz w:val="18"/>
                <w:szCs w:val="18"/>
                <w:u w:val="single"/>
              </w:rPr>
              <w:t>INDIVIDUAL STUDY TABLE REFERRING TO MODULE 5 OF THE CTD</w:t>
            </w:r>
          </w:p>
          <w:p w:rsidR="00322ADF" w:rsidRPr="007E1A6B" w:rsidRDefault="00322ADF" w:rsidP="006667FC">
            <w:pPr>
              <w:rPr>
                <w:b/>
                <w:sz w:val="18"/>
                <w:szCs w:val="18"/>
                <w:u w:val="single"/>
              </w:rPr>
            </w:pPr>
          </w:p>
          <w:p w:rsidR="00322ADF" w:rsidRPr="007E1A6B" w:rsidRDefault="00322ADF" w:rsidP="006667FC">
            <w:pPr>
              <w:rPr>
                <w:sz w:val="18"/>
                <w:szCs w:val="18"/>
              </w:rPr>
            </w:pPr>
            <w:r w:rsidRPr="007E1A6B">
              <w:rPr>
                <w:sz w:val="18"/>
                <w:szCs w:val="18"/>
              </w:rPr>
              <w:t>Volume:</w:t>
            </w:r>
          </w:p>
          <w:p w:rsidR="00322ADF" w:rsidRPr="007E1A6B" w:rsidRDefault="00322ADF" w:rsidP="006667FC">
            <w:pPr>
              <w:rPr>
                <w:sz w:val="18"/>
                <w:szCs w:val="18"/>
              </w:rPr>
            </w:pPr>
          </w:p>
          <w:p w:rsidR="00322ADF" w:rsidRPr="007E1A6B" w:rsidRDefault="00322ADF" w:rsidP="006667FC">
            <w:pPr>
              <w:rPr>
                <w:b/>
                <w:sz w:val="18"/>
                <w:szCs w:val="18"/>
                <w:u w:val="single"/>
              </w:rPr>
            </w:pPr>
            <w:r w:rsidRPr="007E1A6B">
              <w:rPr>
                <w:sz w:val="18"/>
                <w:szCs w:val="18"/>
              </w:rPr>
              <w:t>Page:</w:t>
            </w:r>
          </w:p>
        </w:tc>
        <w:tc>
          <w:tcPr>
            <w:tcW w:w="1728" w:type="dxa"/>
          </w:tcPr>
          <w:p w:rsidR="00322ADF" w:rsidRPr="007E1A6B" w:rsidRDefault="00322ADF" w:rsidP="006667FC">
            <w:pPr>
              <w:rPr>
                <w:b/>
                <w:sz w:val="18"/>
                <w:szCs w:val="18"/>
                <w:u w:val="single"/>
              </w:rPr>
            </w:pPr>
            <w:r w:rsidRPr="007E1A6B">
              <w:rPr>
                <w:b/>
                <w:sz w:val="18"/>
                <w:szCs w:val="18"/>
                <w:u w:val="single"/>
              </w:rPr>
              <w:t>(FOR NATIONAL  AUTHORITY USE ONLY)</w:t>
            </w:r>
          </w:p>
        </w:tc>
      </w:tr>
      <w:tr w:rsidR="00322ADF" w:rsidRPr="007E1A6B" w:rsidTr="006667FC">
        <w:tc>
          <w:tcPr>
            <w:tcW w:w="1728" w:type="dxa"/>
          </w:tcPr>
          <w:p w:rsidR="00322ADF" w:rsidRPr="007E1A6B" w:rsidRDefault="00322ADF" w:rsidP="006667FC">
            <w:pPr>
              <w:rPr>
                <w:sz w:val="18"/>
                <w:szCs w:val="18"/>
              </w:rPr>
            </w:pPr>
            <w:r w:rsidRPr="007E1A6B">
              <w:rPr>
                <w:sz w:val="18"/>
                <w:szCs w:val="18"/>
              </w:rPr>
              <w:t>Study Title</w:t>
            </w:r>
          </w:p>
        </w:tc>
        <w:tc>
          <w:tcPr>
            <w:tcW w:w="7128" w:type="dxa"/>
            <w:gridSpan w:val="5"/>
          </w:tcPr>
          <w:p w:rsidR="00322ADF" w:rsidRPr="007E1A6B" w:rsidRDefault="00322ADF" w:rsidP="006667FC">
            <w:pPr>
              <w:jc w:val="both"/>
              <w:rPr>
                <w:sz w:val="18"/>
                <w:szCs w:val="18"/>
              </w:rPr>
            </w:pPr>
            <w:r w:rsidRPr="007E1A6B">
              <w:rPr>
                <w:sz w:val="18"/>
                <w:szCs w:val="18"/>
              </w:rPr>
              <w:t xml:space="preserve">Phase II study for the evaluation of </w:t>
            </w:r>
            <w:proofErr w:type="spellStart"/>
            <w:r w:rsidRPr="007E1A6B">
              <w:rPr>
                <w:sz w:val="18"/>
                <w:szCs w:val="18"/>
              </w:rPr>
              <w:t>neoadjuvant</w:t>
            </w:r>
            <w:proofErr w:type="spellEnd"/>
            <w:r w:rsidRPr="007E1A6B">
              <w:rPr>
                <w:sz w:val="18"/>
                <w:szCs w:val="18"/>
              </w:rPr>
              <w:t xml:space="preserve"> treatment with cabozantinib prior to </w:t>
            </w:r>
            <w:proofErr w:type="spellStart"/>
            <w:r w:rsidRPr="007E1A6B">
              <w:rPr>
                <w:sz w:val="18"/>
                <w:szCs w:val="18"/>
              </w:rPr>
              <w:t>cytoreductive</w:t>
            </w:r>
            <w:proofErr w:type="spellEnd"/>
            <w:r w:rsidRPr="007E1A6B">
              <w:rPr>
                <w:sz w:val="18"/>
                <w:szCs w:val="18"/>
              </w:rPr>
              <w:t xml:space="preserve"> nephrectomy (CN) in patients with locally advanced or metastatic renal cell carcinoma.</w:t>
            </w:r>
          </w:p>
        </w:tc>
      </w:tr>
      <w:tr w:rsidR="00322ADF" w:rsidRPr="007E1A6B" w:rsidTr="006667FC">
        <w:tc>
          <w:tcPr>
            <w:tcW w:w="1728" w:type="dxa"/>
          </w:tcPr>
          <w:p w:rsidR="00322ADF" w:rsidRPr="007E1A6B" w:rsidRDefault="00322ADF" w:rsidP="006667FC">
            <w:pPr>
              <w:rPr>
                <w:sz w:val="18"/>
                <w:szCs w:val="18"/>
              </w:rPr>
            </w:pPr>
            <w:r w:rsidRPr="007E1A6B">
              <w:rPr>
                <w:sz w:val="18"/>
                <w:szCs w:val="18"/>
              </w:rPr>
              <w:t>Investigator(s)</w:t>
            </w:r>
          </w:p>
        </w:tc>
        <w:tc>
          <w:tcPr>
            <w:tcW w:w="7128" w:type="dxa"/>
            <w:gridSpan w:val="5"/>
          </w:tcPr>
          <w:p w:rsidR="00322ADF" w:rsidRPr="007E1A6B" w:rsidRDefault="00322ADF" w:rsidP="006667FC">
            <w:pPr>
              <w:rPr>
                <w:sz w:val="18"/>
                <w:szCs w:val="18"/>
              </w:rPr>
            </w:pPr>
            <w:r w:rsidRPr="007E1A6B">
              <w:rPr>
                <w:sz w:val="18"/>
                <w:szCs w:val="18"/>
              </w:rPr>
              <w:t>The principal investigators and study coordinators are listed below:</w:t>
            </w:r>
          </w:p>
        </w:tc>
      </w:tr>
      <w:tr w:rsidR="00322ADF" w:rsidRPr="007E1A6B" w:rsidTr="006667FC">
        <w:tc>
          <w:tcPr>
            <w:tcW w:w="1728" w:type="dxa"/>
          </w:tcPr>
          <w:p w:rsidR="00322ADF" w:rsidRPr="007E1A6B" w:rsidRDefault="00322ADF" w:rsidP="006667FC">
            <w:pPr>
              <w:rPr>
                <w:sz w:val="18"/>
                <w:szCs w:val="18"/>
              </w:rPr>
            </w:pPr>
            <w:r w:rsidRPr="007E1A6B">
              <w:rPr>
                <w:sz w:val="18"/>
                <w:szCs w:val="18"/>
              </w:rPr>
              <w:t>Study site(s)</w:t>
            </w:r>
          </w:p>
        </w:tc>
        <w:tc>
          <w:tcPr>
            <w:tcW w:w="7128" w:type="dxa"/>
            <w:gridSpan w:val="5"/>
          </w:tcPr>
          <w:p w:rsidR="00322ADF" w:rsidRPr="0047772A" w:rsidRDefault="00322ADF" w:rsidP="006667FC">
            <w:pPr>
              <w:rPr>
                <w:sz w:val="18"/>
                <w:szCs w:val="18"/>
                <w:lang w:val="es-ES"/>
              </w:rPr>
            </w:pPr>
          </w:p>
          <w:p w:rsidR="00322ADF" w:rsidRPr="0047772A" w:rsidRDefault="00322ADF" w:rsidP="006667FC">
            <w:pPr>
              <w:rPr>
                <w:sz w:val="18"/>
                <w:szCs w:val="18"/>
                <w:lang w:val="es-ES"/>
              </w:rPr>
            </w:pPr>
            <w:r w:rsidRPr="0047772A">
              <w:rPr>
                <w:sz w:val="18"/>
                <w:szCs w:val="18"/>
                <w:lang w:val="es-ES"/>
              </w:rPr>
              <w:t xml:space="preserve">Hospital Universitario 12 de </w:t>
            </w:r>
            <w:proofErr w:type="gramStart"/>
            <w:r w:rsidRPr="0047772A">
              <w:rPr>
                <w:sz w:val="18"/>
                <w:szCs w:val="18"/>
                <w:lang w:val="es-ES"/>
              </w:rPr>
              <w:t>Octubre</w:t>
            </w:r>
            <w:proofErr w:type="gramEnd"/>
            <w:r w:rsidRPr="0047772A">
              <w:rPr>
                <w:sz w:val="18"/>
                <w:szCs w:val="18"/>
                <w:lang w:val="es-ES"/>
              </w:rPr>
              <w:t xml:space="preserve"> (Madrid) </w:t>
            </w:r>
          </w:p>
          <w:p w:rsidR="00322ADF" w:rsidRPr="0047772A" w:rsidRDefault="00322ADF" w:rsidP="006667FC">
            <w:pPr>
              <w:rPr>
                <w:sz w:val="18"/>
                <w:szCs w:val="18"/>
                <w:lang w:val="es-ES"/>
              </w:rPr>
            </w:pPr>
            <w:r w:rsidRPr="0047772A">
              <w:rPr>
                <w:sz w:val="18"/>
                <w:szCs w:val="18"/>
                <w:lang w:val="es-ES"/>
              </w:rPr>
              <w:t xml:space="preserve">Hospital </w:t>
            </w:r>
            <w:proofErr w:type="spellStart"/>
            <w:r w:rsidRPr="0047772A">
              <w:rPr>
                <w:sz w:val="18"/>
                <w:szCs w:val="18"/>
                <w:lang w:val="es-ES"/>
              </w:rPr>
              <w:t>Sanchinarro</w:t>
            </w:r>
            <w:proofErr w:type="spellEnd"/>
            <w:r w:rsidRPr="0047772A">
              <w:rPr>
                <w:sz w:val="18"/>
                <w:szCs w:val="18"/>
                <w:lang w:val="es-ES"/>
              </w:rPr>
              <w:t xml:space="preserve"> - Centro Oncológico Clara Campal (CIOCC) (Madrid)</w:t>
            </w:r>
          </w:p>
          <w:p w:rsidR="00322ADF" w:rsidRPr="0047772A" w:rsidRDefault="00322ADF" w:rsidP="006667FC">
            <w:pPr>
              <w:rPr>
                <w:sz w:val="18"/>
                <w:szCs w:val="18"/>
                <w:lang w:val="es-ES"/>
              </w:rPr>
            </w:pPr>
            <w:r w:rsidRPr="0047772A">
              <w:rPr>
                <w:sz w:val="18"/>
                <w:szCs w:val="18"/>
                <w:lang w:val="es-ES"/>
              </w:rPr>
              <w:t>Hospital Universitario La Paz (Madrid)*</w:t>
            </w:r>
          </w:p>
          <w:p w:rsidR="00322ADF" w:rsidRPr="0047772A" w:rsidRDefault="00322ADF" w:rsidP="006667FC">
            <w:pPr>
              <w:rPr>
                <w:sz w:val="18"/>
                <w:szCs w:val="18"/>
                <w:lang w:val="es-ES"/>
              </w:rPr>
            </w:pPr>
            <w:r w:rsidRPr="0047772A">
              <w:rPr>
                <w:sz w:val="18"/>
                <w:szCs w:val="18"/>
                <w:lang w:val="es-ES"/>
              </w:rPr>
              <w:t xml:space="preserve">Universitario 12 de </w:t>
            </w:r>
            <w:proofErr w:type="gramStart"/>
            <w:r w:rsidRPr="0047772A">
              <w:rPr>
                <w:sz w:val="18"/>
                <w:szCs w:val="18"/>
                <w:lang w:val="es-ES"/>
              </w:rPr>
              <w:t>Octubre</w:t>
            </w:r>
            <w:proofErr w:type="gramEnd"/>
            <w:r w:rsidRPr="0047772A">
              <w:rPr>
                <w:sz w:val="18"/>
                <w:szCs w:val="18"/>
                <w:lang w:val="es-ES"/>
              </w:rPr>
              <w:t xml:space="preserve"> (Madrid)</w:t>
            </w:r>
          </w:p>
          <w:p w:rsidR="00322ADF" w:rsidRPr="0047772A" w:rsidRDefault="00322ADF" w:rsidP="006667FC">
            <w:pPr>
              <w:rPr>
                <w:sz w:val="18"/>
                <w:szCs w:val="18"/>
                <w:lang w:val="es-ES"/>
              </w:rPr>
            </w:pPr>
            <w:r w:rsidRPr="0047772A">
              <w:rPr>
                <w:sz w:val="18"/>
                <w:szCs w:val="18"/>
                <w:lang w:val="es-ES"/>
              </w:rPr>
              <w:t xml:space="preserve">Hospital Universitario Severo Ochoa (Leganés - </w:t>
            </w:r>
            <w:proofErr w:type="gramStart"/>
            <w:r w:rsidRPr="0047772A">
              <w:rPr>
                <w:sz w:val="18"/>
                <w:szCs w:val="18"/>
                <w:lang w:val="es-ES"/>
              </w:rPr>
              <w:t>Madrid)*</w:t>
            </w:r>
            <w:proofErr w:type="gramEnd"/>
          </w:p>
          <w:p w:rsidR="00322ADF" w:rsidRPr="0047772A" w:rsidRDefault="00322ADF" w:rsidP="006667FC">
            <w:pPr>
              <w:rPr>
                <w:sz w:val="18"/>
                <w:szCs w:val="18"/>
                <w:lang w:val="es-ES"/>
              </w:rPr>
            </w:pPr>
            <w:r w:rsidRPr="0047772A">
              <w:rPr>
                <w:sz w:val="18"/>
                <w:szCs w:val="18"/>
                <w:lang w:val="es-ES"/>
              </w:rPr>
              <w:t>Instituto Catalán de Oncología (</w:t>
            </w:r>
            <w:proofErr w:type="spellStart"/>
            <w:r w:rsidRPr="0047772A">
              <w:rPr>
                <w:sz w:val="18"/>
                <w:szCs w:val="18"/>
                <w:lang w:val="es-ES"/>
              </w:rPr>
              <w:t>Hospitalet</w:t>
            </w:r>
            <w:proofErr w:type="spellEnd"/>
            <w:r w:rsidRPr="0047772A">
              <w:rPr>
                <w:sz w:val="18"/>
                <w:szCs w:val="18"/>
                <w:lang w:val="es-ES"/>
              </w:rPr>
              <w:t xml:space="preserve"> de Llobregat - </w:t>
            </w:r>
            <w:proofErr w:type="gramStart"/>
            <w:r w:rsidRPr="0047772A">
              <w:rPr>
                <w:sz w:val="18"/>
                <w:szCs w:val="18"/>
                <w:lang w:val="es-ES"/>
              </w:rPr>
              <w:t>Barcelona)*</w:t>
            </w:r>
            <w:proofErr w:type="gramEnd"/>
          </w:p>
          <w:p w:rsidR="00322ADF" w:rsidRPr="0047772A" w:rsidRDefault="00322ADF" w:rsidP="006667FC">
            <w:pPr>
              <w:rPr>
                <w:sz w:val="18"/>
                <w:szCs w:val="18"/>
                <w:lang w:val="es-ES"/>
              </w:rPr>
            </w:pPr>
            <w:r w:rsidRPr="0047772A">
              <w:rPr>
                <w:sz w:val="18"/>
                <w:szCs w:val="18"/>
                <w:lang w:val="es-ES"/>
              </w:rPr>
              <w:t xml:space="preserve">Hospital Universitario Central de Asturias (Oviedo - </w:t>
            </w:r>
            <w:proofErr w:type="gramStart"/>
            <w:r w:rsidRPr="0047772A">
              <w:rPr>
                <w:sz w:val="18"/>
                <w:szCs w:val="18"/>
                <w:lang w:val="es-ES"/>
              </w:rPr>
              <w:t>Asturias)*</w:t>
            </w:r>
            <w:proofErr w:type="gramEnd"/>
          </w:p>
          <w:p w:rsidR="00322ADF" w:rsidRPr="0047772A" w:rsidRDefault="00322ADF" w:rsidP="006667FC">
            <w:pPr>
              <w:rPr>
                <w:sz w:val="18"/>
                <w:szCs w:val="18"/>
                <w:lang w:val="es-ES"/>
              </w:rPr>
            </w:pPr>
            <w:r w:rsidRPr="0047772A">
              <w:rPr>
                <w:sz w:val="18"/>
                <w:szCs w:val="18"/>
                <w:lang w:val="es-ES"/>
              </w:rPr>
              <w:t xml:space="preserve">Hospital Universitario Marqués de </w:t>
            </w:r>
            <w:proofErr w:type="spellStart"/>
            <w:r w:rsidRPr="0047772A">
              <w:rPr>
                <w:sz w:val="18"/>
                <w:szCs w:val="18"/>
                <w:lang w:val="es-ES"/>
              </w:rPr>
              <w:t>Valdecilla</w:t>
            </w:r>
            <w:proofErr w:type="spellEnd"/>
            <w:r w:rsidRPr="0047772A">
              <w:rPr>
                <w:sz w:val="18"/>
                <w:szCs w:val="18"/>
                <w:lang w:val="es-ES"/>
              </w:rPr>
              <w:t xml:space="preserve"> (Santander - Cantabria)</w:t>
            </w:r>
          </w:p>
          <w:p w:rsidR="00322ADF" w:rsidRPr="0047772A" w:rsidRDefault="00322ADF" w:rsidP="006667FC">
            <w:pPr>
              <w:ind w:left="-108"/>
              <w:rPr>
                <w:sz w:val="18"/>
                <w:szCs w:val="18"/>
                <w:lang w:val="es-ES"/>
              </w:rPr>
            </w:pPr>
          </w:p>
          <w:p w:rsidR="00322ADF" w:rsidRPr="007E1A6B" w:rsidRDefault="00322ADF" w:rsidP="006667FC">
            <w:pPr>
              <w:ind w:left="-108"/>
              <w:rPr>
                <w:i/>
                <w:iCs/>
                <w:sz w:val="16"/>
                <w:szCs w:val="16"/>
              </w:rPr>
            </w:pPr>
            <w:r w:rsidRPr="007E1A6B">
              <w:rPr>
                <w:i/>
                <w:iCs/>
                <w:sz w:val="16"/>
                <w:szCs w:val="16"/>
              </w:rPr>
              <w:t>*These sites did not enroll patients in the study</w:t>
            </w:r>
          </w:p>
          <w:p w:rsidR="00322ADF" w:rsidRPr="007E1A6B" w:rsidRDefault="00322ADF" w:rsidP="006667FC">
            <w:pPr>
              <w:ind w:left="-108"/>
              <w:rPr>
                <w:sz w:val="18"/>
                <w:szCs w:val="18"/>
              </w:rPr>
            </w:pPr>
          </w:p>
        </w:tc>
      </w:tr>
      <w:tr w:rsidR="00322ADF" w:rsidRPr="007E1A6B" w:rsidTr="006667FC">
        <w:tc>
          <w:tcPr>
            <w:tcW w:w="1728" w:type="dxa"/>
          </w:tcPr>
          <w:p w:rsidR="00322ADF" w:rsidRPr="007E1A6B" w:rsidRDefault="00322ADF" w:rsidP="006667FC">
            <w:pPr>
              <w:rPr>
                <w:sz w:val="18"/>
                <w:szCs w:val="18"/>
              </w:rPr>
            </w:pPr>
            <w:r w:rsidRPr="007E1A6B">
              <w:rPr>
                <w:sz w:val="18"/>
                <w:szCs w:val="18"/>
              </w:rPr>
              <w:t>Publication</w:t>
            </w:r>
          </w:p>
        </w:tc>
        <w:tc>
          <w:tcPr>
            <w:tcW w:w="7128" w:type="dxa"/>
            <w:gridSpan w:val="5"/>
          </w:tcPr>
          <w:p w:rsidR="00322ADF" w:rsidRPr="007E1A6B" w:rsidRDefault="00322ADF" w:rsidP="006667FC">
            <w:pPr>
              <w:rPr>
                <w:sz w:val="18"/>
                <w:szCs w:val="18"/>
              </w:rPr>
            </w:pPr>
            <w:r w:rsidRPr="007E1A6B">
              <w:rPr>
                <w:sz w:val="18"/>
                <w:szCs w:val="18"/>
              </w:rPr>
              <w:t>N/A</w:t>
            </w:r>
          </w:p>
          <w:p w:rsidR="00322ADF" w:rsidRPr="007E1A6B" w:rsidRDefault="00322ADF" w:rsidP="006667FC">
            <w:pPr>
              <w:rPr>
                <w:sz w:val="18"/>
                <w:szCs w:val="18"/>
              </w:rPr>
            </w:pPr>
          </w:p>
        </w:tc>
      </w:tr>
      <w:tr w:rsidR="00322ADF" w:rsidRPr="007E1A6B" w:rsidTr="006667FC">
        <w:tc>
          <w:tcPr>
            <w:tcW w:w="1728" w:type="dxa"/>
          </w:tcPr>
          <w:p w:rsidR="00322ADF" w:rsidRPr="007E1A6B" w:rsidRDefault="00322ADF" w:rsidP="006667FC">
            <w:pPr>
              <w:rPr>
                <w:sz w:val="18"/>
                <w:szCs w:val="18"/>
              </w:rPr>
            </w:pPr>
            <w:r w:rsidRPr="007E1A6B">
              <w:rPr>
                <w:sz w:val="18"/>
                <w:szCs w:val="18"/>
              </w:rPr>
              <w:t>Study period</w:t>
            </w:r>
          </w:p>
        </w:tc>
        <w:tc>
          <w:tcPr>
            <w:tcW w:w="2376" w:type="dxa"/>
          </w:tcPr>
          <w:p w:rsidR="00322ADF" w:rsidRPr="007E1A6B" w:rsidRDefault="00322ADF" w:rsidP="006667FC">
            <w:pPr>
              <w:rPr>
                <w:sz w:val="18"/>
                <w:szCs w:val="18"/>
              </w:rPr>
            </w:pPr>
            <w:r w:rsidRPr="007E1A6B">
              <w:rPr>
                <w:sz w:val="18"/>
                <w:szCs w:val="18"/>
              </w:rPr>
              <w:t>From: 12/5/2018</w:t>
            </w:r>
          </w:p>
          <w:p w:rsidR="00322ADF" w:rsidRPr="007E1A6B" w:rsidRDefault="00322ADF" w:rsidP="006667FC">
            <w:pPr>
              <w:rPr>
                <w:sz w:val="18"/>
                <w:szCs w:val="18"/>
              </w:rPr>
            </w:pPr>
            <w:r w:rsidRPr="007E1A6B">
              <w:rPr>
                <w:sz w:val="18"/>
                <w:szCs w:val="18"/>
              </w:rPr>
              <w:t xml:space="preserve">To: 1/15/2021     </w:t>
            </w:r>
          </w:p>
        </w:tc>
        <w:tc>
          <w:tcPr>
            <w:tcW w:w="2376" w:type="dxa"/>
            <w:gridSpan w:val="2"/>
          </w:tcPr>
          <w:p w:rsidR="00322ADF" w:rsidRPr="007E1A6B" w:rsidRDefault="00322ADF" w:rsidP="006667FC">
            <w:pPr>
              <w:rPr>
                <w:sz w:val="18"/>
                <w:szCs w:val="18"/>
              </w:rPr>
            </w:pPr>
            <w:r w:rsidRPr="007E1A6B">
              <w:rPr>
                <w:sz w:val="18"/>
                <w:szCs w:val="18"/>
              </w:rPr>
              <w:t>Phase of development</w:t>
            </w:r>
          </w:p>
        </w:tc>
        <w:tc>
          <w:tcPr>
            <w:tcW w:w="2376" w:type="dxa"/>
            <w:gridSpan w:val="2"/>
          </w:tcPr>
          <w:p w:rsidR="00322ADF" w:rsidRPr="007E1A6B" w:rsidRDefault="00322ADF" w:rsidP="006667FC">
            <w:pPr>
              <w:rPr>
                <w:sz w:val="18"/>
                <w:szCs w:val="18"/>
              </w:rPr>
            </w:pPr>
            <w:r w:rsidRPr="007E1A6B">
              <w:rPr>
                <w:sz w:val="18"/>
                <w:szCs w:val="18"/>
              </w:rPr>
              <w:t xml:space="preserve"> Phase II</w:t>
            </w:r>
          </w:p>
          <w:p w:rsidR="00322ADF" w:rsidRPr="007E1A6B" w:rsidRDefault="00322ADF" w:rsidP="006667FC">
            <w:pPr>
              <w:rPr>
                <w:sz w:val="18"/>
                <w:szCs w:val="18"/>
              </w:rPr>
            </w:pPr>
          </w:p>
        </w:tc>
      </w:tr>
      <w:tr w:rsidR="00322ADF" w:rsidRPr="007E1A6B" w:rsidTr="006667FC">
        <w:tc>
          <w:tcPr>
            <w:tcW w:w="1728" w:type="dxa"/>
          </w:tcPr>
          <w:p w:rsidR="00322ADF" w:rsidRPr="007E1A6B" w:rsidRDefault="00322ADF" w:rsidP="006667FC">
            <w:pPr>
              <w:rPr>
                <w:sz w:val="18"/>
                <w:szCs w:val="18"/>
              </w:rPr>
            </w:pPr>
            <w:r w:rsidRPr="007E1A6B">
              <w:rPr>
                <w:sz w:val="18"/>
                <w:szCs w:val="18"/>
              </w:rPr>
              <w:t>Objectives</w:t>
            </w:r>
          </w:p>
        </w:tc>
        <w:tc>
          <w:tcPr>
            <w:tcW w:w="7128" w:type="dxa"/>
            <w:gridSpan w:val="5"/>
          </w:tcPr>
          <w:p w:rsidR="00322ADF" w:rsidRPr="007E1A6B" w:rsidRDefault="00322ADF" w:rsidP="006667FC">
            <w:pPr>
              <w:rPr>
                <w:sz w:val="18"/>
                <w:szCs w:val="18"/>
                <w:u w:val="single"/>
              </w:rPr>
            </w:pPr>
            <w:r w:rsidRPr="007E1A6B">
              <w:rPr>
                <w:sz w:val="18"/>
                <w:szCs w:val="18"/>
                <w:u w:val="single"/>
              </w:rPr>
              <w:t>Primary Objective</w:t>
            </w:r>
          </w:p>
          <w:p w:rsidR="00322ADF" w:rsidRPr="007E1A6B" w:rsidRDefault="00322ADF" w:rsidP="006667FC">
            <w:pPr>
              <w:jc w:val="both"/>
              <w:rPr>
                <w:sz w:val="18"/>
                <w:szCs w:val="18"/>
              </w:rPr>
            </w:pPr>
            <w:r w:rsidRPr="007E1A6B">
              <w:rPr>
                <w:sz w:val="18"/>
                <w:szCs w:val="18"/>
              </w:rPr>
              <w:t xml:space="preserve">To evaluate the effectiveness of preoperative treatment with cabozantinib, measured by the radiological response rate prior to CN, in patients with advanced or metastatic renal cell carcinoma who are candidates for </w:t>
            </w:r>
            <w:proofErr w:type="spellStart"/>
            <w:r w:rsidRPr="007E1A6B">
              <w:rPr>
                <w:sz w:val="18"/>
                <w:szCs w:val="18"/>
              </w:rPr>
              <w:t>cytoreductive</w:t>
            </w:r>
            <w:proofErr w:type="spellEnd"/>
            <w:r w:rsidRPr="007E1A6B">
              <w:rPr>
                <w:sz w:val="18"/>
                <w:szCs w:val="18"/>
              </w:rPr>
              <w:t xml:space="preserve"> nephrectomy.</w:t>
            </w:r>
          </w:p>
          <w:p w:rsidR="00322ADF" w:rsidRPr="007E1A6B" w:rsidRDefault="00322ADF" w:rsidP="006667FC">
            <w:pPr>
              <w:jc w:val="both"/>
              <w:rPr>
                <w:sz w:val="18"/>
                <w:szCs w:val="18"/>
              </w:rPr>
            </w:pPr>
          </w:p>
          <w:p w:rsidR="00322ADF" w:rsidRPr="007E1A6B" w:rsidRDefault="00322ADF" w:rsidP="006667FC">
            <w:pPr>
              <w:rPr>
                <w:sz w:val="18"/>
                <w:szCs w:val="18"/>
                <w:u w:val="single"/>
              </w:rPr>
            </w:pPr>
            <w:r w:rsidRPr="007E1A6B">
              <w:rPr>
                <w:sz w:val="18"/>
                <w:szCs w:val="18"/>
                <w:u w:val="single"/>
              </w:rPr>
              <w:t>Secondary Objective</w:t>
            </w:r>
          </w:p>
          <w:p w:rsidR="00322ADF" w:rsidRPr="007E1A6B" w:rsidRDefault="00322ADF" w:rsidP="00322ADF">
            <w:pPr>
              <w:numPr>
                <w:ilvl w:val="0"/>
                <w:numId w:val="5"/>
              </w:numPr>
              <w:jc w:val="both"/>
              <w:rPr>
                <w:sz w:val="18"/>
                <w:szCs w:val="18"/>
              </w:rPr>
            </w:pPr>
            <w:r w:rsidRPr="007E1A6B">
              <w:rPr>
                <w:sz w:val="18"/>
                <w:szCs w:val="18"/>
              </w:rPr>
              <w:t xml:space="preserve">To evaluate radiological response rates </w:t>
            </w:r>
            <w:proofErr w:type="gramStart"/>
            <w:r w:rsidRPr="007E1A6B">
              <w:rPr>
                <w:sz w:val="18"/>
                <w:szCs w:val="18"/>
              </w:rPr>
              <w:t>during treatment with cabozantinib in patients with advanced or metastatic renal cell carcinoma</w:t>
            </w:r>
            <w:proofErr w:type="gramEnd"/>
            <w:r w:rsidRPr="007E1A6B">
              <w:rPr>
                <w:sz w:val="18"/>
                <w:szCs w:val="18"/>
              </w:rPr>
              <w:t xml:space="preserve"> who are candidates for CN.</w:t>
            </w:r>
          </w:p>
          <w:p w:rsidR="00322ADF" w:rsidRPr="007E1A6B" w:rsidRDefault="00322ADF" w:rsidP="00322ADF">
            <w:pPr>
              <w:numPr>
                <w:ilvl w:val="0"/>
                <w:numId w:val="5"/>
              </w:numPr>
              <w:jc w:val="both"/>
              <w:rPr>
                <w:sz w:val="18"/>
                <w:szCs w:val="18"/>
              </w:rPr>
            </w:pPr>
            <w:r w:rsidRPr="007E1A6B">
              <w:rPr>
                <w:sz w:val="18"/>
                <w:szCs w:val="18"/>
              </w:rPr>
              <w:t>To evaluate progression-free survival in patients undergoing CN after treatment with cabozantinib.</w:t>
            </w:r>
          </w:p>
          <w:p w:rsidR="00322ADF" w:rsidRPr="007E1A6B" w:rsidRDefault="00322ADF" w:rsidP="00322ADF">
            <w:pPr>
              <w:numPr>
                <w:ilvl w:val="0"/>
                <w:numId w:val="5"/>
              </w:numPr>
              <w:jc w:val="both"/>
              <w:rPr>
                <w:sz w:val="18"/>
                <w:szCs w:val="18"/>
              </w:rPr>
            </w:pPr>
            <w:r w:rsidRPr="007E1A6B">
              <w:rPr>
                <w:sz w:val="18"/>
                <w:szCs w:val="18"/>
              </w:rPr>
              <w:t>To evaluate overall survival in patients undergoing CN after a 12-week cycle of treatment with cabozantinib.</w:t>
            </w:r>
          </w:p>
          <w:p w:rsidR="00322ADF" w:rsidRPr="007E1A6B" w:rsidRDefault="00322ADF" w:rsidP="00322ADF">
            <w:pPr>
              <w:numPr>
                <w:ilvl w:val="0"/>
                <w:numId w:val="5"/>
              </w:numPr>
              <w:jc w:val="both"/>
              <w:rPr>
                <w:sz w:val="18"/>
                <w:szCs w:val="18"/>
              </w:rPr>
            </w:pPr>
            <w:r w:rsidRPr="007E1A6B">
              <w:rPr>
                <w:sz w:val="18"/>
                <w:szCs w:val="18"/>
              </w:rPr>
              <w:t xml:space="preserve">To evaluate the safety and tolerance of cabozantinib when administered before </w:t>
            </w:r>
            <w:proofErr w:type="spellStart"/>
            <w:r w:rsidRPr="007E1A6B">
              <w:rPr>
                <w:sz w:val="18"/>
                <w:szCs w:val="18"/>
              </w:rPr>
              <w:t>cytoreductive</w:t>
            </w:r>
            <w:proofErr w:type="spellEnd"/>
            <w:r w:rsidRPr="007E1A6B">
              <w:rPr>
                <w:sz w:val="18"/>
                <w:szCs w:val="18"/>
              </w:rPr>
              <w:t xml:space="preserve"> surgery, </w:t>
            </w:r>
            <w:proofErr w:type="gramStart"/>
            <w:r w:rsidRPr="007E1A6B">
              <w:rPr>
                <w:sz w:val="18"/>
                <w:szCs w:val="18"/>
              </w:rPr>
              <w:t>on the basis of</w:t>
            </w:r>
            <w:proofErr w:type="gramEnd"/>
            <w:r w:rsidRPr="007E1A6B">
              <w:rPr>
                <w:sz w:val="18"/>
                <w:szCs w:val="18"/>
              </w:rPr>
              <w:t xml:space="preserve"> the incidence and intensity of treatment-related adverse events reported during the study and classified according to the NCI CTCAE v4.03, and surgical complications according to the </w:t>
            </w:r>
            <w:proofErr w:type="spellStart"/>
            <w:r w:rsidRPr="007E1A6B">
              <w:rPr>
                <w:sz w:val="18"/>
                <w:szCs w:val="18"/>
              </w:rPr>
              <w:t>Clavien-Dindo</w:t>
            </w:r>
            <w:proofErr w:type="spellEnd"/>
            <w:r w:rsidRPr="007E1A6B">
              <w:rPr>
                <w:sz w:val="18"/>
                <w:szCs w:val="18"/>
              </w:rPr>
              <w:t xml:space="preserve"> classification system.</w:t>
            </w:r>
          </w:p>
          <w:p w:rsidR="00322ADF" w:rsidRPr="007E1A6B" w:rsidRDefault="00322ADF" w:rsidP="00322ADF">
            <w:pPr>
              <w:numPr>
                <w:ilvl w:val="0"/>
                <w:numId w:val="5"/>
              </w:numPr>
              <w:jc w:val="both"/>
              <w:rPr>
                <w:sz w:val="18"/>
                <w:szCs w:val="18"/>
              </w:rPr>
            </w:pPr>
            <w:r w:rsidRPr="007E1A6B">
              <w:rPr>
                <w:sz w:val="18"/>
                <w:szCs w:val="18"/>
              </w:rPr>
              <w:t>To evaluate changes in serum molecular markers of renal cell carcinoma associated with cabozantinib treatment in patients who are candidates for CN.</w:t>
            </w:r>
          </w:p>
          <w:p w:rsidR="00322ADF" w:rsidRPr="007E1A6B" w:rsidRDefault="00322ADF" w:rsidP="00322ADF">
            <w:pPr>
              <w:numPr>
                <w:ilvl w:val="0"/>
                <w:numId w:val="5"/>
              </w:numPr>
              <w:jc w:val="both"/>
              <w:rPr>
                <w:sz w:val="18"/>
                <w:szCs w:val="18"/>
              </w:rPr>
            </w:pPr>
            <w:r w:rsidRPr="007E1A6B">
              <w:rPr>
                <w:sz w:val="18"/>
                <w:szCs w:val="18"/>
              </w:rPr>
              <w:t>To improve understanding of the mechanism of action of cabozantinib.*</w:t>
            </w:r>
          </w:p>
          <w:p w:rsidR="00322ADF" w:rsidRPr="007E1A6B" w:rsidRDefault="00322ADF" w:rsidP="00322ADF">
            <w:pPr>
              <w:numPr>
                <w:ilvl w:val="0"/>
                <w:numId w:val="5"/>
              </w:numPr>
              <w:jc w:val="both"/>
              <w:rPr>
                <w:sz w:val="18"/>
                <w:szCs w:val="18"/>
              </w:rPr>
            </w:pPr>
            <w:r w:rsidRPr="007E1A6B">
              <w:rPr>
                <w:sz w:val="18"/>
                <w:szCs w:val="18"/>
              </w:rPr>
              <w:t>To evaluate the relationship between the expression of C-MET in tissue, C-MET in tumor-derived exosomes, and cabozantinib effectiveness.*</w:t>
            </w:r>
          </w:p>
          <w:p w:rsidR="00322ADF" w:rsidRPr="007E1A6B" w:rsidRDefault="00322ADF" w:rsidP="00322ADF">
            <w:pPr>
              <w:numPr>
                <w:ilvl w:val="0"/>
                <w:numId w:val="5"/>
              </w:numPr>
              <w:jc w:val="both"/>
              <w:rPr>
                <w:sz w:val="18"/>
                <w:szCs w:val="18"/>
              </w:rPr>
            </w:pPr>
            <w:r w:rsidRPr="007E1A6B">
              <w:rPr>
                <w:sz w:val="18"/>
                <w:szCs w:val="18"/>
              </w:rPr>
              <w:t>To improve understanding and knowledge of the biology of the disease and response to the drug. For these purposes, analyses performed during the study will include:</w:t>
            </w:r>
          </w:p>
          <w:p w:rsidR="00322ADF" w:rsidRPr="007E1A6B" w:rsidRDefault="00322ADF" w:rsidP="006667FC">
            <w:pPr>
              <w:ind w:left="1134"/>
              <w:jc w:val="both"/>
              <w:rPr>
                <w:sz w:val="18"/>
                <w:szCs w:val="18"/>
              </w:rPr>
            </w:pPr>
            <w:r w:rsidRPr="007E1A6B">
              <w:rPr>
                <w:sz w:val="18"/>
                <w:szCs w:val="18"/>
              </w:rPr>
              <w:t>Determination of tumor exome, transcriptome, and proteome.</w:t>
            </w:r>
          </w:p>
          <w:p w:rsidR="00322ADF" w:rsidRPr="007E1A6B" w:rsidRDefault="00322ADF" w:rsidP="006667FC">
            <w:pPr>
              <w:pStyle w:val="Sangranormal"/>
              <w:ind w:left="0"/>
              <w:rPr>
                <w:sz w:val="18"/>
                <w:szCs w:val="18"/>
              </w:rPr>
            </w:pPr>
          </w:p>
        </w:tc>
      </w:tr>
      <w:tr w:rsidR="00322ADF" w:rsidRPr="007E1A6B" w:rsidTr="006667FC">
        <w:tc>
          <w:tcPr>
            <w:tcW w:w="1728" w:type="dxa"/>
          </w:tcPr>
          <w:p w:rsidR="00322ADF" w:rsidRPr="007E1A6B" w:rsidRDefault="00322ADF" w:rsidP="006667FC">
            <w:pPr>
              <w:rPr>
                <w:sz w:val="18"/>
                <w:szCs w:val="18"/>
              </w:rPr>
            </w:pPr>
            <w:r w:rsidRPr="007E1A6B">
              <w:rPr>
                <w:sz w:val="18"/>
                <w:szCs w:val="18"/>
              </w:rPr>
              <w:t>Methodology</w:t>
            </w:r>
          </w:p>
        </w:tc>
        <w:tc>
          <w:tcPr>
            <w:tcW w:w="7128" w:type="dxa"/>
            <w:gridSpan w:val="5"/>
          </w:tcPr>
          <w:p w:rsidR="00322ADF" w:rsidRPr="007E1A6B" w:rsidRDefault="00322ADF" w:rsidP="006667FC">
            <w:pPr>
              <w:jc w:val="both"/>
              <w:rPr>
                <w:sz w:val="18"/>
                <w:szCs w:val="18"/>
              </w:rPr>
            </w:pPr>
            <w:r w:rsidRPr="007E1A6B">
              <w:rPr>
                <w:sz w:val="18"/>
                <w:szCs w:val="18"/>
              </w:rPr>
              <w:t xml:space="preserve">National multi-center uncontrolled Phase II trial for the evaluation of treatment with cabozantinib prior to </w:t>
            </w:r>
            <w:proofErr w:type="spellStart"/>
            <w:r w:rsidRPr="007E1A6B">
              <w:rPr>
                <w:sz w:val="18"/>
                <w:szCs w:val="18"/>
              </w:rPr>
              <w:t>cytoreductive</w:t>
            </w:r>
            <w:proofErr w:type="spellEnd"/>
            <w:r w:rsidRPr="007E1A6B">
              <w:rPr>
                <w:sz w:val="18"/>
                <w:szCs w:val="18"/>
              </w:rPr>
              <w:t xml:space="preserve"> nephrectomy.</w:t>
            </w:r>
          </w:p>
        </w:tc>
      </w:tr>
      <w:tr w:rsidR="00322ADF" w:rsidRPr="007E1A6B" w:rsidTr="006667FC">
        <w:tc>
          <w:tcPr>
            <w:tcW w:w="1728" w:type="dxa"/>
          </w:tcPr>
          <w:p w:rsidR="00322ADF" w:rsidRPr="007E1A6B" w:rsidRDefault="00322ADF" w:rsidP="006667FC">
            <w:pPr>
              <w:rPr>
                <w:sz w:val="18"/>
                <w:szCs w:val="18"/>
              </w:rPr>
            </w:pPr>
            <w:r w:rsidRPr="007E1A6B">
              <w:rPr>
                <w:sz w:val="18"/>
                <w:szCs w:val="18"/>
              </w:rPr>
              <w:t>Number of patients</w:t>
            </w:r>
          </w:p>
        </w:tc>
        <w:tc>
          <w:tcPr>
            <w:tcW w:w="7128" w:type="dxa"/>
            <w:gridSpan w:val="5"/>
          </w:tcPr>
          <w:p w:rsidR="00322ADF" w:rsidRPr="007E1A6B" w:rsidRDefault="00322ADF" w:rsidP="006667FC">
            <w:pPr>
              <w:rPr>
                <w:sz w:val="18"/>
                <w:szCs w:val="18"/>
              </w:rPr>
            </w:pPr>
            <w:r w:rsidRPr="007E1A6B">
              <w:rPr>
                <w:sz w:val="18"/>
                <w:szCs w:val="18"/>
              </w:rPr>
              <w:t>Planned:   50</w:t>
            </w:r>
          </w:p>
          <w:p w:rsidR="00322ADF" w:rsidRPr="007E1A6B" w:rsidRDefault="00322ADF" w:rsidP="006667FC">
            <w:pPr>
              <w:rPr>
                <w:sz w:val="18"/>
                <w:szCs w:val="18"/>
              </w:rPr>
            </w:pPr>
          </w:p>
          <w:p w:rsidR="00322ADF" w:rsidRPr="007E1A6B" w:rsidRDefault="00322ADF" w:rsidP="006667FC">
            <w:pPr>
              <w:rPr>
                <w:sz w:val="18"/>
                <w:szCs w:val="18"/>
              </w:rPr>
            </w:pPr>
            <w:r w:rsidRPr="007E1A6B">
              <w:rPr>
                <w:sz w:val="18"/>
                <w:szCs w:val="18"/>
              </w:rPr>
              <w:t>Screened:  21</w:t>
            </w:r>
          </w:p>
          <w:p w:rsidR="00322ADF" w:rsidRPr="007E1A6B" w:rsidRDefault="00322ADF" w:rsidP="006667FC">
            <w:pPr>
              <w:rPr>
                <w:sz w:val="18"/>
                <w:szCs w:val="18"/>
              </w:rPr>
            </w:pPr>
          </w:p>
          <w:p w:rsidR="00322ADF" w:rsidRPr="007E1A6B" w:rsidRDefault="00322ADF" w:rsidP="00322ADF">
            <w:pPr>
              <w:numPr>
                <w:ilvl w:val="0"/>
                <w:numId w:val="7"/>
              </w:numPr>
              <w:rPr>
                <w:sz w:val="18"/>
                <w:szCs w:val="18"/>
              </w:rPr>
            </w:pPr>
            <w:r w:rsidRPr="007E1A6B">
              <w:rPr>
                <w:sz w:val="18"/>
                <w:szCs w:val="18"/>
              </w:rPr>
              <w:t>Full Analysis Set (FAS): 18</w:t>
            </w:r>
          </w:p>
          <w:p w:rsidR="00322ADF" w:rsidRPr="007E1A6B" w:rsidRDefault="00322ADF" w:rsidP="00322ADF">
            <w:pPr>
              <w:numPr>
                <w:ilvl w:val="0"/>
                <w:numId w:val="7"/>
              </w:numPr>
              <w:rPr>
                <w:sz w:val="18"/>
                <w:szCs w:val="18"/>
              </w:rPr>
            </w:pPr>
            <w:r w:rsidRPr="007E1A6B">
              <w:rPr>
                <w:sz w:val="18"/>
                <w:szCs w:val="18"/>
              </w:rPr>
              <w:t>Per protocol (PP):15</w:t>
            </w:r>
          </w:p>
          <w:p w:rsidR="00322ADF" w:rsidRPr="007E1A6B" w:rsidRDefault="00322ADF" w:rsidP="00322ADF">
            <w:pPr>
              <w:numPr>
                <w:ilvl w:val="0"/>
                <w:numId w:val="7"/>
              </w:numPr>
              <w:rPr>
                <w:sz w:val="18"/>
                <w:szCs w:val="18"/>
              </w:rPr>
            </w:pPr>
            <w:r w:rsidRPr="007E1A6B">
              <w:rPr>
                <w:sz w:val="18"/>
                <w:szCs w:val="18"/>
              </w:rPr>
              <w:lastRenderedPageBreak/>
              <w:t>Safety Analysis Set (SAF): 18</w:t>
            </w:r>
          </w:p>
          <w:p w:rsidR="00322ADF" w:rsidRPr="007E1A6B" w:rsidRDefault="00322ADF" w:rsidP="006667FC">
            <w:pPr>
              <w:rPr>
                <w:sz w:val="18"/>
                <w:szCs w:val="18"/>
              </w:rPr>
            </w:pPr>
          </w:p>
        </w:tc>
      </w:tr>
      <w:tr w:rsidR="00322ADF" w:rsidRPr="007E1A6B" w:rsidTr="006667FC">
        <w:tc>
          <w:tcPr>
            <w:tcW w:w="1728" w:type="dxa"/>
          </w:tcPr>
          <w:p w:rsidR="00322ADF" w:rsidRPr="007E1A6B" w:rsidRDefault="00322ADF" w:rsidP="006667FC">
            <w:pPr>
              <w:rPr>
                <w:sz w:val="18"/>
                <w:szCs w:val="18"/>
              </w:rPr>
            </w:pPr>
            <w:r w:rsidRPr="007E1A6B">
              <w:rPr>
                <w:sz w:val="18"/>
                <w:szCs w:val="18"/>
              </w:rPr>
              <w:lastRenderedPageBreak/>
              <w:t>Diagnosis and main criteria for inclusion</w:t>
            </w:r>
          </w:p>
        </w:tc>
        <w:tc>
          <w:tcPr>
            <w:tcW w:w="7128" w:type="dxa"/>
            <w:gridSpan w:val="5"/>
          </w:tcPr>
          <w:p w:rsidR="00322ADF" w:rsidRPr="007E1A6B" w:rsidRDefault="00322ADF" w:rsidP="006667FC">
            <w:pPr>
              <w:jc w:val="both"/>
              <w:rPr>
                <w:sz w:val="18"/>
                <w:szCs w:val="18"/>
              </w:rPr>
            </w:pPr>
            <w:r w:rsidRPr="007E1A6B">
              <w:rPr>
                <w:sz w:val="18"/>
                <w:szCs w:val="18"/>
              </w:rPr>
              <w:t xml:space="preserve">The study population </w:t>
            </w:r>
            <w:proofErr w:type="gramStart"/>
            <w:r w:rsidRPr="007E1A6B">
              <w:rPr>
                <w:sz w:val="18"/>
                <w:szCs w:val="18"/>
              </w:rPr>
              <w:t>was made up</w:t>
            </w:r>
            <w:proofErr w:type="gramEnd"/>
            <w:r w:rsidRPr="007E1A6B">
              <w:rPr>
                <w:sz w:val="18"/>
                <w:szCs w:val="18"/>
              </w:rPr>
              <w:t xml:space="preserve"> of patients with advanced or metastatic renal cell carcinoma who were candidates for primary tumor CN.</w:t>
            </w:r>
          </w:p>
          <w:p w:rsidR="00322ADF" w:rsidRPr="007E1A6B" w:rsidRDefault="00322ADF" w:rsidP="006667FC">
            <w:pPr>
              <w:jc w:val="both"/>
              <w:rPr>
                <w:b/>
                <w:sz w:val="18"/>
                <w:szCs w:val="18"/>
              </w:rPr>
            </w:pPr>
          </w:p>
          <w:p w:rsidR="00322ADF" w:rsidRPr="007E1A6B" w:rsidRDefault="00322ADF" w:rsidP="006667FC">
            <w:pPr>
              <w:jc w:val="both"/>
              <w:rPr>
                <w:sz w:val="18"/>
                <w:szCs w:val="18"/>
              </w:rPr>
            </w:pPr>
            <w:r w:rsidRPr="007E1A6B">
              <w:rPr>
                <w:b/>
                <w:sz w:val="18"/>
                <w:szCs w:val="18"/>
              </w:rPr>
              <w:t>Inclusion Criteria</w:t>
            </w:r>
          </w:p>
          <w:p w:rsidR="00322ADF" w:rsidRPr="007E1A6B" w:rsidRDefault="00322ADF" w:rsidP="006667FC">
            <w:pPr>
              <w:jc w:val="both"/>
              <w:rPr>
                <w:sz w:val="18"/>
                <w:szCs w:val="18"/>
              </w:rPr>
            </w:pPr>
            <w:r w:rsidRPr="007E1A6B">
              <w:rPr>
                <w:sz w:val="18"/>
                <w:szCs w:val="18"/>
              </w:rPr>
              <w:t>Patients must meet the following inclusion criteria:</w:t>
            </w:r>
          </w:p>
          <w:p w:rsidR="00322ADF" w:rsidRPr="007E1A6B" w:rsidRDefault="00322ADF" w:rsidP="00322ADF">
            <w:pPr>
              <w:numPr>
                <w:ilvl w:val="0"/>
                <w:numId w:val="1"/>
              </w:numPr>
              <w:jc w:val="both"/>
              <w:rPr>
                <w:sz w:val="18"/>
                <w:szCs w:val="18"/>
              </w:rPr>
            </w:pPr>
            <w:r w:rsidRPr="007E1A6B">
              <w:rPr>
                <w:sz w:val="18"/>
                <w:szCs w:val="18"/>
              </w:rPr>
              <w:t>Patients with locally advanced or metastatic renal cell carcinoma with a clear cell component confirmed histologically by biopsy.</w:t>
            </w:r>
          </w:p>
          <w:p w:rsidR="00322ADF" w:rsidRPr="007E1A6B" w:rsidRDefault="00322ADF" w:rsidP="00322ADF">
            <w:pPr>
              <w:numPr>
                <w:ilvl w:val="0"/>
                <w:numId w:val="1"/>
              </w:numPr>
              <w:jc w:val="both"/>
              <w:rPr>
                <w:sz w:val="18"/>
                <w:szCs w:val="18"/>
              </w:rPr>
            </w:pPr>
            <w:r w:rsidRPr="007E1A6B">
              <w:rPr>
                <w:sz w:val="18"/>
                <w:szCs w:val="18"/>
              </w:rPr>
              <w:t>Patients eligible for CN according to their surgical risk established in routine clinical practice at the site.</w:t>
            </w:r>
          </w:p>
          <w:p w:rsidR="00322ADF" w:rsidRPr="007E1A6B" w:rsidRDefault="00322ADF" w:rsidP="00322ADF">
            <w:pPr>
              <w:numPr>
                <w:ilvl w:val="0"/>
                <w:numId w:val="1"/>
              </w:numPr>
              <w:jc w:val="both"/>
              <w:rPr>
                <w:sz w:val="18"/>
                <w:szCs w:val="18"/>
              </w:rPr>
            </w:pPr>
            <w:r w:rsidRPr="007E1A6B">
              <w:rPr>
                <w:sz w:val="18"/>
                <w:szCs w:val="18"/>
              </w:rPr>
              <w:t>Age ≥ 18 years.</w:t>
            </w:r>
          </w:p>
          <w:p w:rsidR="00322ADF" w:rsidRPr="007E1A6B" w:rsidRDefault="00322ADF" w:rsidP="00322ADF">
            <w:pPr>
              <w:numPr>
                <w:ilvl w:val="0"/>
                <w:numId w:val="1"/>
              </w:numPr>
              <w:jc w:val="both"/>
              <w:rPr>
                <w:sz w:val="18"/>
                <w:szCs w:val="18"/>
              </w:rPr>
            </w:pPr>
            <w:r w:rsidRPr="007E1A6B">
              <w:rPr>
                <w:sz w:val="18"/>
                <w:szCs w:val="18"/>
              </w:rPr>
              <w:t xml:space="preserve">Patients with an ECOG performance status of between </w:t>
            </w:r>
            <w:proofErr w:type="gramStart"/>
            <w:r w:rsidRPr="007E1A6B">
              <w:rPr>
                <w:sz w:val="18"/>
                <w:szCs w:val="18"/>
              </w:rPr>
              <w:t>0</w:t>
            </w:r>
            <w:proofErr w:type="gramEnd"/>
            <w:r w:rsidRPr="007E1A6B">
              <w:rPr>
                <w:sz w:val="18"/>
                <w:szCs w:val="18"/>
              </w:rPr>
              <w:t xml:space="preserve"> and 1.</w:t>
            </w:r>
          </w:p>
          <w:p w:rsidR="00322ADF" w:rsidRPr="007E1A6B" w:rsidRDefault="00322ADF" w:rsidP="00322ADF">
            <w:pPr>
              <w:numPr>
                <w:ilvl w:val="0"/>
                <w:numId w:val="1"/>
              </w:numPr>
              <w:jc w:val="both"/>
              <w:rPr>
                <w:sz w:val="18"/>
                <w:szCs w:val="18"/>
              </w:rPr>
            </w:pPr>
            <w:r w:rsidRPr="007E1A6B">
              <w:rPr>
                <w:sz w:val="18"/>
                <w:szCs w:val="18"/>
              </w:rPr>
              <w:t>Patients with appropriate organ and bone marrow function within 4 weeks prior to starting treatment with cabozantinib:</w:t>
            </w:r>
          </w:p>
          <w:p w:rsidR="00322ADF" w:rsidRPr="007E1A6B" w:rsidRDefault="00322ADF" w:rsidP="00322ADF">
            <w:pPr>
              <w:numPr>
                <w:ilvl w:val="0"/>
                <w:numId w:val="2"/>
              </w:numPr>
              <w:jc w:val="both"/>
              <w:rPr>
                <w:sz w:val="18"/>
                <w:szCs w:val="18"/>
              </w:rPr>
            </w:pPr>
            <w:r w:rsidRPr="007E1A6B">
              <w:rPr>
                <w:sz w:val="18"/>
                <w:szCs w:val="18"/>
              </w:rPr>
              <w:t>Leukocyte count &gt; 4,000 cells/µL</w:t>
            </w:r>
          </w:p>
          <w:p w:rsidR="00322ADF" w:rsidRPr="007E1A6B" w:rsidRDefault="00322ADF" w:rsidP="00322ADF">
            <w:pPr>
              <w:numPr>
                <w:ilvl w:val="0"/>
                <w:numId w:val="2"/>
              </w:numPr>
              <w:jc w:val="both"/>
              <w:rPr>
                <w:sz w:val="18"/>
                <w:szCs w:val="18"/>
              </w:rPr>
            </w:pPr>
            <w:r w:rsidRPr="007E1A6B">
              <w:rPr>
                <w:sz w:val="18"/>
                <w:szCs w:val="18"/>
              </w:rPr>
              <w:t>Hemoglobin &gt; 9 g/dL</w:t>
            </w:r>
          </w:p>
          <w:p w:rsidR="00322ADF" w:rsidRPr="007E1A6B" w:rsidRDefault="00322ADF" w:rsidP="00322ADF">
            <w:pPr>
              <w:numPr>
                <w:ilvl w:val="0"/>
                <w:numId w:val="2"/>
              </w:numPr>
              <w:jc w:val="both"/>
              <w:rPr>
                <w:sz w:val="18"/>
                <w:szCs w:val="18"/>
              </w:rPr>
            </w:pPr>
            <w:r w:rsidRPr="007E1A6B">
              <w:rPr>
                <w:sz w:val="18"/>
                <w:szCs w:val="18"/>
              </w:rPr>
              <w:t>Platelet count &gt; 100,000/mm3</w:t>
            </w:r>
          </w:p>
          <w:p w:rsidR="00322ADF" w:rsidRPr="007E1A6B" w:rsidRDefault="00322ADF" w:rsidP="00322ADF">
            <w:pPr>
              <w:numPr>
                <w:ilvl w:val="0"/>
                <w:numId w:val="2"/>
              </w:numPr>
              <w:jc w:val="both"/>
              <w:rPr>
                <w:sz w:val="18"/>
                <w:szCs w:val="18"/>
              </w:rPr>
            </w:pPr>
            <w:r w:rsidRPr="007E1A6B">
              <w:rPr>
                <w:sz w:val="18"/>
                <w:szCs w:val="18"/>
              </w:rPr>
              <w:t xml:space="preserve">Serum creatinine &lt; 2.0 mg/dL or </w:t>
            </w:r>
            <w:proofErr w:type="gramStart"/>
            <w:r w:rsidRPr="007E1A6B">
              <w:rPr>
                <w:sz w:val="18"/>
                <w:szCs w:val="18"/>
              </w:rPr>
              <w:t>serum creatinine clearance &gt; 30 mL/min</w:t>
            </w:r>
            <w:proofErr w:type="gramEnd"/>
            <w:r w:rsidRPr="007E1A6B">
              <w:rPr>
                <w:sz w:val="18"/>
                <w:szCs w:val="18"/>
              </w:rPr>
              <w:t xml:space="preserve"> (according to the Cockcroft-Gault formula (Cockcroft and Gault 1976).</w:t>
            </w:r>
          </w:p>
          <w:p w:rsidR="00322ADF" w:rsidRPr="007E1A6B" w:rsidRDefault="00322ADF" w:rsidP="00322ADF">
            <w:pPr>
              <w:numPr>
                <w:ilvl w:val="0"/>
                <w:numId w:val="2"/>
              </w:numPr>
              <w:jc w:val="both"/>
              <w:rPr>
                <w:sz w:val="18"/>
                <w:szCs w:val="18"/>
              </w:rPr>
            </w:pPr>
            <w:r w:rsidRPr="007E1A6B">
              <w:rPr>
                <w:sz w:val="18"/>
                <w:szCs w:val="18"/>
              </w:rPr>
              <w:t>Preserved liver function: alanine aminotransferase (ALT) and aspartate aminotransferase (AST) &lt; 2.5 x upper limit of normal (ULN) in the absence of liver metastases</w:t>
            </w:r>
            <w:proofErr w:type="gramStart"/>
            <w:r w:rsidRPr="007E1A6B">
              <w:rPr>
                <w:sz w:val="18"/>
                <w:szCs w:val="18"/>
              </w:rPr>
              <w:t>;</w:t>
            </w:r>
            <w:proofErr w:type="gramEnd"/>
            <w:r w:rsidRPr="007E1A6B">
              <w:rPr>
                <w:sz w:val="18"/>
                <w:szCs w:val="18"/>
              </w:rPr>
              <w:t xml:space="preserve"> &lt; 5 x ULN in the case of liver metastases.</w:t>
            </w:r>
          </w:p>
          <w:p w:rsidR="00322ADF" w:rsidRPr="0047772A" w:rsidRDefault="00322ADF" w:rsidP="00322ADF">
            <w:pPr>
              <w:numPr>
                <w:ilvl w:val="0"/>
                <w:numId w:val="2"/>
              </w:numPr>
              <w:jc w:val="both"/>
              <w:rPr>
                <w:sz w:val="18"/>
                <w:szCs w:val="18"/>
                <w:lang w:val="es-ES"/>
              </w:rPr>
            </w:pPr>
            <w:proofErr w:type="spellStart"/>
            <w:r w:rsidRPr="0047772A">
              <w:rPr>
                <w:sz w:val="18"/>
                <w:szCs w:val="18"/>
                <w:lang w:val="es-ES"/>
              </w:rPr>
              <w:t>Lipase</w:t>
            </w:r>
            <w:proofErr w:type="spellEnd"/>
            <w:r w:rsidRPr="0047772A">
              <w:rPr>
                <w:sz w:val="18"/>
                <w:szCs w:val="18"/>
                <w:lang w:val="es-ES"/>
              </w:rPr>
              <w:t xml:space="preserve"> &lt; 2 x ULN. </w:t>
            </w:r>
            <w:proofErr w:type="spellStart"/>
            <w:r w:rsidRPr="0047772A">
              <w:rPr>
                <w:sz w:val="18"/>
                <w:szCs w:val="18"/>
                <w:lang w:val="es-ES"/>
              </w:rPr>
              <w:t>Amylase</w:t>
            </w:r>
            <w:proofErr w:type="spellEnd"/>
            <w:r w:rsidRPr="0047772A">
              <w:rPr>
                <w:sz w:val="18"/>
                <w:szCs w:val="18"/>
                <w:lang w:val="es-ES"/>
              </w:rPr>
              <w:t xml:space="preserve"> &lt; 2 x ULN.</w:t>
            </w:r>
          </w:p>
          <w:p w:rsidR="00322ADF" w:rsidRPr="007E1A6B" w:rsidRDefault="00322ADF" w:rsidP="00322ADF">
            <w:pPr>
              <w:numPr>
                <w:ilvl w:val="0"/>
                <w:numId w:val="2"/>
              </w:numPr>
              <w:jc w:val="both"/>
              <w:rPr>
                <w:sz w:val="18"/>
                <w:szCs w:val="18"/>
              </w:rPr>
            </w:pPr>
            <w:r w:rsidRPr="007E1A6B">
              <w:rPr>
                <w:sz w:val="18"/>
                <w:szCs w:val="18"/>
              </w:rPr>
              <w:t>INR and APTT ≤ 1.5 x ULN of the site. This only applies to patients who are not receiving therapeutic anticoagulation; patients receiving therapeutic anticoagulation with low molecular weight heparins should maintain stable doses.</w:t>
            </w:r>
          </w:p>
          <w:p w:rsidR="00322ADF" w:rsidRPr="007E1A6B" w:rsidRDefault="00322ADF" w:rsidP="00322ADF">
            <w:pPr>
              <w:numPr>
                <w:ilvl w:val="0"/>
                <w:numId w:val="1"/>
              </w:numPr>
              <w:jc w:val="both"/>
              <w:rPr>
                <w:sz w:val="18"/>
                <w:szCs w:val="18"/>
              </w:rPr>
            </w:pPr>
            <w:r w:rsidRPr="007E1A6B">
              <w:rPr>
                <w:sz w:val="18"/>
                <w:szCs w:val="18"/>
              </w:rPr>
              <w:t>Patients with no radiological or clinical evidence of pancreatitis.</w:t>
            </w:r>
          </w:p>
          <w:p w:rsidR="00322ADF" w:rsidRPr="007E1A6B" w:rsidRDefault="00322ADF" w:rsidP="00322ADF">
            <w:pPr>
              <w:numPr>
                <w:ilvl w:val="0"/>
                <w:numId w:val="1"/>
              </w:numPr>
              <w:jc w:val="both"/>
              <w:rPr>
                <w:sz w:val="18"/>
                <w:szCs w:val="18"/>
              </w:rPr>
            </w:pPr>
            <w:r w:rsidRPr="007E1A6B">
              <w:rPr>
                <w:sz w:val="18"/>
                <w:szCs w:val="18"/>
              </w:rPr>
              <w:t>Patients with evaluable tumor disease according to the RECIST criteria 1.1 (</w:t>
            </w:r>
            <w:proofErr w:type="spellStart"/>
            <w:r w:rsidRPr="007E1A6B">
              <w:rPr>
                <w:sz w:val="18"/>
                <w:szCs w:val="18"/>
              </w:rPr>
              <w:t>Eisenhauer</w:t>
            </w:r>
            <w:proofErr w:type="spellEnd"/>
            <w:r w:rsidRPr="007E1A6B">
              <w:rPr>
                <w:sz w:val="18"/>
                <w:szCs w:val="18"/>
              </w:rPr>
              <w:t xml:space="preserve"> et al. 2009).</w:t>
            </w:r>
          </w:p>
          <w:p w:rsidR="00322ADF" w:rsidRPr="007E1A6B" w:rsidRDefault="00322ADF" w:rsidP="00322ADF">
            <w:pPr>
              <w:numPr>
                <w:ilvl w:val="0"/>
                <w:numId w:val="1"/>
              </w:numPr>
              <w:jc w:val="both"/>
              <w:rPr>
                <w:sz w:val="18"/>
                <w:szCs w:val="18"/>
              </w:rPr>
            </w:pPr>
            <w:r w:rsidRPr="007E1A6B">
              <w:rPr>
                <w:sz w:val="18"/>
                <w:szCs w:val="18"/>
              </w:rPr>
              <w:t>Patients with controlled blood pressure (systolic &lt; 145 mmHg; diastolic blood pressure &lt; 90 mmHg).</w:t>
            </w:r>
          </w:p>
          <w:p w:rsidR="00322ADF" w:rsidRPr="007E1A6B" w:rsidRDefault="00322ADF" w:rsidP="00322ADF">
            <w:pPr>
              <w:numPr>
                <w:ilvl w:val="0"/>
                <w:numId w:val="1"/>
              </w:numPr>
              <w:jc w:val="both"/>
              <w:rPr>
                <w:sz w:val="18"/>
                <w:szCs w:val="18"/>
              </w:rPr>
            </w:pPr>
            <w:r w:rsidRPr="007E1A6B">
              <w:rPr>
                <w:sz w:val="18"/>
                <w:szCs w:val="18"/>
              </w:rPr>
              <w:t>Patients who sign informed consent to participate in the study.</w:t>
            </w:r>
          </w:p>
          <w:p w:rsidR="00322ADF" w:rsidRPr="007E1A6B" w:rsidRDefault="00322ADF" w:rsidP="00322ADF">
            <w:pPr>
              <w:numPr>
                <w:ilvl w:val="0"/>
                <w:numId w:val="1"/>
              </w:numPr>
              <w:jc w:val="both"/>
              <w:rPr>
                <w:sz w:val="18"/>
                <w:szCs w:val="18"/>
              </w:rPr>
            </w:pPr>
            <w:r w:rsidRPr="007E1A6B">
              <w:rPr>
                <w:sz w:val="18"/>
                <w:szCs w:val="18"/>
              </w:rPr>
              <w:t xml:space="preserve">Patients may have brain metastases appropriately treated with radiation therapy and/or surgery (including radiosurgery), as long as they do not require the concomitant use of corticosteroids. </w:t>
            </w:r>
          </w:p>
          <w:p w:rsidR="00322ADF" w:rsidRPr="007E1A6B" w:rsidRDefault="00322ADF" w:rsidP="006667FC">
            <w:pPr>
              <w:jc w:val="both"/>
              <w:rPr>
                <w:b/>
                <w:sz w:val="18"/>
                <w:szCs w:val="18"/>
              </w:rPr>
            </w:pPr>
          </w:p>
          <w:p w:rsidR="00322ADF" w:rsidRPr="007E1A6B" w:rsidRDefault="00322ADF" w:rsidP="006667FC">
            <w:pPr>
              <w:jc w:val="both"/>
              <w:rPr>
                <w:sz w:val="18"/>
                <w:szCs w:val="18"/>
              </w:rPr>
            </w:pPr>
            <w:r w:rsidRPr="007E1A6B">
              <w:rPr>
                <w:b/>
                <w:sz w:val="18"/>
                <w:szCs w:val="18"/>
              </w:rPr>
              <w:t>Exclusion Criteria</w:t>
            </w:r>
          </w:p>
          <w:p w:rsidR="00322ADF" w:rsidRPr="007E1A6B" w:rsidRDefault="00322ADF" w:rsidP="00322ADF">
            <w:pPr>
              <w:numPr>
                <w:ilvl w:val="0"/>
                <w:numId w:val="3"/>
              </w:numPr>
              <w:jc w:val="both"/>
              <w:rPr>
                <w:sz w:val="18"/>
                <w:szCs w:val="18"/>
              </w:rPr>
            </w:pPr>
            <w:r w:rsidRPr="007E1A6B">
              <w:rPr>
                <w:sz w:val="18"/>
                <w:szCs w:val="18"/>
              </w:rPr>
              <w:t>Patients with a second active malignant tumor.</w:t>
            </w:r>
          </w:p>
          <w:p w:rsidR="00322ADF" w:rsidRPr="007E1A6B" w:rsidRDefault="00322ADF" w:rsidP="00322ADF">
            <w:pPr>
              <w:numPr>
                <w:ilvl w:val="0"/>
                <w:numId w:val="3"/>
              </w:numPr>
              <w:jc w:val="both"/>
              <w:rPr>
                <w:sz w:val="18"/>
                <w:szCs w:val="18"/>
              </w:rPr>
            </w:pPr>
            <w:r w:rsidRPr="007E1A6B">
              <w:rPr>
                <w:sz w:val="18"/>
                <w:szCs w:val="18"/>
              </w:rPr>
              <w:t>Patients with tumors treated in the last 2 years.</w:t>
            </w:r>
          </w:p>
          <w:p w:rsidR="00322ADF" w:rsidRPr="007E1A6B" w:rsidRDefault="00322ADF" w:rsidP="00322ADF">
            <w:pPr>
              <w:numPr>
                <w:ilvl w:val="0"/>
                <w:numId w:val="3"/>
              </w:numPr>
              <w:jc w:val="both"/>
              <w:rPr>
                <w:sz w:val="18"/>
                <w:szCs w:val="18"/>
              </w:rPr>
            </w:pPr>
            <w:r w:rsidRPr="007E1A6B">
              <w:rPr>
                <w:sz w:val="18"/>
                <w:szCs w:val="18"/>
              </w:rPr>
              <w:t>Pregnant or breastfeeding women.</w:t>
            </w:r>
          </w:p>
          <w:p w:rsidR="00322ADF" w:rsidRPr="007E1A6B" w:rsidRDefault="00322ADF" w:rsidP="00322ADF">
            <w:pPr>
              <w:numPr>
                <w:ilvl w:val="0"/>
                <w:numId w:val="3"/>
              </w:numPr>
              <w:jc w:val="both"/>
              <w:rPr>
                <w:sz w:val="18"/>
                <w:szCs w:val="18"/>
              </w:rPr>
            </w:pPr>
            <w:r w:rsidRPr="007E1A6B">
              <w:rPr>
                <w:sz w:val="18"/>
                <w:szCs w:val="18"/>
              </w:rPr>
              <w:t xml:space="preserve">Women of </w:t>
            </w:r>
            <w:proofErr w:type="gramStart"/>
            <w:r w:rsidRPr="007E1A6B">
              <w:rPr>
                <w:sz w:val="18"/>
                <w:szCs w:val="18"/>
              </w:rPr>
              <w:t>child-bearing</w:t>
            </w:r>
            <w:proofErr w:type="gramEnd"/>
            <w:r w:rsidRPr="007E1A6B">
              <w:rPr>
                <w:sz w:val="18"/>
                <w:szCs w:val="18"/>
              </w:rPr>
              <w:t xml:space="preserve"> potential who do not agree to use a contraceptive method during treatment. Women participating in the study should have undergone surgical sterilization, be post-menopausal, or agree to use a highly effective contraceptive method (in accordance with CTFG criteria) during the treatment period. Patients of both sexes and their partners must use effective contraception during treatment and, at least, up to four months after completing treatment. Since oral contraceptives cannot possibly be considered “effective contraceptive methods”, they should be used in conjunction with another method, such as a barrier method</w:t>
            </w:r>
          </w:p>
          <w:p w:rsidR="00322ADF" w:rsidRPr="007E1A6B" w:rsidRDefault="00322ADF" w:rsidP="00322ADF">
            <w:pPr>
              <w:numPr>
                <w:ilvl w:val="0"/>
                <w:numId w:val="3"/>
              </w:numPr>
              <w:jc w:val="both"/>
              <w:rPr>
                <w:sz w:val="18"/>
                <w:szCs w:val="18"/>
              </w:rPr>
            </w:pPr>
            <w:r w:rsidRPr="007E1A6B">
              <w:rPr>
                <w:sz w:val="18"/>
                <w:szCs w:val="18"/>
              </w:rPr>
              <w:t>Fertile men who do not agree to use a contraceptive method during treatment. Male participants in the study should have undergone surgical sterilization, or agree to use a highly effective contraceptive method (in accordance with CTFG criteria) during the treatment period.</w:t>
            </w:r>
          </w:p>
          <w:p w:rsidR="00322ADF" w:rsidRPr="007E1A6B" w:rsidRDefault="00322ADF" w:rsidP="00322ADF">
            <w:pPr>
              <w:numPr>
                <w:ilvl w:val="0"/>
                <w:numId w:val="3"/>
              </w:numPr>
              <w:jc w:val="both"/>
              <w:rPr>
                <w:sz w:val="18"/>
                <w:szCs w:val="18"/>
              </w:rPr>
            </w:pPr>
            <w:r w:rsidRPr="007E1A6B">
              <w:rPr>
                <w:sz w:val="18"/>
                <w:szCs w:val="18"/>
              </w:rPr>
              <w:t>Patients with gastrointestinal disorders, including:</w:t>
            </w:r>
          </w:p>
          <w:p w:rsidR="00322ADF" w:rsidRPr="007E1A6B" w:rsidRDefault="00322ADF" w:rsidP="00322ADF">
            <w:pPr>
              <w:numPr>
                <w:ilvl w:val="0"/>
                <w:numId w:val="4"/>
              </w:numPr>
              <w:jc w:val="both"/>
              <w:rPr>
                <w:sz w:val="18"/>
                <w:szCs w:val="18"/>
              </w:rPr>
            </w:pPr>
            <w:r w:rsidRPr="007E1A6B">
              <w:rPr>
                <w:sz w:val="18"/>
                <w:szCs w:val="18"/>
              </w:rPr>
              <w:t>Inability to take oral medication.</w:t>
            </w:r>
          </w:p>
          <w:p w:rsidR="00322ADF" w:rsidRPr="007E1A6B" w:rsidRDefault="00322ADF" w:rsidP="00322ADF">
            <w:pPr>
              <w:numPr>
                <w:ilvl w:val="0"/>
                <w:numId w:val="4"/>
              </w:numPr>
              <w:jc w:val="both"/>
              <w:rPr>
                <w:sz w:val="18"/>
                <w:szCs w:val="18"/>
              </w:rPr>
            </w:pPr>
            <w:r w:rsidRPr="007E1A6B">
              <w:rPr>
                <w:sz w:val="18"/>
                <w:szCs w:val="18"/>
              </w:rPr>
              <w:t>Need for parenteral nutrition.</w:t>
            </w:r>
          </w:p>
          <w:p w:rsidR="00322ADF" w:rsidRPr="007E1A6B" w:rsidRDefault="00322ADF" w:rsidP="00322ADF">
            <w:pPr>
              <w:numPr>
                <w:ilvl w:val="0"/>
                <w:numId w:val="4"/>
              </w:numPr>
              <w:jc w:val="both"/>
              <w:rPr>
                <w:sz w:val="18"/>
                <w:szCs w:val="18"/>
              </w:rPr>
            </w:pPr>
            <w:r w:rsidRPr="007E1A6B">
              <w:rPr>
                <w:sz w:val="18"/>
                <w:szCs w:val="18"/>
              </w:rPr>
              <w:t>Prior surgical procedures affecting absorption.</w:t>
            </w:r>
          </w:p>
          <w:p w:rsidR="00322ADF" w:rsidRPr="007E1A6B" w:rsidRDefault="00322ADF" w:rsidP="00322ADF">
            <w:pPr>
              <w:numPr>
                <w:ilvl w:val="0"/>
                <w:numId w:val="4"/>
              </w:numPr>
              <w:jc w:val="both"/>
              <w:rPr>
                <w:sz w:val="18"/>
                <w:szCs w:val="18"/>
              </w:rPr>
            </w:pPr>
            <w:r w:rsidRPr="007E1A6B">
              <w:rPr>
                <w:sz w:val="18"/>
                <w:szCs w:val="18"/>
              </w:rPr>
              <w:t>Active gastrointestinal bleeding.</w:t>
            </w:r>
          </w:p>
          <w:p w:rsidR="00322ADF" w:rsidRPr="007E1A6B" w:rsidRDefault="00322ADF" w:rsidP="00322ADF">
            <w:pPr>
              <w:numPr>
                <w:ilvl w:val="0"/>
                <w:numId w:val="4"/>
              </w:numPr>
              <w:jc w:val="both"/>
              <w:rPr>
                <w:sz w:val="18"/>
                <w:szCs w:val="18"/>
              </w:rPr>
            </w:pPr>
            <w:r w:rsidRPr="007E1A6B">
              <w:rPr>
                <w:sz w:val="18"/>
                <w:szCs w:val="18"/>
              </w:rPr>
              <w:t>Malabsorption syndrome.</w:t>
            </w:r>
          </w:p>
          <w:p w:rsidR="00322ADF" w:rsidRPr="007E1A6B" w:rsidRDefault="00322ADF" w:rsidP="00322ADF">
            <w:pPr>
              <w:numPr>
                <w:ilvl w:val="0"/>
                <w:numId w:val="4"/>
              </w:numPr>
              <w:jc w:val="both"/>
              <w:rPr>
                <w:sz w:val="18"/>
                <w:szCs w:val="18"/>
              </w:rPr>
            </w:pPr>
            <w:r w:rsidRPr="007E1A6B">
              <w:rPr>
                <w:sz w:val="18"/>
                <w:szCs w:val="18"/>
              </w:rPr>
              <w:t>Gastrointestinal disorders that increase the risk of perforation.</w:t>
            </w:r>
          </w:p>
          <w:p w:rsidR="00322ADF" w:rsidRPr="007E1A6B" w:rsidRDefault="00322ADF" w:rsidP="00322ADF">
            <w:pPr>
              <w:numPr>
                <w:ilvl w:val="0"/>
                <w:numId w:val="3"/>
              </w:numPr>
              <w:jc w:val="both"/>
              <w:rPr>
                <w:sz w:val="18"/>
                <w:szCs w:val="18"/>
              </w:rPr>
            </w:pPr>
            <w:r w:rsidRPr="007E1A6B">
              <w:rPr>
                <w:sz w:val="18"/>
                <w:szCs w:val="18"/>
              </w:rPr>
              <w:t xml:space="preserve">Patients who have had any of the following conditions within the 12 months prior to inclusion in the study: myocardial infarction, uncontrolled angina, </w:t>
            </w:r>
            <w:r w:rsidRPr="007E1A6B">
              <w:rPr>
                <w:sz w:val="18"/>
                <w:szCs w:val="18"/>
              </w:rPr>
              <w:lastRenderedPageBreak/>
              <w:t>uncontrolled hypertension, peripheral arterial or coronary graft bypass, congestive heart failure, stroke, or transient ischemic attack.</w:t>
            </w:r>
          </w:p>
          <w:p w:rsidR="00322ADF" w:rsidRPr="007E1A6B" w:rsidRDefault="00322ADF" w:rsidP="00322ADF">
            <w:pPr>
              <w:numPr>
                <w:ilvl w:val="0"/>
                <w:numId w:val="3"/>
              </w:numPr>
              <w:jc w:val="both"/>
              <w:rPr>
                <w:sz w:val="18"/>
                <w:szCs w:val="18"/>
              </w:rPr>
            </w:pPr>
            <w:r w:rsidRPr="007E1A6B">
              <w:rPr>
                <w:sz w:val="18"/>
                <w:szCs w:val="18"/>
              </w:rPr>
              <w:t>Patients with tumors that invade or affect major blood vessels, gastrointestinal tract, or trachea/bronchi.</w:t>
            </w:r>
            <w:r w:rsidRPr="007E1A6B">
              <w:rPr>
                <w:sz w:val="18"/>
                <w:szCs w:val="18"/>
              </w:rPr>
              <w:cr/>
            </w:r>
            <w:r w:rsidRPr="007E1A6B">
              <w:rPr>
                <w:sz w:val="18"/>
                <w:szCs w:val="18"/>
              </w:rPr>
              <w:br/>
            </w:r>
          </w:p>
          <w:p w:rsidR="00322ADF" w:rsidRPr="007E1A6B" w:rsidRDefault="00322ADF" w:rsidP="00322ADF">
            <w:pPr>
              <w:numPr>
                <w:ilvl w:val="0"/>
                <w:numId w:val="3"/>
              </w:numPr>
              <w:jc w:val="both"/>
              <w:rPr>
                <w:sz w:val="18"/>
                <w:szCs w:val="18"/>
              </w:rPr>
            </w:pPr>
            <w:r w:rsidRPr="007E1A6B">
              <w:rPr>
                <w:sz w:val="18"/>
                <w:szCs w:val="18"/>
              </w:rPr>
              <w:t>Patients with human immunodeficiency virus (HIV) infection or acquired immunodeficiency syndrome (AIDS)-related diseases.</w:t>
            </w:r>
          </w:p>
          <w:p w:rsidR="00322ADF" w:rsidRPr="007E1A6B" w:rsidRDefault="00322ADF" w:rsidP="00322ADF">
            <w:pPr>
              <w:numPr>
                <w:ilvl w:val="0"/>
                <w:numId w:val="3"/>
              </w:numPr>
              <w:jc w:val="both"/>
              <w:rPr>
                <w:sz w:val="18"/>
                <w:szCs w:val="18"/>
              </w:rPr>
            </w:pPr>
            <w:r w:rsidRPr="007E1A6B">
              <w:rPr>
                <w:sz w:val="18"/>
                <w:szCs w:val="18"/>
              </w:rPr>
              <w:t xml:space="preserve">Patients with active hepatitis or hepatitis C. </w:t>
            </w:r>
          </w:p>
          <w:p w:rsidR="00322ADF" w:rsidRPr="007E1A6B" w:rsidRDefault="00322ADF" w:rsidP="00322ADF">
            <w:pPr>
              <w:numPr>
                <w:ilvl w:val="0"/>
                <w:numId w:val="3"/>
              </w:numPr>
              <w:jc w:val="both"/>
              <w:rPr>
                <w:sz w:val="18"/>
                <w:szCs w:val="18"/>
              </w:rPr>
            </w:pPr>
            <w:r w:rsidRPr="007E1A6B">
              <w:rPr>
                <w:sz w:val="18"/>
                <w:szCs w:val="18"/>
              </w:rPr>
              <w:t xml:space="preserve">Patients with active tuberculosis. </w:t>
            </w:r>
          </w:p>
          <w:p w:rsidR="00322ADF" w:rsidRPr="007E1A6B" w:rsidRDefault="00322ADF" w:rsidP="00322ADF">
            <w:pPr>
              <w:numPr>
                <w:ilvl w:val="0"/>
                <w:numId w:val="3"/>
              </w:numPr>
              <w:jc w:val="both"/>
              <w:rPr>
                <w:sz w:val="18"/>
                <w:szCs w:val="18"/>
              </w:rPr>
            </w:pPr>
            <w:r w:rsidRPr="007E1A6B">
              <w:rPr>
                <w:sz w:val="18"/>
                <w:szCs w:val="18"/>
              </w:rPr>
              <w:t xml:space="preserve">Patients with uncontrolled (Ca &gt; 12 mg/dL) or symptomatic hypercalcemia who require continuous treatment with bisphosphonates or </w:t>
            </w:r>
            <w:proofErr w:type="spellStart"/>
            <w:r w:rsidRPr="007E1A6B">
              <w:rPr>
                <w:sz w:val="18"/>
                <w:szCs w:val="18"/>
              </w:rPr>
              <w:t>denosumab</w:t>
            </w:r>
            <w:proofErr w:type="spellEnd"/>
            <w:r w:rsidRPr="007E1A6B">
              <w:rPr>
                <w:sz w:val="18"/>
                <w:szCs w:val="18"/>
              </w:rPr>
              <w:t>.</w:t>
            </w:r>
          </w:p>
          <w:p w:rsidR="00322ADF" w:rsidRPr="007E1A6B" w:rsidRDefault="00322ADF" w:rsidP="00322ADF">
            <w:pPr>
              <w:numPr>
                <w:ilvl w:val="0"/>
                <w:numId w:val="3"/>
              </w:numPr>
              <w:jc w:val="both"/>
              <w:rPr>
                <w:sz w:val="18"/>
                <w:szCs w:val="18"/>
              </w:rPr>
            </w:pPr>
            <w:r w:rsidRPr="007E1A6B">
              <w:rPr>
                <w:sz w:val="18"/>
                <w:szCs w:val="18"/>
              </w:rPr>
              <w:t>Patients who have undergone major surgery within 4 weeks prior to inclusion in the study.</w:t>
            </w:r>
          </w:p>
          <w:p w:rsidR="00322ADF" w:rsidRPr="007E1A6B" w:rsidRDefault="00322ADF" w:rsidP="00322ADF">
            <w:pPr>
              <w:numPr>
                <w:ilvl w:val="0"/>
                <w:numId w:val="3"/>
              </w:numPr>
              <w:jc w:val="both"/>
              <w:rPr>
                <w:sz w:val="18"/>
                <w:szCs w:val="18"/>
              </w:rPr>
            </w:pPr>
            <w:r w:rsidRPr="007E1A6B">
              <w:rPr>
                <w:sz w:val="18"/>
                <w:szCs w:val="18"/>
              </w:rPr>
              <w:t>Patients with active bleeding.</w:t>
            </w:r>
          </w:p>
          <w:p w:rsidR="00322ADF" w:rsidRPr="007E1A6B" w:rsidRDefault="00322ADF" w:rsidP="00322ADF">
            <w:pPr>
              <w:numPr>
                <w:ilvl w:val="0"/>
                <w:numId w:val="3"/>
              </w:numPr>
              <w:jc w:val="both"/>
              <w:rPr>
                <w:sz w:val="18"/>
                <w:szCs w:val="18"/>
              </w:rPr>
            </w:pPr>
            <w:r w:rsidRPr="007E1A6B">
              <w:rPr>
                <w:sz w:val="18"/>
                <w:szCs w:val="18"/>
              </w:rPr>
              <w:t>Patients with a recent episode of intestinal obstruction.</w:t>
            </w:r>
          </w:p>
          <w:p w:rsidR="00322ADF" w:rsidRPr="007E1A6B" w:rsidRDefault="00322ADF" w:rsidP="00322ADF">
            <w:pPr>
              <w:numPr>
                <w:ilvl w:val="0"/>
                <w:numId w:val="3"/>
              </w:numPr>
              <w:jc w:val="both"/>
              <w:rPr>
                <w:sz w:val="18"/>
                <w:szCs w:val="18"/>
              </w:rPr>
            </w:pPr>
            <w:r w:rsidRPr="007E1A6B">
              <w:rPr>
                <w:sz w:val="18"/>
                <w:szCs w:val="18"/>
              </w:rPr>
              <w:t>Patients who have previously received VEGF growth factor-targeted therapy for advanced disease.</w:t>
            </w:r>
          </w:p>
          <w:p w:rsidR="00322ADF" w:rsidRPr="007E1A6B" w:rsidRDefault="00322ADF" w:rsidP="00322ADF">
            <w:pPr>
              <w:numPr>
                <w:ilvl w:val="0"/>
                <w:numId w:val="3"/>
              </w:numPr>
              <w:jc w:val="both"/>
              <w:rPr>
                <w:sz w:val="18"/>
                <w:szCs w:val="18"/>
              </w:rPr>
            </w:pPr>
            <w:r w:rsidRPr="007E1A6B">
              <w:rPr>
                <w:sz w:val="18"/>
                <w:szCs w:val="18"/>
              </w:rPr>
              <w:t>Patients who have undergone radiation therapy for bone metastases within 2 weeks prior to the first dose of cabozantinib, or any external radiation therapy within 4 weeks prior to the first dose of cabozantinib.</w:t>
            </w:r>
          </w:p>
          <w:p w:rsidR="00322ADF" w:rsidRPr="007E1A6B" w:rsidRDefault="00322ADF" w:rsidP="00322ADF">
            <w:pPr>
              <w:numPr>
                <w:ilvl w:val="0"/>
                <w:numId w:val="3"/>
              </w:numPr>
              <w:jc w:val="both"/>
              <w:rPr>
                <w:sz w:val="18"/>
                <w:szCs w:val="18"/>
              </w:rPr>
            </w:pPr>
            <w:r w:rsidRPr="007E1A6B">
              <w:rPr>
                <w:sz w:val="18"/>
                <w:szCs w:val="18"/>
              </w:rPr>
              <w:t xml:space="preserve">Patients who have received an allogeneic transplant or stem cells in the last 5 years. </w:t>
            </w:r>
          </w:p>
          <w:p w:rsidR="00322ADF" w:rsidRPr="007E1A6B" w:rsidRDefault="00322ADF" w:rsidP="00322ADF">
            <w:pPr>
              <w:numPr>
                <w:ilvl w:val="0"/>
                <w:numId w:val="3"/>
              </w:numPr>
              <w:jc w:val="both"/>
              <w:rPr>
                <w:sz w:val="18"/>
                <w:szCs w:val="18"/>
              </w:rPr>
            </w:pPr>
            <w:r w:rsidRPr="007E1A6B">
              <w:rPr>
                <w:sz w:val="18"/>
                <w:szCs w:val="18"/>
              </w:rPr>
              <w:t xml:space="preserve">Malignant tumors within 3 years before Day 1 of Cycle 1, except for those with negligible risk of metastasis or death and who </w:t>
            </w:r>
            <w:proofErr w:type="gramStart"/>
            <w:r w:rsidRPr="007E1A6B">
              <w:rPr>
                <w:sz w:val="18"/>
                <w:szCs w:val="18"/>
              </w:rPr>
              <w:t>have been treated</w:t>
            </w:r>
            <w:proofErr w:type="gramEnd"/>
            <w:r w:rsidRPr="007E1A6B">
              <w:rPr>
                <w:sz w:val="18"/>
                <w:szCs w:val="18"/>
              </w:rPr>
              <w:t xml:space="preserve"> with curative intent, such as cervical carcinoma in situ or localized prostate cancer treated with curative intent. </w:t>
            </w:r>
          </w:p>
          <w:p w:rsidR="00322ADF" w:rsidRPr="007E1A6B" w:rsidRDefault="00322ADF" w:rsidP="00322ADF">
            <w:pPr>
              <w:numPr>
                <w:ilvl w:val="0"/>
                <w:numId w:val="3"/>
              </w:numPr>
              <w:jc w:val="both"/>
              <w:rPr>
                <w:sz w:val="18"/>
                <w:szCs w:val="18"/>
              </w:rPr>
            </w:pPr>
            <w:r w:rsidRPr="007E1A6B">
              <w:rPr>
                <w:sz w:val="18"/>
                <w:szCs w:val="18"/>
              </w:rPr>
              <w:t xml:space="preserve">Patients receiving therapeutic doses of oral anticoagulants (e.g., warfarin, direct thrombin inhibitors and Factor </w:t>
            </w:r>
            <w:proofErr w:type="spellStart"/>
            <w:r w:rsidRPr="007E1A6B">
              <w:rPr>
                <w:sz w:val="18"/>
                <w:szCs w:val="18"/>
              </w:rPr>
              <w:t>Xa</w:t>
            </w:r>
            <w:proofErr w:type="spellEnd"/>
            <w:r w:rsidRPr="007E1A6B">
              <w:rPr>
                <w:sz w:val="18"/>
                <w:szCs w:val="18"/>
              </w:rPr>
              <w:t xml:space="preserve">) or antiplatelet agents (e.g., </w:t>
            </w:r>
            <w:proofErr w:type="spellStart"/>
            <w:r w:rsidRPr="007E1A6B">
              <w:rPr>
                <w:sz w:val="18"/>
                <w:szCs w:val="18"/>
              </w:rPr>
              <w:t>clopidogrel</w:t>
            </w:r>
            <w:proofErr w:type="spellEnd"/>
            <w:r w:rsidRPr="007E1A6B">
              <w:rPr>
                <w:sz w:val="18"/>
                <w:szCs w:val="18"/>
              </w:rPr>
              <w:t>). The use of low molecular weight heparins is allowed</w:t>
            </w:r>
          </w:p>
          <w:p w:rsidR="00322ADF" w:rsidRPr="007E1A6B" w:rsidRDefault="00322ADF" w:rsidP="00322ADF">
            <w:pPr>
              <w:numPr>
                <w:ilvl w:val="0"/>
                <w:numId w:val="3"/>
              </w:numPr>
              <w:jc w:val="both"/>
              <w:rPr>
                <w:sz w:val="18"/>
                <w:szCs w:val="18"/>
              </w:rPr>
            </w:pPr>
            <w:r w:rsidRPr="007E1A6B">
              <w:rPr>
                <w:sz w:val="18"/>
                <w:szCs w:val="18"/>
              </w:rPr>
              <w:t xml:space="preserve">Hypersensitivity to the active substance or to any of the excipients (exclude lactose intolerant patients since each film-coated tablet contains 46.61 mg of lactose). </w:t>
            </w:r>
          </w:p>
          <w:p w:rsidR="00322ADF" w:rsidRPr="007E1A6B" w:rsidRDefault="00322ADF" w:rsidP="00322ADF">
            <w:pPr>
              <w:numPr>
                <w:ilvl w:val="0"/>
                <w:numId w:val="3"/>
              </w:numPr>
              <w:jc w:val="both"/>
              <w:rPr>
                <w:sz w:val="18"/>
                <w:szCs w:val="18"/>
              </w:rPr>
            </w:pPr>
            <w:r w:rsidRPr="007E1A6B">
              <w:rPr>
                <w:sz w:val="18"/>
                <w:szCs w:val="18"/>
              </w:rPr>
              <w:t xml:space="preserve">Any other clinical condition that the physician responsible for the patient considers </w:t>
            </w:r>
            <w:proofErr w:type="gramStart"/>
            <w:r w:rsidRPr="007E1A6B">
              <w:rPr>
                <w:sz w:val="18"/>
                <w:szCs w:val="18"/>
              </w:rPr>
              <w:t>to be inappropriate</w:t>
            </w:r>
            <w:proofErr w:type="gramEnd"/>
            <w:r w:rsidRPr="007E1A6B">
              <w:rPr>
                <w:sz w:val="18"/>
                <w:szCs w:val="18"/>
              </w:rPr>
              <w:t xml:space="preserve"> for inclusion in the study.</w:t>
            </w:r>
          </w:p>
        </w:tc>
      </w:tr>
      <w:tr w:rsidR="00322ADF" w:rsidRPr="007E1A6B" w:rsidTr="006667FC">
        <w:tc>
          <w:tcPr>
            <w:tcW w:w="1728" w:type="dxa"/>
          </w:tcPr>
          <w:p w:rsidR="00322ADF" w:rsidRPr="007E1A6B" w:rsidRDefault="00322ADF" w:rsidP="006667FC">
            <w:pPr>
              <w:rPr>
                <w:sz w:val="18"/>
                <w:szCs w:val="18"/>
              </w:rPr>
            </w:pPr>
            <w:r w:rsidRPr="007E1A6B">
              <w:rPr>
                <w:sz w:val="18"/>
                <w:szCs w:val="18"/>
              </w:rPr>
              <w:lastRenderedPageBreak/>
              <w:t>Test product, dose and mode of administration</w:t>
            </w:r>
          </w:p>
        </w:tc>
        <w:tc>
          <w:tcPr>
            <w:tcW w:w="7128" w:type="dxa"/>
            <w:gridSpan w:val="5"/>
          </w:tcPr>
          <w:p w:rsidR="00322ADF" w:rsidRPr="007E1A6B" w:rsidRDefault="00322ADF" w:rsidP="006667FC">
            <w:pPr>
              <w:rPr>
                <w:sz w:val="18"/>
                <w:szCs w:val="18"/>
              </w:rPr>
            </w:pPr>
            <w:r w:rsidRPr="007E1A6B">
              <w:rPr>
                <w:sz w:val="18"/>
                <w:szCs w:val="18"/>
              </w:rPr>
              <w:t>Cabozantinib (</w:t>
            </w:r>
            <w:proofErr w:type="spellStart"/>
            <w:r w:rsidRPr="007E1A6B">
              <w:rPr>
                <w:sz w:val="18"/>
                <w:szCs w:val="18"/>
              </w:rPr>
              <w:t>Cabometyx</w:t>
            </w:r>
            <w:proofErr w:type="spellEnd"/>
            <w:r w:rsidRPr="007E1A6B">
              <w:rPr>
                <w:sz w:val="18"/>
                <w:szCs w:val="18"/>
              </w:rPr>
              <w:t>®)</w:t>
            </w:r>
          </w:p>
          <w:p w:rsidR="00322ADF" w:rsidRPr="007E1A6B" w:rsidRDefault="00322ADF" w:rsidP="006667FC">
            <w:pPr>
              <w:rPr>
                <w:sz w:val="18"/>
                <w:szCs w:val="18"/>
              </w:rPr>
            </w:pPr>
            <w:r w:rsidRPr="007E1A6B">
              <w:rPr>
                <w:sz w:val="18"/>
                <w:szCs w:val="18"/>
              </w:rPr>
              <w:t>Drug therapy group: anti-neoplastic agents, direct protein-kinase inhibitors, ATC code: L01XE26</w:t>
            </w:r>
          </w:p>
          <w:p w:rsidR="00322ADF" w:rsidRPr="007E1A6B" w:rsidRDefault="00322ADF" w:rsidP="006667FC">
            <w:pPr>
              <w:rPr>
                <w:sz w:val="18"/>
                <w:szCs w:val="18"/>
              </w:rPr>
            </w:pPr>
            <w:r w:rsidRPr="007E1A6B">
              <w:rPr>
                <w:sz w:val="18"/>
                <w:szCs w:val="18"/>
              </w:rPr>
              <w:t>Oral</w:t>
            </w:r>
          </w:p>
          <w:p w:rsidR="00322ADF" w:rsidRPr="007E1A6B" w:rsidRDefault="00322ADF" w:rsidP="006667FC">
            <w:pPr>
              <w:rPr>
                <w:sz w:val="18"/>
                <w:szCs w:val="18"/>
              </w:rPr>
            </w:pPr>
            <w:r w:rsidRPr="007E1A6B">
              <w:rPr>
                <w:sz w:val="18"/>
                <w:szCs w:val="18"/>
              </w:rPr>
              <w:t>60 mg/day</w:t>
            </w:r>
          </w:p>
        </w:tc>
      </w:tr>
      <w:tr w:rsidR="00322ADF" w:rsidRPr="007E1A6B" w:rsidTr="006667FC">
        <w:tc>
          <w:tcPr>
            <w:tcW w:w="1728" w:type="dxa"/>
          </w:tcPr>
          <w:p w:rsidR="00322ADF" w:rsidRPr="007E1A6B" w:rsidRDefault="00322ADF" w:rsidP="006667FC">
            <w:pPr>
              <w:rPr>
                <w:sz w:val="18"/>
                <w:szCs w:val="18"/>
              </w:rPr>
            </w:pPr>
            <w:r w:rsidRPr="007E1A6B">
              <w:rPr>
                <w:sz w:val="18"/>
                <w:szCs w:val="18"/>
              </w:rPr>
              <w:t>Duration of treatment</w:t>
            </w:r>
          </w:p>
        </w:tc>
        <w:tc>
          <w:tcPr>
            <w:tcW w:w="7128" w:type="dxa"/>
            <w:gridSpan w:val="5"/>
          </w:tcPr>
          <w:p w:rsidR="00322ADF" w:rsidRPr="007E1A6B" w:rsidRDefault="00322ADF" w:rsidP="006667FC">
            <w:pPr>
              <w:jc w:val="both"/>
              <w:rPr>
                <w:sz w:val="18"/>
                <w:szCs w:val="18"/>
              </w:rPr>
            </w:pPr>
            <w:r w:rsidRPr="007E1A6B">
              <w:rPr>
                <w:sz w:val="18"/>
                <w:szCs w:val="18"/>
              </w:rPr>
              <w:t>Until progression of the disease or intolerable toxicity. The maximum follow-up time would be 12 months (+/-1 month) from enrollment of the last patient in the study.</w:t>
            </w:r>
          </w:p>
        </w:tc>
      </w:tr>
      <w:tr w:rsidR="00322ADF" w:rsidRPr="007E1A6B" w:rsidTr="006667FC">
        <w:tc>
          <w:tcPr>
            <w:tcW w:w="1728" w:type="dxa"/>
          </w:tcPr>
          <w:p w:rsidR="00322ADF" w:rsidRPr="007E1A6B" w:rsidRDefault="00322ADF" w:rsidP="006667FC">
            <w:pPr>
              <w:rPr>
                <w:sz w:val="18"/>
                <w:szCs w:val="18"/>
              </w:rPr>
            </w:pPr>
            <w:r w:rsidRPr="007E1A6B">
              <w:rPr>
                <w:sz w:val="18"/>
                <w:szCs w:val="18"/>
              </w:rPr>
              <w:t>Endpoints</w:t>
            </w:r>
          </w:p>
        </w:tc>
        <w:tc>
          <w:tcPr>
            <w:tcW w:w="7128" w:type="dxa"/>
            <w:gridSpan w:val="5"/>
          </w:tcPr>
          <w:p w:rsidR="00322ADF" w:rsidRPr="007E1A6B" w:rsidRDefault="00322ADF" w:rsidP="006667FC">
            <w:pPr>
              <w:jc w:val="both"/>
              <w:rPr>
                <w:color w:val="000000"/>
                <w:sz w:val="18"/>
                <w:szCs w:val="18"/>
              </w:rPr>
            </w:pPr>
            <w:r w:rsidRPr="007E1A6B">
              <w:rPr>
                <w:color w:val="000000"/>
                <w:sz w:val="18"/>
                <w:szCs w:val="18"/>
              </w:rPr>
              <w:t>Primary: Objective response to preoperative treatment with cabozantinib, defined as the percentage of patients that reach complete or partial radiological response after a 12-week cycle of treatment with cabozantinib, defined according to the RECIST 1.1 criteria (</w:t>
            </w:r>
            <w:proofErr w:type="spellStart"/>
            <w:r w:rsidRPr="007E1A6B">
              <w:rPr>
                <w:color w:val="000000"/>
                <w:sz w:val="18"/>
                <w:szCs w:val="18"/>
              </w:rPr>
              <w:t>Eisenhauer</w:t>
            </w:r>
            <w:proofErr w:type="spellEnd"/>
            <w:r w:rsidRPr="007E1A6B">
              <w:rPr>
                <w:color w:val="000000"/>
                <w:sz w:val="18"/>
                <w:szCs w:val="18"/>
              </w:rPr>
              <w:t xml:space="preserve"> et al. 2009)</w:t>
            </w:r>
          </w:p>
          <w:p w:rsidR="00322ADF" w:rsidRPr="007E1A6B" w:rsidRDefault="00322ADF" w:rsidP="006667FC">
            <w:pPr>
              <w:spacing w:before="240"/>
              <w:jc w:val="both"/>
              <w:rPr>
                <w:color w:val="000000"/>
                <w:sz w:val="18"/>
                <w:szCs w:val="18"/>
              </w:rPr>
            </w:pPr>
            <w:r w:rsidRPr="007E1A6B">
              <w:rPr>
                <w:color w:val="000000"/>
                <w:sz w:val="18"/>
                <w:szCs w:val="18"/>
              </w:rPr>
              <w:t>Secondary:</w:t>
            </w:r>
          </w:p>
          <w:p w:rsidR="00322ADF" w:rsidRPr="007E1A6B" w:rsidRDefault="00322ADF" w:rsidP="00322ADF">
            <w:pPr>
              <w:numPr>
                <w:ilvl w:val="0"/>
                <w:numId w:val="6"/>
              </w:numPr>
              <w:jc w:val="both"/>
              <w:rPr>
                <w:color w:val="000000"/>
                <w:sz w:val="18"/>
                <w:szCs w:val="18"/>
              </w:rPr>
            </w:pPr>
            <w:r w:rsidRPr="007E1A6B">
              <w:rPr>
                <w:color w:val="000000"/>
                <w:sz w:val="18"/>
                <w:szCs w:val="18"/>
              </w:rPr>
              <w:t>Best objective response during treatment with cabozantinib, defined as the percentage of patients that reach complete or partial radiological response during treatment with cabozantinib.</w:t>
            </w:r>
          </w:p>
          <w:p w:rsidR="00322ADF" w:rsidRPr="007E1A6B" w:rsidRDefault="00322ADF" w:rsidP="00322ADF">
            <w:pPr>
              <w:numPr>
                <w:ilvl w:val="0"/>
                <w:numId w:val="6"/>
              </w:numPr>
              <w:jc w:val="both"/>
              <w:rPr>
                <w:color w:val="000000"/>
                <w:sz w:val="18"/>
                <w:szCs w:val="18"/>
              </w:rPr>
            </w:pPr>
            <w:r w:rsidRPr="007E1A6B">
              <w:rPr>
                <w:color w:val="000000"/>
                <w:sz w:val="18"/>
                <w:szCs w:val="18"/>
              </w:rPr>
              <w:t xml:space="preserve">Progression Free Survival, defined as the time (in months) elapsed since the start of treatment with cabozantinib until progression of the disease (according to the RECIST criteria 1.1); see section 6. Variables and measurements), or the death of the patient. </w:t>
            </w:r>
          </w:p>
          <w:p w:rsidR="00322ADF" w:rsidRPr="007E1A6B" w:rsidRDefault="00322ADF" w:rsidP="00322ADF">
            <w:pPr>
              <w:numPr>
                <w:ilvl w:val="0"/>
                <w:numId w:val="6"/>
              </w:numPr>
              <w:jc w:val="both"/>
              <w:rPr>
                <w:color w:val="000000"/>
                <w:sz w:val="18"/>
                <w:szCs w:val="18"/>
              </w:rPr>
            </w:pPr>
            <w:r w:rsidRPr="007E1A6B">
              <w:rPr>
                <w:color w:val="000000"/>
                <w:sz w:val="18"/>
                <w:szCs w:val="18"/>
              </w:rPr>
              <w:t>Percentage of patients free of progression (according to the RECIST criteria 1.1) after 12 months from the start of treatment with cabozantinib.</w:t>
            </w:r>
          </w:p>
          <w:p w:rsidR="00322ADF" w:rsidRPr="007E1A6B" w:rsidRDefault="00322ADF" w:rsidP="00322ADF">
            <w:pPr>
              <w:numPr>
                <w:ilvl w:val="0"/>
                <w:numId w:val="6"/>
              </w:numPr>
              <w:jc w:val="both"/>
              <w:rPr>
                <w:color w:val="000000"/>
                <w:sz w:val="18"/>
                <w:szCs w:val="18"/>
              </w:rPr>
            </w:pPr>
            <w:r w:rsidRPr="007E1A6B">
              <w:rPr>
                <w:color w:val="000000"/>
                <w:sz w:val="18"/>
                <w:szCs w:val="18"/>
              </w:rPr>
              <w:t>Overall Survival, defined as the time (in months) elapsed since the start of treatment with cabozantinib until the death of the patient.</w:t>
            </w:r>
          </w:p>
          <w:p w:rsidR="00322ADF" w:rsidRPr="007E1A6B" w:rsidRDefault="00322ADF" w:rsidP="00322ADF">
            <w:pPr>
              <w:numPr>
                <w:ilvl w:val="0"/>
                <w:numId w:val="6"/>
              </w:numPr>
              <w:jc w:val="both"/>
              <w:rPr>
                <w:color w:val="000000"/>
                <w:sz w:val="18"/>
                <w:szCs w:val="18"/>
              </w:rPr>
            </w:pPr>
            <w:r w:rsidRPr="007E1A6B">
              <w:rPr>
                <w:color w:val="000000"/>
                <w:sz w:val="18"/>
                <w:szCs w:val="18"/>
              </w:rPr>
              <w:t>Frequency of adverse events related to cabozantinib recorded during the study.</w:t>
            </w:r>
          </w:p>
          <w:p w:rsidR="00322ADF" w:rsidRPr="007E1A6B" w:rsidRDefault="00322ADF" w:rsidP="00322ADF">
            <w:pPr>
              <w:numPr>
                <w:ilvl w:val="0"/>
                <w:numId w:val="6"/>
              </w:numPr>
              <w:jc w:val="both"/>
              <w:rPr>
                <w:sz w:val="18"/>
                <w:szCs w:val="18"/>
              </w:rPr>
            </w:pPr>
            <w:r w:rsidRPr="007E1A6B">
              <w:rPr>
                <w:color w:val="000000"/>
                <w:sz w:val="18"/>
                <w:szCs w:val="18"/>
              </w:rPr>
              <w:t>Variation in the concentration of biomarkers from the beginning of treatment with cabozantinib until its completion.</w:t>
            </w:r>
          </w:p>
          <w:p w:rsidR="00322ADF" w:rsidRPr="007E1A6B" w:rsidRDefault="00322ADF" w:rsidP="006667FC">
            <w:pPr>
              <w:jc w:val="both"/>
              <w:rPr>
                <w:color w:val="000000"/>
                <w:sz w:val="18"/>
                <w:szCs w:val="18"/>
              </w:rPr>
            </w:pPr>
          </w:p>
        </w:tc>
      </w:tr>
      <w:tr w:rsidR="00322ADF" w:rsidRPr="007E1A6B" w:rsidTr="006667FC">
        <w:tc>
          <w:tcPr>
            <w:tcW w:w="1728" w:type="dxa"/>
          </w:tcPr>
          <w:p w:rsidR="00322ADF" w:rsidRPr="007E1A6B" w:rsidRDefault="00322ADF" w:rsidP="006667FC">
            <w:pPr>
              <w:rPr>
                <w:sz w:val="18"/>
                <w:szCs w:val="18"/>
              </w:rPr>
            </w:pPr>
            <w:r w:rsidRPr="007E1A6B">
              <w:rPr>
                <w:sz w:val="18"/>
                <w:szCs w:val="18"/>
              </w:rPr>
              <w:t>Statistical methods</w:t>
            </w:r>
          </w:p>
        </w:tc>
        <w:tc>
          <w:tcPr>
            <w:tcW w:w="7128" w:type="dxa"/>
            <w:gridSpan w:val="5"/>
          </w:tcPr>
          <w:p w:rsidR="00322ADF" w:rsidRPr="007E1A6B" w:rsidRDefault="00322ADF" w:rsidP="006667FC">
            <w:pPr>
              <w:jc w:val="both"/>
              <w:rPr>
                <w:sz w:val="18"/>
                <w:szCs w:val="18"/>
              </w:rPr>
            </w:pPr>
            <w:r w:rsidRPr="007E1A6B">
              <w:rPr>
                <w:sz w:val="18"/>
                <w:szCs w:val="18"/>
              </w:rPr>
              <w:t xml:space="preserve">The statistical analysis of results </w:t>
            </w:r>
            <w:proofErr w:type="gramStart"/>
            <w:r w:rsidRPr="007E1A6B">
              <w:rPr>
                <w:sz w:val="18"/>
                <w:szCs w:val="18"/>
              </w:rPr>
              <w:t>was performed</w:t>
            </w:r>
            <w:proofErr w:type="gramEnd"/>
            <w:r w:rsidRPr="007E1A6B">
              <w:rPr>
                <w:sz w:val="18"/>
                <w:szCs w:val="18"/>
              </w:rPr>
              <w:t xml:space="preserve"> using the SAS® v9.4 software.</w:t>
            </w:r>
          </w:p>
          <w:p w:rsidR="00322ADF" w:rsidRPr="007E1A6B" w:rsidRDefault="00322ADF" w:rsidP="006667FC">
            <w:pPr>
              <w:jc w:val="both"/>
              <w:rPr>
                <w:sz w:val="18"/>
                <w:szCs w:val="18"/>
              </w:rPr>
            </w:pPr>
            <w:r w:rsidRPr="007E1A6B">
              <w:rPr>
                <w:sz w:val="18"/>
                <w:szCs w:val="18"/>
              </w:rPr>
              <w:t xml:space="preserve">The significance level </w:t>
            </w:r>
            <w:proofErr w:type="gramStart"/>
            <w:r w:rsidRPr="007E1A6B">
              <w:rPr>
                <w:sz w:val="18"/>
                <w:szCs w:val="18"/>
              </w:rPr>
              <w:t>was considered</w:t>
            </w:r>
            <w:proofErr w:type="gramEnd"/>
            <w:r w:rsidRPr="007E1A6B">
              <w:rPr>
                <w:sz w:val="18"/>
                <w:szCs w:val="18"/>
              </w:rPr>
              <w:t xml:space="preserve"> for a p &lt; 0.05.</w:t>
            </w:r>
          </w:p>
          <w:p w:rsidR="00322ADF" w:rsidRPr="007E1A6B" w:rsidRDefault="00322ADF" w:rsidP="006667FC">
            <w:pPr>
              <w:jc w:val="both"/>
              <w:rPr>
                <w:sz w:val="18"/>
                <w:szCs w:val="18"/>
              </w:rPr>
            </w:pPr>
            <w:r w:rsidRPr="007E1A6B">
              <w:rPr>
                <w:sz w:val="18"/>
                <w:szCs w:val="18"/>
              </w:rPr>
              <w:lastRenderedPageBreak/>
              <w:t xml:space="preserve">For analysis of the primary objective (response rate), the number and percentage of patients in each of the categories for best response to treatment (complete response, partial response, stable disease and progression of the disease) </w:t>
            </w:r>
            <w:proofErr w:type="gramStart"/>
            <w:r w:rsidRPr="007E1A6B">
              <w:rPr>
                <w:sz w:val="18"/>
                <w:szCs w:val="18"/>
              </w:rPr>
              <w:t>are shown</w:t>
            </w:r>
            <w:proofErr w:type="gramEnd"/>
            <w:r w:rsidRPr="007E1A6B">
              <w:rPr>
                <w:sz w:val="18"/>
                <w:szCs w:val="18"/>
              </w:rPr>
              <w:t xml:space="preserve">. The number and percentage of patients with complete or partial response, as well as the percentage 95% confidence interval </w:t>
            </w:r>
            <w:proofErr w:type="gramStart"/>
            <w:r w:rsidRPr="007E1A6B">
              <w:rPr>
                <w:sz w:val="18"/>
                <w:szCs w:val="18"/>
              </w:rPr>
              <w:t>are presented</w:t>
            </w:r>
            <w:proofErr w:type="gramEnd"/>
            <w:r w:rsidRPr="007E1A6B">
              <w:rPr>
                <w:sz w:val="18"/>
                <w:szCs w:val="18"/>
              </w:rPr>
              <w:t>.</w:t>
            </w:r>
          </w:p>
          <w:p w:rsidR="00322ADF" w:rsidRPr="007E1A6B" w:rsidRDefault="00322ADF" w:rsidP="006667FC">
            <w:pPr>
              <w:jc w:val="both"/>
              <w:rPr>
                <w:sz w:val="18"/>
                <w:szCs w:val="18"/>
              </w:rPr>
            </w:pPr>
            <w:r w:rsidRPr="007E1A6B">
              <w:rPr>
                <w:sz w:val="18"/>
                <w:szCs w:val="18"/>
              </w:rPr>
              <w:t>Secondary Objectives: For overall survival and progression-free survival, a survival curve by means of the Kaplan-Meier method was estimated, and estimates are presented for 25th, 50th percentiles (median) and 75th percentile, together with their 95% confidence intervals:</w:t>
            </w:r>
          </w:p>
          <w:p w:rsidR="00322ADF" w:rsidRPr="007E1A6B" w:rsidRDefault="00322ADF" w:rsidP="006667FC">
            <w:pPr>
              <w:jc w:val="both"/>
              <w:rPr>
                <w:sz w:val="18"/>
                <w:szCs w:val="18"/>
              </w:rPr>
            </w:pPr>
            <w:r w:rsidRPr="007E1A6B">
              <w:rPr>
                <w:sz w:val="18"/>
                <w:szCs w:val="18"/>
              </w:rPr>
              <w:t>For biomarkers, a descriptive report of biomarkers throughout patient follow-up is included.</w:t>
            </w:r>
          </w:p>
          <w:p w:rsidR="00322ADF" w:rsidRPr="007E1A6B" w:rsidRDefault="00322ADF" w:rsidP="006667FC">
            <w:pPr>
              <w:jc w:val="both"/>
              <w:rPr>
                <w:sz w:val="18"/>
                <w:szCs w:val="18"/>
              </w:rPr>
            </w:pPr>
            <w:r w:rsidRPr="0030040A">
              <w:rPr>
                <w:sz w:val="18"/>
                <w:szCs w:val="18"/>
              </w:rPr>
              <w:t>A descriptive analysis was made of adverse events recorded, named based on the Preferred Term (PT), and grouped according to the affected organ/system (System Organ Class – SOC) of the MedDRA dictionary (version</w:t>
            </w:r>
            <w:r w:rsidRPr="007E1A6B">
              <w:rPr>
                <w:sz w:val="18"/>
                <w:szCs w:val="18"/>
              </w:rPr>
              <w:t xml:space="preserve"> 24.1).</w:t>
            </w:r>
          </w:p>
        </w:tc>
      </w:tr>
    </w:tbl>
    <w:p w:rsidR="00322ADF" w:rsidRPr="007E1A6B" w:rsidRDefault="00322ADF" w:rsidP="00322ADF"/>
    <w:p w:rsidR="00322ADF" w:rsidRPr="007E1A6B" w:rsidRDefault="00322ADF" w:rsidP="00322ADF">
      <w:r w:rsidRPr="007E1A6B">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10"/>
        <w:gridCol w:w="2591"/>
        <w:gridCol w:w="1693"/>
      </w:tblGrid>
      <w:tr w:rsidR="00322ADF" w:rsidRPr="007E1A6B" w:rsidTr="006667FC">
        <w:tc>
          <w:tcPr>
            <w:tcW w:w="4428" w:type="dxa"/>
          </w:tcPr>
          <w:p w:rsidR="00322ADF" w:rsidRPr="007E1A6B" w:rsidRDefault="00322ADF" w:rsidP="006667FC">
            <w:pPr>
              <w:rPr>
                <w:b/>
                <w:sz w:val="18"/>
                <w:szCs w:val="18"/>
                <w:u w:val="single"/>
              </w:rPr>
            </w:pPr>
            <w:r w:rsidRPr="007E1A6B">
              <w:rPr>
                <w:b/>
                <w:sz w:val="18"/>
                <w:szCs w:val="18"/>
                <w:u w:val="single"/>
              </w:rPr>
              <w:lastRenderedPageBreak/>
              <w:t xml:space="preserve">NAME OF COMPANY </w:t>
            </w:r>
          </w:p>
          <w:p w:rsidR="00322ADF" w:rsidRPr="007E1A6B" w:rsidRDefault="00322ADF" w:rsidP="006667FC">
            <w:pPr>
              <w:rPr>
                <w:b/>
                <w:sz w:val="18"/>
                <w:szCs w:val="18"/>
                <w:u w:val="single"/>
              </w:rPr>
            </w:pPr>
          </w:p>
          <w:p w:rsidR="00322ADF" w:rsidRPr="007E1A6B" w:rsidRDefault="00322ADF" w:rsidP="006667FC">
            <w:pPr>
              <w:rPr>
                <w:b/>
                <w:sz w:val="18"/>
                <w:szCs w:val="18"/>
                <w:u w:val="single"/>
              </w:rPr>
            </w:pPr>
            <w:r w:rsidRPr="007E1A6B">
              <w:rPr>
                <w:b/>
                <w:sz w:val="18"/>
                <w:szCs w:val="18"/>
                <w:u w:val="single"/>
              </w:rPr>
              <w:t>NAME OF FINISHED PRODUCT</w:t>
            </w:r>
            <w:r w:rsidRPr="007E1A6B">
              <w:rPr>
                <w:sz w:val="18"/>
                <w:szCs w:val="18"/>
              </w:rPr>
              <w:t xml:space="preserve">   </w:t>
            </w:r>
          </w:p>
          <w:p w:rsidR="00322ADF" w:rsidRPr="007E1A6B" w:rsidRDefault="00322ADF" w:rsidP="006667FC">
            <w:pPr>
              <w:rPr>
                <w:b/>
                <w:sz w:val="18"/>
                <w:szCs w:val="18"/>
                <w:u w:val="single"/>
              </w:rPr>
            </w:pPr>
            <w:proofErr w:type="spellStart"/>
            <w:r w:rsidRPr="007E1A6B">
              <w:rPr>
                <w:sz w:val="18"/>
                <w:szCs w:val="18"/>
              </w:rPr>
              <w:t>Cabometyx</w:t>
            </w:r>
            <w:proofErr w:type="spellEnd"/>
            <w:r w:rsidRPr="007E1A6B">
              <w:rPr>
                <w:sz w:val="18"/>
                <w:szCs w:val="18"/>
              </w:rPr>
              <w:t>®</w:t>
            </w:r>
          </w:p>
          <w:p w:rsidR="00322ADF" w:rsidRPr="007E1A6B" w:rsidRDefault="00322ADF" w:rsidP="006667FC">
            <w:pPr>
              <w:rPr>
                <w:b/>
                <w:sz w:val="18"/>
                <w:szCs w:val="18"/>
                <w:u w:val="single"/>
              </w:rPr>
            </w:pPr>
            <w:r w:rsidRPr="007E1A6B">
              <w:rPr>
                <w:b/>
                <w:sz w:val="18"/>
                <w:szCs w:val="18"/>
                <w:u w:val="single"/>
              </w:rPr>
              <w:t>NAME OF ACTIVE INGREDIENT(S)</w:t>
            </w:r>
          </w:p>
          <w:p w:rsidR="00322ADF" w:rsidRPr="007E1A6B" w:rsidRDefault="00322ADF" w:rsidP="006667FC">
            <w:pPr>
              <w:rPr>
                <w:sz w:val="18"/>
                <w:szCs w:val="18"/>
              </w:rPr>
            </w:pPr>
            <w:r w:rsidRPr="007E1A6B">
              <w:rPr>
                <w:sz w:val="18"/>
                <w:szCs w:val="18"/>
              </w:rPr>
              <w:t>Cabozantinib</w:t>
            </w:r>
          </w:p>
        </w:tc>
        <w:tc>
          <w:tcPr>
            <w:tcW w:w="2700" w:type="dxa"/>
          </w:tcPr>
          <w:p w:rsidR="00322ADF" w:rsidRPr="007E1A6B" w:rsidRDefault="00322ADF" w:rsidP="006667FC">
            <w:pPr>
              <w:rPr>
                <w:b/>
                <w:sz w:val="18"/>
                <w:szCs w:val="18"/>
                <w:u w:val="single"/>
              </w:rPr>
            </w:pPr>
            <w:r w:rsidRPr="007E1A6B">
              <w:rPr>
                <w:b/>
                <w:sz w:val="18"/>
                <w:szCs w:val="18"/>
                <w:u w:val="single"/>
              </w:rPr>
              <w:t>INDIVIDUAL STUDY TABLE REFERRING TO MODULE 5 OF THE CTD</w:t>
            </w:r>
          </w:p>
          <w:p w:rsidR="00322ADF" w:rsidRPr="007E1A6B" w:rsidRDefault="00322ADF" w:rsidP="006667FC">
            <w:pPr>
              <w:rPr>
                <w:b/>
                <w:sz w:val="18"/>
                <w:szCs w:val="18"/>
                <w:u w:val="single"/>
              </w:rPr>
            </w:pPr>
          </w:p>
          <w:p w:rsidR="00322ADF" w:rsidRPr="007E1A6B" w:rsidRDefault="00322ADF" w:rsidP="006667FC">
            <w:pPr>
              <w:rPr>
                <w:sz w:val="18"/>
                <w:szCs w:val="18"/>
              </w:rPr>
            </w:pPr>
            <w:r w:rsidRPr="007E1A6B">
              <w:rPr>
                <w:sz w:val="18"/>
                <w:szCs w:val="18"/>
              </w:rPr>
              <w:t>Volume:</w:t>
            </w:r>
          </w:p>
          <w:p w:rsidR="00322ADF" w:rsidRPr="007E1A6B" w:rsidRDefault="00322ADF" w:rsidP="006667FC">
            <w:pPr>
              <w:rPr>
                <w:sz w:val="18"/>
                <w:szCs w:val="18"/>
              </w:rPr>
            </w:pPr>
          </w:p>
          <w:p w:rsidR="00322ADF" w:rsidRPr="007E1A6B" w:rsidRDefault="00322ADF" w:rsidP="006667FC">
            <w:pPr>
              <w:rPr>
                <w:b/>
                <w:sz w:val="18"/>
                <w:szCs w:val="18"/>
                <w:u w:val="single"/>
              </w:rPr>
            </w:pPr>
            <w:r w:rsidRPr="007E1A6B">
              <w:rPr>
                <w:sz w:val="18"/>
                <w:szCs w:val="18"/>
              </w:rPr>
              <w:t>Page:</w:t>
            </w:r>
          </w:p>
        </w:tc>
        <w:tc>
          <w:tcPr>
            <w:tcW w:w="1728" w:type="dxa"/>
          </w:tcPr>
          <w:p w:rsidR="00322ADF" w:rsidRPr="007E1A6B" w:rsidRDefault="00322ADF" w:rsidP="006667FC">
            <w:pPr>
              <w:rPr>
                <w:b/>
                <w:sz w:val="18"/>
                <w:szCs w:val="18"/>
                <w:u w:val="single"/>
              </w:rPr>
            </w:pPr>
            <w:r w:rsidRPr="007E1A6B">
              <w:rPr>
                <w:b/>
                <w:sz w:val="18"/>
                <w:szCs w:val="18"/>
                <w:u w:val="single"/>
              </w:rPr>
              <w:t>(FOR NATIONAL  AUTHORITY USE ONLY)</w:t>
            </w:r>
          </w:p>
        </w:tc>
      </w:tr>
      <w:tr w:rsidR="00322ADF" w:rsidRPr="007E1A6B" w:rsidTr="006667FC">
        <w:trPr>
          <w:trHeight w:val="2647"/>
        </w:trPr>
        <w:tc>
          <w:tcPr>
            <w:tcW w:w="8856" w:type="dxa"/>
            <w:gridSpan w:val="3"/>
          </w:tcPr>
          <w:p w:rsidR="00322ADF" w:rsidRPr="007E1A6B" w:rsidRDefault="00322ADF" w:rsidP="006667FC">
            <w:pPr>
              <w:rPr>
                <w:b/>
                <w:sz w:val="18"/>
                <w:szCs w:val="18"/>
              </w:rPr>
            </w:pPr>
          </w:p>
          <w:p w:rsidR="00322ADF" w:rsidRPr="007E1A6B" w:rsidRDefault="00322ADF" w:rsidP="006667FC">
            <w:pPr>
              <w:rPr>
                <w:b/>
                <w:sz w:val="18"/>
                <w:szCs w:val="18"/>
                <w:u w:val="single"/>
              </w:rPr>
            </w:pPr>
            <w:r w:rsidRPr="007E1A6B">
              <w:rPr>
                <w:b/>
                <w:sz w:val="18"/>
                <w:szCs w:val="18"/>
                <w:u w:val="single"/>
              </w:rPr>
              <w:t>SUMMARY CONCLUSIONS</w:t>
            </w:r>
          </w:p>
          <w:p w:rsidR="00322ADF" w:rsidRPr="007E1A6B" w:rsidRDefault="00322ADF" w:rsidP="006667FC">
            <w:pPr>
              <w:rPr>
                <w:b/>
                <w:sz w:val="18"/>
                <w:szCs w:val="18"/>
                <w:u w:val="single"/>
              </w:rPr>
            </w:pPr>
          </w:p>
          <w:p w:rsidR="00322ADF" w:rsidRPr="007E1A6B" w:rsidRDefault="00322ADF" w:rsidP="006667FC">
            <w:pPr>
              <w:rPr>
                <w:b/>
                <w:sz w:val="18"/>
                <w:szCs w:val="18"/>
                <w:u w:val="single"/>
              </w:rPr>
            </w:pPr>
          </w:p>
          <w:p w:rsidR="00322ADF" w:rsidRPr="0030040A" w:rsidRDefault="00322ADF" w:rsidP="006667FC">
            <w:pPr>
              <w:jc w:val="both"/>
              <w:rPr>
                <w:sz w:val="18"/>
                <w:szCs w:val="18"/>
              </w:rPr>
            </w:pPr>
            <w:r w:rsidRPr="0030040A">
              <w:rPr>
                <w:sz w:val="18"/>
                <w:szCs w:val="18"/>
              </w:rPr>
              <w:t>This final report outlines the results of the statistical analysis, as established in the protocol.</w:t>
            </w:r>
          </w:p>
          <w:p w:rsidR="00322ADF" w:rsidRPr="0030040A" w:rsidRDefault="00322ADF" w:rsidP="006667FC">
            <w:pPr>
              <w:rPr>
                <w:b/>
                <w:sz w:val="18"/>
                <w:szCs w:val="18"/>
                <w:u w:val="single"/>
              </w:rPr>
            </w:pPr>
          </w:p>
          <w:p w:rsidR="00322ADF" w:rsidRPr="0030040A" w:rsidRDefault="00322ADF" w:rsidP="006667FC">
            <w:pPr>
              <w:rPr>
                <w:b/>
                <w:sz w:val="18"/>
                <w:szCs w:val="18"/>
              </w:rPr>
            </w:pPr>
          </w:p>
          <w:p w:rsidR="00322ADF" w:rsidRPr="0030040A" w:rsidRDefault="00322ADF" w:rsidP="006667FC">
            <w:pPr>
              <w:rPr>
                <w:b/>
                <w:sz w:val="18"/>
                <w:szCs w:val="18"/>
              </w:rPr>
            </w:pPr>
            <w:r w:rsidRPr="0030040A">
              <w:rPr>
                <w:b/>
                <w:sz w:val="18"/>
                <w:szCs w:val="18"/>
              </w:rPr>
              <w:t>EFFICACY RESULTS</w:t>
            </w:r>
          </w:p>
          <w:p w:rsidR="00322ADF" w:rsidRPr="0030040A" w:rsidRDefault="00322ADF" w:rsidP="006667FC">
            <w:pPr>
              <w:rPr>
                <w:b/>
                <w:sz w:val="18"/>
                <w:szCs w:val="18"/>
              </w:rPr>
            </w:pPr>
          </w:p>
          <w:p w:rsidR="00322ADF" w:rsidRPr="0030040A" w:rsidRDefault="00322ADF" w:rsidP="006667FC">
            <w:pPr>
              <w:spacing w:line="276" w:lineRule="auto"/>
              <w:jc w:val="both"/>
              <w:rPr>
                <w:sz w:val="18"/>
                <w:szCs w:val="18"/>
              </w:rPr>
            </w:pPr>
            <w:r w:rsidRPr="0030040A">
              <w:rPr>
                <w:sz w:val="18"/>
                <w:szCs w:val="18"/>
              </w:rPr>
              <w:t xml:space="preserve">The achieved sample has been smaller than the planned 26 patients to conduct the interim </w:t>
            </w:r>
            <w:proofErr w:type="gramStart"/>
            <w:r w:rsidRPr="0030040A">
              <w:rPr>
                <w:sz w:val="18"/>
                <w:szCs w:val="18"/>
              </w:rPr>
              <w:t>analysis</w:t>
            </w:r>
            <w:proofErr w:type="gramEnd"/>
            <w:r w:rsidRPr="0030040A">
              <w:rPr>
                <w:sz w:val="18"/>
                <w:szCs w:val="18"/>
              </w:rPr>
              <w:t xml:space="preserve">; thus, a final result analysis was conducted, as presented herein. The analysis population (Full Analysis Set, FAS) comprises 18 patients, with a mean age of 57.1 years (SD: 10.9), with 66.7% being male. The mean BMI was 25.5 (SD: 5.9). Upon enrolment into the study, patients’ performance status (ECOG and </w:t>
            </w:r>
            <w:proofErr w:type="spellStart"/>
            <w:r w:rsidRPr="0030040A">
              <w:rPr>
                <w:sz w:val="18"/>
                <w:szCs w:val="18"/>
              </w:rPr>
              <w:t>Karnofsky</w:t>
            </w:r>
            <w:proofErr w:type="spellEnd"/>
            <w:r w:rsidRPr="0030040A">
              <w:rPr>
                <w:sz w:val="18"/>
                <w:szCs w:val="18"/>
              </w:rPr>
              <w:t xml:space="preserve">) </w:t>
            </w:r>
            <w:proofErr w:type="gramStart"/>
            <w:r w:rsidRPr="0030040A">
              <w:rPr>
                <w:sz w:val="18"/>
                <w:szCs w:val="18"/>
              </w:rPr>
              <w:t>was assessed</w:t>
            </w:r>
            <w:proofErr w:type="gramEnd"/>
            <w:r w:rsidRPr="0030040A">
              <w:rPr>
                <w:sz w:val="18"/>
                <w:szCs w:val="18"/>
              </w:rPr>
              <w:t>, as well as personal history, prior and concomitant medication, and test labs required for participation in the study. Patients had to present with locally advanced or metastatic renal cell carcinoma with a clear cell component confirmed histologically by biopsy</w:t>
            </w:r>
            <w:proofErr w:type="gramStart"/>
            <w:r w:rsidRPr="0030040A">
              <w:rPr>
                <w:sz w:val="18"/>
                <w:szCs w:val="18"/>
              </w:rPr>
              <w:t>;</w:t>
            </w:r>
            <w:proofErr w:type="gramEnd"/>
            <w:r w:rsidRPr="0030040A">
              <w:rPr>
                <w:sz w:val="18"/>
                <w:szCs w:val="18"/>
              </w:rPr>
              <w:t xml:space="preserve"> an ECOG performance status between 0 and 1, and with evaluable tumor disease according to the RECIST 1.1. </w:t>
            </w:r>
            <w:proofErr w:type="gramStart"/>
            <w:r w:rsidRPr="0030040A">
              <w:rPr>
                <w:sz w:val="18"/>
                <w:szCs w:val="18"/>
              </w:rPr>
              <w:t>criteria</w:t>
            </w:r>
            <w:proofErr w:type="gramEnd"/>
            <w:r w:rsidRPr="0030040A">
              <w:rPr>
                <w:sz w:val="18"/>
                <w:szCs w:val="18"/>
              </w:rPr>
              <w:t>, among other requirements.</w:t>
            </w:r>
          </w:p>
          <w:p w:rsidR="00322ADF" w:rsidRPr="0030040A" w:rsidRDefault="00322ADF" w:rsidP="006667FC">
            <w:pPr>
              <w:spacing w:line="276" w:lineRule="auto"/>
              <w:jc w:val="both"/>
              <w:rPr>
                <w:sz w:val="18"/>
                <w:szCs w:val="18"/>
                <w:lang w:eastAsia="x-none"/>
              </w:rPr>
            </w:pPr>
          </w:p>
          <w:p w:rsidR="00322ADF" w:rsidRPr="0030040A" w:rsidRDefault="00322ADF" w:rsidP="006667FC">
            <w:pPr>
              <w:spacing w:line="276" w:lineRule="auto"/>
              <w:jc w:val="both"/>
              <w:rPr>
                <w:sz w:val="18"/>
                <w:szCs w:val="18"/>
              </w:rPr>
            </w:pPr>
            <w:r w:rsidRPr="0030040A">
              <w:rPr>
                <w:sz w:val="18"/>
                <w:szCs w:val="18"/>
              </w:rPr>
              <w:t xml:space="preserve">The cabozantinib dose </w:t>
            </w:r>
            <w:proofErr w:type="gramStart"/>
            <w:r w:rsidRPr="0030040A">
              <w:rPr>
                <w:sz w:val="18"/>
                <w:szCs w:val="18"/>
              </w:rPr>
              <w:t>was administered</w:t>
            </w:r>
            <w:proofErr w:type="gramEnd"/>
            <w:r w:rsidRPr="0030040A">
              <w:rPr>
                <w:sz w:val="18"/>
                <w:szCs w:val="18"/>
              </w:rPr>
              <w:t xml:space="preserve"> as specified in the technical file: 60 mg OD orally. If dose reductions were made, to 40 mg first and then to 20 mg, these were irreversible.</w:t>
            </w:r>
          </w:p>
          <w:p w:rsidR="00322ADF" w:rsidRPr="0030040A" w:rsidRDefault="00322ADF" w:rsidP="006667FC">
            <w:pPr>
              <w:spacing w:line="276" w:lineRule="auto"/>
              <w:jc w:val="both"/>
              <w:rPr>
                <w:sz w:val="18"/>
                <w:szCs w:val="18"/>
                <w:lang w:eastAsia="x-none"/>
              </w:rPr>
            </w:pPr>
          </w:p>
          <w:p w:rsidR="00322ADF" w:rsidRPr="0030040A" w:rsidRDefault="00322ADF" w:rsidP="006667FC">
            <w:pPr>
              <w:spacing w:line="276" w:lineRule="auto"/>
              <w:jc w:val="both"/>
              <w:rPr>
                <w:sz w:val="18"/>
                <w:szCs w:val="18"/>
              </w:rPr>
            </w:pPr>
            <w:r w:rsidRPr="0030040A">
              <w:rPr>
                <w:sz w:val="18"/>
                <w:szCs w:val="18"/>
              </w:rPr>
              <w:t xml:space="preserve">Analyses both for the primary objective and the secondary objectives </w:t>
            </w:r>
            <w:proofErr w:type="gramStart"/>
            <w:r w:rsidRPr="0030040A">
              <w:rPr>
                <w:sz w:val="18"/>
                <w:szCs w:val="18"/>
              </w:rPr>
              <w:t>was conducted</w:t>
            </w:r>
            <w:proofErr w:type="gramEnd"/>
            <w:r w:rsidRPr="0030040A">
              <w:rPr>
                <w:sz w:val="18"/>
                <w:szCs w:val="18"/>
              </w:rPr>
              <w:t xml:space="preserve"> as specified with the statistical methods of the study protocol. The primary efficacy analysis </w:t>
            </w:r>
            <w:proofErr w:type="gramStart"/>
            <w:r w:rsidRPr="0030040A">
              <w:rPr>
                <w:sz w:val="18"/>
                <w:szCs w:val="18"/>
              </w:rPr>
              <w:t>was conducted</w:t>
            </w:r>
            <w:proofErr w:type="gramEnd"/>
            <w:r w:rsidRPr="0030040A">
              <w:rPr>
                <w:sz w:val="18"/>
                <w:szCs w:val="18"/>
              </w:rPr>
              <w:t xml:space="preserve"> on the FAS population, 18 patients, and on the Per Protocol (PP) population, 15 patients. Mean follow-up time for the 18 patients of the FAS population was 7.7 (SD: 3.7) months. Mean time between diagnosis of the primary tumor and enrollment of the patient in the study was 25.4 (SD 24.3) days, and between diagnosis of metastatic/advanced disease and enrollment, 27.8 (SD 23.9) days. All patients presented metastases; 33.3% (n=6) in one location, 44.4% (n=8) in two; 11.1% (n=2) in three, and 5.6% (n=1) in four and five locations, respectively. At baseline, 77.8% (n=14) of patients were classified in the intermediate risk group, and the remaining 22.2% (n=4) in the high-risk group based on IMDC and MSKCC/Motzer, respectively, as gathered at baseline.</w:t>
            </w:r>
          </w:p>
          <w:p w:rsidR="00322ADF" w:rsidRPr="0030040A" w:rsidRDefault="00322ADF" w:rsidP="006667FC">
            <w:pPr>
              <w:jc w:val="both"/>
              <w:rPr>
                <w:sz w:val="18"/>
                <w:szCs w:val="18"/>
              </w:rPr>
            </w:pPr>
          </w:p>
          <w:p w:rsidR="00322ADF" w:rsidRPr="0030040A" w:rsidRDefault="00322ADF" w:rsidP="006667FC">
            <w:pPr>
              <w:jc w:val="both"/>
              <w:rPr>
                <w:sz w:val="18"/>
                <w:szCs w:val="18"/>
              </w:rPr>
            </w:pPr>
            <w:r w:rsidRPr="0030040A">
              <w:rPr>
                <w:sz w:val="18"/>
                <w:szCs w:val="18"/>
              </w:rPr>
              <w:t xml:space="preserve">Treatment with cabozantinib began, on average, at 34.7 (SD 24.7) days following diagnosis of the primary tumor, and at 36.3 (SD 24.6) days following diagnosis of metastatic or advanced disease. Cabozantinib </w:t>
            </w:r>
            <w:proofErr w:type="gramStart"/>
            <w:r w:rsidRPr="0030040A">
              <w:rPr>
                <w:sz w:val="18"/>
                <w:szCs w:val="18"/>
              </w:rPr>
              <w:t>was discontinued at least 28 days before CN and resumed once the wound had adequately healed</w:t>
            </w:r>
            <w:proofErr w:type="gramEnd"/>
            <w:r w:rsidRPr="0030040A">
              <w:rPr>
                <w:sz w:val="18"/>
                <w:szCs w:val="18"/>
              </w:rPr>
              <w:t>.</w:t>
            </w:r>
          </w:p>
          <w:p w:rsidR="00322ADF" w:rsidRPr="0030040A" w:rsidRDefault="00322ADF" w:rsidP="006667FC">
            <w:pPr>
              <w:spacing w:line="259" w:lineRule="auto"/>
              <w:jc w:val="both"/>
              <w:rPr>
                <w:sz w:val="18"/>
                <w:szCs w:val="18"/>
              </w:rPr>
            </w:pPr>
            <w:r w:rsidRPr="0030040A">
              <w:rPr>
                <w:sz w:val="18"/>
                <w:szCs w:val="18"/>
              </w:rPr>
              <w:t xml:space="preserve">In the FAS population, at 12 weeks of treatment with cabozantinib, the percentage of patients with complete or partial response was 26.7%, with a percentage (7.8-55.1) confidence interval of 95%, and 66.7% of patients with stable disease and 6.7% with disease progression. The median PFS was 7.8 months and the OS median </w:t>
            </w:r>
            <w:proofErr w:type="gramStart"/>
            <w:r w:rsidRPr="0030040A">
              <w:rPr>
                <w:sz w:val="18"/>
                <w:szCs w:val="18"/>
              </w:rPr>
              <w:t>was not reached</w:t>
            </w:r>
            <w:proofErr w:type="gramEnd"/>
            <w:r w:rsidRPr="0030040A">
              <w:rPr>
                <w:sz w:val="18"/>
                <w:szCs w:val="18"/>
              </w:rPr>
              <w:t>.</w:t>
            </w:r>
          </w:p>
          <w:p w:rsidR="00322ADF" w:rsidRPr="0030040A" w:rsidRDefault="00322ADF" w:rsidP="006667FC">
            <w:pPr>
              <w:spacing w:line="276" w:lineRule="auto"/>
              <w:jc w:val="both"/>
              <w:rPr>
                <w:sz w:val="18"/>
                <w:szCs w:val="18"/>
              </w:rPr>
            </w:pPr>
          </w:p>
          <w:p w:rsidR="00322ADF" w:rsidRPr="0030040A" w:rsidRDefault="00322ADF" w:rsidP="006667FC">
            <w:pPr>
              <w:jc w:val="both"/>
              <w:rPr>
                <w:sz w:val="18"/>
                <w:szCs w:val="18"/>
              </w:rPr>
            </w:pPr>
            <w:r w:rsidRPr="0030040A">
              <w:rPr>
                <w:sz w:val="18"/>
                <w:szCs w:val="18"/>
              </w:rPr>
              <w:t>Analysis of secondary objectives included radiological response rate during treatment. The best assessment of response with cabozantinib was 5.9% (n=1) with complete response, 35.3% (n=6) with partial response and 58.8% (n=10) with stable disease. The best objective response (complete and partial response) was achieved in 41.2% (n=7) of patients.</w:t>
            </w:r>
          </w:p>
          <w:p w:rsidR="00322ADF" w:rsidRPr="0030040A" w:rsidRDefault="00322ADF" w:rsidP="006667FC">
            <w:pPr>
              <w:jc w:val="both"/>
              <w:rPr>
                <w:sz w:val="18"/>
                <w:szCs w:val="18"/>
              </w:rPr>
            </w:pPr>
          </w:p>
          <w:p w:rsidR="00322ADF" w:rsidRPr="0030040A" w:rsidRDefault="00322ADF" w:rsidP="006667FC">
            <w:pPr>
              <w:spacing w:line="276" w:lineRule="auto"/>
              <w:jc w:val="both"/>
              <w:rPr>
                <w:sz w:val="18"/>
                <w:szCs w:val="18"/>
              </w:rPr>
            </w:pPr>
          </w:p>
          <w:p w:rsidR="00322ADF" w:rsidRPr="0030040A" w:rsidRDefault="00322ADF" w:rsidP="006667FC">
            <w:pPr>
              <w:spacing w:line="276" w:lineRule="auto"/>
              <w:jc w:val="both"/>
              <w:rPr>
                <w:sz w:val="18"/>
                <w:szCs w:val="18"/>
              </w:rPr>
            </w:pPr>
            <w:r w:rsidRPr="0030040A">
              <w:rPr>
                <w:sz w:val="18"/>
                <w:szCs w:val="18"/>
              </w:rPr>
              <w:t xml:space="preserve">When analyzing biomarkers at the different visits, no relevant changes </w:t>
            </w:r>
            <w:proofErr w:type="gramStart"/>
            <w:r w:rsidRPr="0030040A">
              <w:rPr>
                <w:sz w:val="18"/>
                <w:szCs w:val="18"/>
              </w:rPr>
              <w:t>were found</w:t>
            </w:r>
            <w:proofErr w:type="gramEnd"/>
            <w:r w:rsidRPr="0030040A">
              <w:rPr>
                <w:sz w:val="18"/>
                <w:szCs w:val="18"/>
              </w:rPr>
              <w:t xml:space="preserve"> in the mean (SD) value of serum calcium, hemoglobin and/or LDH. For neutrophils and platelets, a mild decrease </w:t>
            </w:r>
            <w:proofErr w:type="gramStart"/>
            <w:r w:rsidRPr="0030040A">
              <w:rPr>
                <w:sz w:val="18"/>
                <w:szCs w:val="18"/>
              </w:rPr>
              <w:t>was observed</w:t>
            </w:r>
            <w:proofErr w:type="gramEnd"/>
            <w:r w:rsidRPr="0030040A">
              <w:rPr>
                <w:sz w:val="18"/>
                <w:szCs w:val="18"/>
              </w:rPr>
              <w:t xml:space="preserve"> at pre-surgical visits with respect to baseline, with a tendency to recovery at the final visit.</w:t>
            </w:r>
          </w:p>
          <w:p w:rsidR="00322ADF" w:rsidRPr="0030040A" w:rsidRDefault="00322ADF" w:rsidP="006667FC">
            <w:pPr>
              <w:spacing w:line="276" w:lineRule="auto"/>
              <w:jc w:val="both"/>
              <w:rPr>
                <w:sz w:val="18"/>
                <w:szCs w:val="18"/>
                <w:lang w:eastAsia="x-none"/>
              </w:rPr>
            </w:pPr>
          </w:p>
          <w:p w:rsidR="00322ADF" w:rsidRPr="0030040A" w:rsidRDefault="00322ADF" w:rsidP="006667FC">
            <w:pPr>
              <w:spacing w:line="276" w:lineRule="auto"/>
              <w:jc w:val="both"/>
              <w:rPr>
                <w:sz w:val="18"/>
                <w:szCs w:val="18"/>
              </w:rPr>
            </w:pPr>
            <w:r w:rsidRPr="0030040A">
              <w:rPr>
                <w:sz w:val="18"/>
                <w:szCs w:val="18"/>
              </w:rPr>
              <w:t xml:space="preserve">Finally, additional efficacy analyses have not found statistically significant differences in the assessment of the total number of target lesions and the number of metastatic sites and their location (p&gt;0.05). PFS and OS based on IMDC and calculated based on the performance or not of nephrectomy and the relevant clinical variables </w:t>
            </w:r>
            <w:proofErr w:type="gramStart"/>
            <w:r w:rsidRPr="0030040A">
              <w:rPr>
                <w:sz w:val="18"/>
                <w:szCs w:val="18"/>
              </w:rPr>
              <w:t>were assessed</w:t>
            </w:r>
            <w:proofErr w:type="gramEnd"/>
            <w:r w:rsidRPr="0030040A">
              <w:rPr>
                <w:sz w:val="18"/>
                <w:szCs w:val="18"/>
              </w:rPr>
              <w:t xml:space="preserve"> and are shown in an exploratory fashion.</w:t>
            </w:r>
          </w:p>
          <w:p w:rsidR="00322ADF" w:rsidRPr="0030040A" w:rsidRDefault="00322ADF" w:rsidP="006667FC">
            <w:pPr>
              <w:spacing w:line="276" w:lineRule="auto"/>
              <w:jc w:val="both"/>
              <w:rPr>
                <w:sz w:val="18"/>
                <w:szCs w:val="18"/>
                <w:lang w:eastAsia="x-none"/>
              </w:rPr>
            </w:pPr>
          </w:p>
          <w:p w:rsidR="00322ADF" w:rsidRPr="0030040A" w:rsidRDefault="00322ADF" w:rsidP="006667FC">
            <w:pPr>
              <w:spacing w:line="276" w:lineRule="auto"/>
              <w:jc w:val="both"/>
              <w:rPr>
                <w:sz w:val="18"/>
                <w:szCs w:val="18"/>
              </w:rPr>
            </w:pPr>
            <w:r w:rsidRPr="0030040A">
              <w:rPr>
                <w:sz w:val="18"/>
                <w:szCs w:val="18"/>
              </w:rPr>
              <w:t xml:space="preserve">It </w:t>
            </w:r>
            <w:proofErr w:type="gramStart"/>
            <w:r w:rsidRPr="0030040A">
              <w:rPr>
                <w:sz w:val="18"/>
                <w:szCs w:val="18"/>
              </w:rPr>
              <w:t>should be noted</w:t>
            </w:r>
            <w:proofErr w:type="gramEnd"/>
            <w:r w:rsidRPr="0030040A">
              <w:rPr>
                <w:sz w:val="18"/>
                <w:szCs w:val="18"/>
              </w:rPr>
              <w:t xml:space="preserve"> that in the cases where information was provided, therapeutic compliance exceeded 70% for most visits. </w:t>
            </w:r>
          </w:p>
          <w:p w:rsidR="00322ADF" w:rsidRPr="0030040A" w:rsidRDefault="00322ADF" w:rsidP="006667FC">
            <w:pPr>
              <w:rPr>
                <w:b/>
                <w:sz w:val="18"/>
                <w:szCs w:val="18"/>
              </w:rPr>
            </w:pPr>
          </w:p>
          <w:p w:rsidR="00322ADF" w:rsidRPr="0030040A" w:rsidRDefault="00322ADF" w:rsidP="006667FC">
            <w:pPr>
              <w:rPr>
                <w:b/>
                <w:sz w:val="18"/>
                <w:szCs w:val="18"/>
              </w:rPr>
            </w:pPr>
            <w:r w:rsidRPr="0030040A">
              <w:rPr>
                <w:b/>
                <w:sz w:val="18"/>
                <w:szCs w:val="18"/>
              </w:rPr>
              <w:t>SAFETY RESULTS</w:t>
            </w:r>
          </w:p>
          <w:p w:rsidR="00322ADF" w:rsidRPr="0030040A" w:rsidRDefault="00322ADF" w:rsidP="006667FC">
            <w:pPr>
              <w:rPr>
                <w:b/>
                <w:sz w:val="18"/>
                <w:szCs w:val="18"/>
              </w:rPr>
            </w:pPr>
          </w:p>
          <w:p w:rsidR="00322ADF" w:rsidRPr="0030040A" w:rsidRDefault="00322ADF" w:rsidP="006667FC">
            <w:pPr>
              <w:spacing w:line="276" w:lineRule="auto"/>
              <w:jc w:val="both"/>
              <w:rPr>
                <w:sz w:val="18"/>
                <w:szCs w:val="18"/>
              </w:rPr>
            </w:pPr>
            <w:r w:rsidRPr="0030040A">
              <w:rPr>
                <w:sz w:val="18"/>
                <w:szCs w:val="18"/>
              </w:rPr>
              <w:t xml:space="preserve">As regards tolerability and safety, no new or unexpected events </w:t>
            </w:r>
            <w:proofErr w:type="gramStart"/>
            <w:r w:rsidRPr="0030040A">
              <w:rPr>
                <w:sz w:val="18"/>
                <w:szCs w:val="18"/>
              </w:rPr>
              <w:t>were observed</w:t>
            </w:r>
            <w:proofErr w:type="gramEnd"/>
            <w:r w:rsidRPr="0030040A">
              <w:rPr>
                <w:sz w:val="18"/>
                <w:szCs w:val="18"/>
              </w:rPr>
              <w:t xml:space="preserve"> with cabozantinib. </w:t>
            </w:r>
          </w:p>
          <w:p w:rsidR="00322ADF" w:rsidRPr="0030040A" w:rsidRDefault="00322ADF" w:rsidP="006667FC">
            <w:pPr>
              <w:spacing w:line="276" w:lineRule="auto"/>
              <w:jc w:val="both"/>
              <w:rPr>
                <w:sz w:val="18"/>
                <w:szCs w:val="18"/>
              </w:rPr>
            </w:pPr>
          </w:p>
          <w:p w:rsidR="00322ADF" w:rsidRPr="0030040A" w:rsidRDefault="00322ADF" w:rsidP="006667FC">
            <w:pPr>
              <w:jc w:val="both"/>
              <w:rPr>
                <w:b/>
                <w:sz w:val="18"/>
                <w:szCs w:val="18"/>
              </w:rPr>
            </w:pPr>
            <w:r w:rsidRPr="0030040A">
              <w:rPr>
                <w:sz w:val="18"/>
                <w:szCs w:val="18"/>
              </w:rPr>
              <w:t xml:space="preserve">The most common AEs were asthenia (66.7%, n=12), diarrhea (61.1%, n=11), hypertension (55.6%, n=10), mucositis and nausea (38.9%, n=7), respectively, </w:t>
            </w:r>
            <w:proofErr w:type="spellStart"/>
            <w:r w:rsidRPr="0030040A">
              <w:rPr>
                <w:sz w:val="18"/>
                <w:szCs w:val="18"/>
              </w:rPr>
              <w:t>hypertransaminasemia</w:t>
            </w:r>
            <w:proofErr w:type="spellEnd"/>
            <w:r w:rsidRPr="0030040A">
              <w:rPr>
                <w:sz w:val="18"/>
                <w:szCs w:val="18"/>
              </w:rPr>
              <w:t xml:space="preserve"> and decreased appetite (33.3%, n=6), respectively, hand-foot syndrome (22.2%, n=4), </w:t>
            </w:r>
            <w:proofErr w:type="spellStart"/>
            <w:r w:rsidRPr="0030040A">
              <w:rPr>
                <w:sz w:val="18"/>
                <w:szCs w:val="18"/>
              </w:rPr>
              <w:t>dysgeusia</w:t>
            </w:r>
            <w:proofErr w:type="spellEnd"/>
            <w:r w:rsidRPr="0030040A">
              <w:rPr>
                <w:sz w:val="18"/>
                <w:szCs w:val="18"/>
              </w:rPr>
              <w:t xml:space="preserve"> and hypothyroidism (16.7%, n=3), respectively, renal impairment and weight loss in 11.1% (n=2). Therefore, the study treatment </w:t>
            </w:r>
            <w:proofErr w:type="gramStart"/>
            <w:r w:rsidRPr="0030040A">
              <w:rPr>
                <w:sz w:val="18"/>
                <w:szCs w:val="18"/>
              </w:rPr>
              <w:t>was tolerated</w:t>
            </w:r>
            <w:proofErr w:type="gramEnd"/>
            <w:r w:rsidRPr="0030040A">
              <w:rPr>
                <w:sz w:val="18"/>
                <w:szCs w:val="18"/>
              </w:rPr>
              <w:t xml:space="preserve"> as specified in its SmPC. </w:t>
            </w:r>
          </w:p>
          <w:p w:rsidR="00322ADF" w:rsidRPr="0030040A" w:rsidRDefault="00322ADF" w:rsidP="006667FC">
            <w:pPr>
              <w:rPr>
                <w:b/>
                <w:sz w:val="18"/>
                <w:szCs w:val="18"/>
              </w:rPr>
            </w:pPr>
          </w:p>
          <w:p w:rsidR="00322ADF" w:rsidRPr="0030040A" w:rsidRDefault="00322ADF" w:rsidP="006667FC">
            <w:pPr>
              <w:rPr>
                <w:b/>
                <w:sz w:val="18"/>
                <w:szCs w:val="18"/>
              </w:rPr>
            </w:pPr>
          </w:p>
          <w:p w:rsidR="00322ADF" w:rsidRPr="0030040A" w:rsidRDefault="00322ADF" w:rsidP="006667FC">
            <w:pPr>
              <w:rPr>
                <w:b/>
                <w:sz w:val="18"/>
                <w:szCs w:val="18"/>
              </w:rPr>
            </w:pPr>
            <w:r w:rsidRPr="0030040A">
              <w:rPr>
                <w:b/>
                <w:sz w:val="18"/>
                <w:szCs w:val="18"/>
              </w:rPr>
              <w:t>CONCLUSION</w:t>
            </w:r>
          </w:p>
          <w:p w:rsidR="00322ADF" w:rsidRPr="0030040A" w:rsidRDefault="00322ADF" w:rsidP="006667FC">
            <w:pPr>
              <w:rPr>
                <w:b/>
                <w:sz w:val="18"/>
                <w:szCs w:val="18"/>
              </w:rPr>
            </w:pPr>
          </w:p>
          <w:p w:rsidR="00322ADF" w:rsidRPr="0030040A" w:rsidRDefault="00322ADF" w:rsidP="006667FC">
            <w:pPr>
              <w:jc w:val="both"/>
              <w:rPr>
                <w:b/>
                <w:sz w:val="18"/>
                <w:szCs w:val="18"/>
              </w:rPr>
            </w:pPr>
            <w:r w:rsidRPr="0030040A">
              <w:rPr>
                <w:sz w:val="18"/>
                <w:szCs w:val="18"/>
              </w:rPr>
              <w:t xml:space="preserve">Cabozantinib as perioperative treatment can induce rapid and remarkable responses in intermediate-risk patients facilitating </w:t>
            </w:r>
            <w:proofErr w:type="spellStart"/>
            <w:r w:rsidRPr="0030040A">
              <w:rPr>
                <w:sz w:val="18"/>
                <w:szCs w:val="18"/>
              </w:rPr>
              <w:t>resectability</w:t>
            </w:r>
            <w:proofErr w:type="spellEnd"/>
            <w:r w:rsidRPr="0030040A">
              <w:rPr>
                <w:sz w:val="18"/>
                <w:szCs w:val="18"/>
              </w:rPr>
              <w:t xml:space="preserve"> in advanced or metastatic </w:t>
            </w:r>
            <w:proofErr w:type="spellStart"/>
            <w:r w:rsidRPr="0030040A">
              <w:rPr>
                <w:sz w:val="18"/>
                <w:szCs w:val="18"/>
              </w:rPr>
              <w:t>ccRCC</w:t>
            </w:r>
            <w:proofErr w:type="spellEnd"/>
            <w:r w:rsidRPr="0030040A">
              <w:rPr>
                <w:sz w:val="18"/>
                <w:szCs w:val="18"/>
              </w:rPr>
              <w:t xml:space="preserve"> patients.</w:t>
            </w:r>
          </w:p>
          <w:p w:rsidR="00322ADF" w:rsidRPr="0030040A" w:rsidRDefault="00322ADF" w:rsidP="006667FC">
            <w:pPr>
              <w:rPr>
                <w:b/>
                <w:sz w:val="18"/>
                <w:szCs w:val="18"/>
              </w:rPr>
            </w:pPr>
          </w:p>
          <w:p w:rsidR="00322ADF" w:rsidRPr="0030040A" w:rsidRDefault="00322ADF" w:rsidP="006667FC">
            <w:pPr>
              <w:rPr>
                <w:b/>
                <w:sz w:val="18"/>
                <w:szCs w:val="18"/>
              </w:rPr>
            </w:pPr>
            <w:r w:rsidRPr="0030040A">
              <w:rPr>
                <w:b/>
                <w:sz w:val="18"/>
                <w:szCs w:val="18"/>
              </w:rPr>
              <w:t xml:space="preserve">DATE OF THE REPORT: </w:t>
            </w:r>
            <w:r w:rsidRPr="004A1752">
              <w:rPr>
                <w:sz w:val="18"/>
                <w:szCs w:val="18"/>
              </w:rPr>
              <w:t>August 9, 2022</w:t>
            </w:r>
          </w:p>
          <w:p w:rsidR="00322ADF" w:rsidRPr="007E1A6B" w:rsidRDefault="00322ADF" w:rsidP="006667FC">
            <w:pPr>
              <w:rPr>
                <w:b/>
                <w:sz w:val="18"/>
                <w:szCs w:val="18"/>
              </w:rPr>
            </w:pPr>
          </w:p>
        </w:tc>
      </w:tr>
    </w:tbl>
    <w:p w:rsidR="00322ADF" w:rsidRPr="007E1A6B" w:rsidRDefault="00322ADF" w:rsidP="00322ADF">
      <w:pPr>
        <w:rPr>
          <w:b/>
        </w:rPr>
      </w:pPr>
    </w:p>
    <w:p w:rsidR="00322ADF" w:rsidRPr="007E1A6B" w:rsidRDefault="00322ADF" w:rsidP="00322ADF">
      <w:pPr>
        <w:pStyle w:val="Sangra3detindependiente"/>
        <w:ind w:left="0"/>
      </w:pPr>
    </w:p>
    <w:p w:rsidR="00F877CE" w:rsidRDefault="00322ADF">
      <w:bookmarkStart w:id="0" w:name="_GoBack"/>
      <w:bookmarkEnd w:id="0"/>
    </w:p>
    <w:sectPr w:rsidR="00F877C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932964"/>
    <w:multiLevelType w:val="hybridMultilevel"/>
    <w:tmpl w:val="26783EB8"/>
    <w:lvl w:ilvl="0" w:tplc="FFFFFFFF">
      <w:numFmt w:val="bullet"/>
      <w:lvlText w:val="•"/>
      <w:lvlJc w:val="left"/>
      <w:pPr>
        <w:ind w:left="720" w:hanging="360"/>
      </w:pPr>
      <w:rPr>
        <w:rFonts w:ascii="Arial" w:eastAsia="Times New Roman" w:hAnsi="Arial" w:cs="Arial" w:hint="default"/>
      </w:rPr>
    </w:lvl>
    <w:lvl w:ilvl="1" w:tplc="FFFFFFFF">
      <w:start w:val="5"/>
      <w:numFmt w:val="bullet"/>
      <w:lvlText w:val=""/>
      <w:lvlJc w:val="left"/>
      <w:pPr>
        <w:ind w:left="2220" w:hanging="1140"/>
      </w:pPr>
      <w:rPr>
        <w:rFonts w:ascii="Symbol" w:eastAsia="Times New Roman" w:hAnsi="Symbol"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2211260F"/>
    <w:multiLevelType w:val="hybridMultilevel"/>
    <w:tmpl w:val="777669D4"/>
    <w:lvl w:ilvl="0" w:tplc="FFFFFFFF">
      <w:numFmt w:val="bullet"/>
      <w:lvlText w:val="•"/>
      <w:lvlJc w:val="left"/>
      <w:pPr>
        <w:ind w:left="1080" w:hanging="360"/>
      </w:pPr>
      <w:rPr>
        <w:rFonts w:ascii="Arial" w:eastAsia="Times New Roman" w:hAnsi="Arial" w:cs="Arial"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24FA3589"/>
    <w:multiLevelType w:val="hybridMultilevel"/>
    <w:tmpl w:val="D8C45D4A"/>
    <w:lvl w:ilvl="0" w:tplc="FFFFFFF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D7472CC"/>
    <w:multiLevelType w:val="hybridMultilevel"/>
    <w:tmpl w:val="7A78E84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5F370F7C"/>
    <w:multiLevelType w:val="hybridMultilevel"/>
    <w:tmpl w:val="7C6C9E08"/>
    <w:lvl w:ilvl="0" w:tplc="FFFFFFFF">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7550556D"/>
    <w:multiLevelType w:val="hybridMultilevel"/>
    <w:tmpl w:val="D8C45D4A"/>
    <w:lvl w:ilvl="0" w:tplc="FFFFFFF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795C0508"/>
    <w:multiLevelType w:val="hybridMultilevel"/>
    <w:tmpl w:val="7B4E017A"/>
    <w:lvl w:ilvl="0" w:tplc="FFFFFFFF">
      <w:numFmt w:val="bullet"/>
      <w:lvlText w:val="•"/>
      <w:lvlJc w:val="left"/>
      <w:pPr>
        <w:ind w:left="1080" w:hanging="360"/>
      </w:pPr>
      <w:rPr>
        <w:rFonts w:ascii="Arial" w:eastAsia="Times New Roman" w:hAnsi="Arial" w:cs="Arial" w:hint="default"/>
      </w:rPr>
    </w:lvl>
    <w:lvl w:ilvl="1" w:tplc="FFFFFFFF">
      <w:numFmt w:val="bullet"/>
      <w:lvlText w:val="•"/>
      <w:lvlJc w:val="left"/>
      <w:pPr>
        <w:ind w:left="1800" w:hanging="360"/>
      </w:pPr>
      <w:rPr>
        <w:rFonts w:ascii="Arial" w:eastAsia="Times New Roman" w:hAnsi="Arial" w:cs="Aria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num w:numId="1">
    <w:abstractNumId w:val="5"/>
  </w:num>
  <w:num w:numId="2">
    <w:abstractNumId w:val="1"/>
  </w:num>
  <w:num w:numId="3">
    <w:abstractNumId w:val="2"/>
  </w:num>
  <w:num w:numId="4">
    <w:abstractNumId w:val="6"/>
  </w:num>
  <w:num w:numId="5">
    <w:abstractNumId w:val="0"/>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ADF"/>
    <w:rsid w:val="00232066"/>
    <w:rsid w:val="00322ADF"/>
    <w:rsid w:val="00367AC5"/>
    <w:rsid w:val="006145BD"/>
    <w:rsid w:val="00912003"/>
    <w:rsid w:val="00AA2C4E"/>
    <w:rsid w:val="00CB58C3"/>
    <w:rsid w:val="00DD261A"/>
    <w:rsid w:val="00E43A11"/>
    <w:rsid w:val="00EC69C3"/>
    <w:rsid w:val="00FF0EC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353C5D-F75E-4DBC-BBF1-D62010DDC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2ADF"/>
    <w:pPr>
      <w:spacing w:after="0" w:line="240" w:lineRule="auto"/>
    </w:pPr>
    <w:rPr>
      <w:rFonts w:ascii="Arial" w:eastAsia="Times New Roman" w:hAnsi="Arial" w:cs="Times New Roman"/>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3detindependiente">
    <w:name w:val="Body Text Indent 3"/>
    <w:basedOn w:val="Normal"/>
    <w:link w:val="Sangra3detindependienteCar"/>
    <w:rsid w:val="00322ADF"/>
    <w:pPr>
      <w:ind w:left="2835"/>
      <w:jc w:val="both"/>
    </w:pPr>
    <w:rPr>
      <w:szCs w:val="20"/>
    </w:rPr>
  </w:style>
  <w:style w:type="character" w:customStyle="1" w:styleId="Sangra3detindependienteCar">
    <w:name w:val="Sangría 3 de t. independiente Car"/>
    <w:basedOn w:val="Fuentedeprrafopredeter"/>
    <w:link w:val="Sangra3detindependiente"/>
    <w:rsid w:val="00322ADF"/>
    <w:rPr>
      <w:rFonts w:ascii="Arial" w:eastAsia="Times New Roman" w:hAnsi="Arial" w:cs="Times New Roman"/>
      <w:szCs w:val="20"/>
      <w:lang w:val="en-US"/>
    </w:rPr>
  </w:style>
  <w:style w:type="paragraph" w:styleId="Sangranormal">
    <w:name w:val="Normal Indent"/>
    <w:basedOn w:val="Normal"/>
    <w:link w:val="SangranormalCar"/>
    <w:rsid w:val="00322ADF"/>
    <w:pPr>
      <w:ind w:left="720"/>
      <w:jc w:val="both"/>
    </w:pPr>
    <w:rPr>
      <w:szCs w:val="20"/>
    </w:rPr>
  </w:style>
  <w:style w:type="character" w:customStyle="1" w:styleId="SangranormalCar">
    <w:name w:val="Sangría normal Car"/>
    <w:link w:val="Sangranormal"/>
    <w:rsid w:val="00322ADF"/>
    <w:rPr>
      <w:rFonts w:ascii="Arial" w:eastAsia="Times New Roman" w:hAnsi="Arial" w:cs="Times New Roman"/>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2463</Words>
  <Characters>13551</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Ruiz</dc:creator>
  <cp:keywords/>
  <dc:description/>
  <cp:lastModifiedBy>Marta Ruiz </cp:lastModifiedBy>
  <cp:revision>1</cp:revision>
  <dcterms:created xsi:type="dcterms:W3CDTF">2022-09-27T05:36:00Z</dcterms:created>
  <dcterms:modified xsi:type="dcterms:W3CDTF">2022-09-27T05:36:00Z</dcterms:modified>
</cp:coreProperties>
</file>