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CA88" w14:textId="6EC15D38" w:rsidR="005F222D" w:rsidRPr="00A74608" w:rsidRDefault="004371BB" w:rsidP="00A74608">
      <w:pPr>
        <w:spacing w:line="360" w:lineRule="auto"/>
        <w:rPr>
          <w:b/>
          <w:bCs/>
        </w:rPr>
      </w:pPr>
      <w:bookmarkStart w:id="0" w:name="_GoBack"/>
      <w:bookmarkEnd w:id="0"/>
      <w:r w:rsidRPr="00A74608">
        <w:rPr>
          <w:b/>
          <w:bCs/>
        </w:rPr>
        <w:t>Summary</w:t>
      </w:r>
    </w:p>
    <w:p w14:paraId="6BCA194B" w14:textId="4C0F6339" w:rsidR="00A74608" w:rsidRDefault="002E7AF6" w:rsidP="00A74608">
      <w:pPr>
        <w:spacing w:line="360" w:lineRule="auto"/>
        <w:rPr>
          <w:lang w:val="en-US"/>
        </w:rPr>
      </w:pPr>
      <w:r w:rsidRPr="00B3494D">
        <w:rPr>
          <w:b/>
          <w:bCs/>
          <w:lang w:val="en-US"/>
        </w:rPr>
        <w:t>EudraCT no:</w:t>
      </w:r>
      <w:r>
        <w:rPr>
          <w:lang w:val="en-US"/>
        </w:rPr>
        <w:t xml:space="preserve"> </w:t>
      </w:r>
      <w:r w:rsidR="00B3494D">
        <w:rPr>
          <w:lang w:val="en-US"/>
        </w:rPr>
        <w:t>2019-000996-17</w:t>
      </w:r>
    </w:p>
    <w:p w14:paraId="10BF91F7" w14:textId="1288FCFF" w:rsidR="00B3494D" w:rsidRDefault="002049D8" w:rsidP="00A74608">
      <w:pPr>
        <w:spacing w:line="360" w:lineRule="auto"/>
        <w:rPr>
          <w:lang w:val="en-US"/>
        </w:rPr>
      </w:pPr>
      <w:r w:rsidRPr="0029608E">
        <w:rPr>
          <w:b/>
          <w:bCs/>
          <w:lang w:val="en-US"/>
        </w:rPr>
        <w:t>Authors:</w:t>
      </w:r>
      <w:r>
        <w:rPr>
          <w:lang w:val="en-US"/>
        </w:rPr>
        <w:t xml:space="preserve"> Louise Grode, Lone Brix, Anders Dige, Asser </w:t>
      </w:r>
      <w:r w:rsidR="0029608E">
        <w:rPr>
          <w:lang w:val="en-US"/>
        </w:rPr>
        <w:t>Op</w:t>
      </w:r>
      <w:r w:rsidR="00A13B59">
        <w:rPr>
          <w:lang w:val="en-US"/>
        </w:rPr>
        <w:t>p</w:t>
      </w:r>
      <w:r w:rsidR="0029608E">
        <w:rPr>
          <w:lang w:val="en-US"/>
        </w:rPr>
        <w:t xml:space="preserve">feldt, </w:t>
      </w:r>
      <w:r>
        <w:rPr>
          <w:lang w:val="en-US"/>
        </w:rPr>
        <w:t>Thomas Møller Jensen</w:t>
      </w:r>
    </w:p>
    <w:p w14:paraId="5F3CD58A" w14:textId="349A35F8" w:rsidR="0029608E" w:rsidRDefault="00CD2C06" w:rsidP="00A74608">
      <w:pPr>
        <w:spacing w:line="360" w:lineRule="auto"/>
        <w:rPr>
          <w:lang w:val="en-US"/>
        </w:rPr>
      </w:pPr>
      <w:r>
        <w:rPr>
          <w:lang w:val="en-US"/>
        </w:rPr>
        <w:t>(</w:t>
      </w:r>
      <w:r w:rsidR="0029608E">
        <w:rPr>
          <w:lang w:val="en-US"/>
        </w:rPr>
        <w:t xml:space="preserve">Horsens Regional Hospital, </w:t>
      </w:r>
      <w:proofErr w:type="spellStart"/>
      <w:r w:rsidR="0029608E">
        <w:rPr>
          <w:lang w:val="en-US"/>
        </w:rPr>
        <w:t>Sundvej</w:t>
      </w:r>
      <w:proofErr w:type="spellEnd"/>
      <w:r w:rsidR="0029608E">
        <w:rPr>
          <w:lang w:val="en-US"/>
        </w:rPr>
        <w:t xml:space="preserve"> 30, 8700 Horsens, Denmark</w:t>
      </w:r>
      <w:r>
        <w:rPr>
          <w:lang w:val="en-US"/>
        </w:rPr>
        <w:t>)</w:t>
      </w:r>
    </w:p>
    <w:p w14:paraId="25130537" w14:textId="77777777" w:rsidR="00854A94" w:rsidRPr="00A74608" w:rsidRDefault="00854A94" w:rsidP="00A74608">
      <w:pPr>
        <w:spacing w:line="360" w:lineRule="auto"/>
        <w:rPr>
          <w:lang w:val="en-US"/>
        </w:rPr>
      </w:pPr>
    </w:p>
    <w:p w14:paraId="0DA50E6D" w14:textId="5563ABFE" w:rsidR="004371BB" w:rsidRPr="00A74608" w:rsidRDefault="004371BB" w:rsidP="00A74608">
      <w:pPr>
        <w:spacing w:line="360" w:lineRule="auto"/>
        <w:rPr>
          <w:lang w:val="en-US"/>
        </w:rPr>
      </w:pPr>
      <w:r w:rsidRPr="002E7AF6">
        <w:rPr>
          <w:b/>
          <w:bCs/>
          <w:lang w:val="en-US"/>
        </w:rPr>
        <w:t>S</w:t>
      </w:r>
      <w:r w:rsidR="00C96F03" w:rsidRPr="002E7AF6">
        <w:rPr>
          <w:b/>
          <w:bCs/>
          <w:lang w:val="en-US"/>
        </w:rPr>
        <w:t>tudy title</w:t>
      </w:r>
      <w:r w:rsidR="00C96F03" w:rsidRPr="00A74608">
        <w:rPr>
          <w:lang w:val="en-US"/>
        </w:rPr>
        <w:t xml:space="preserve">: Risk of </w:t>
      </w:r>
      <w:r w:rsidR="00F97A60" w:rsidRPr="00A74608">
        <w:rPr>
          <w:lang w:val="en-US"/>
        </w:rPr>
        <w:t>post-polypectomy bleeding in patients on uninterrupted Clopidogrel therapy before polypectomy of sessile polyps; a double-blinded randomized controlled trial</w:t>
      </w:r>
      <w:r w:rsidR="00296A2E" w:rsidRPr="00A74608">
        <w:rPr>
          <w:lang w:val="en-US"/>
        </w:rPr>
        <w:t>.</w:t>
      </w:r>
    </w:p>
    <w:p w14:paraId="66B6AC3C" w14:textId="77777777" w:rsidR="004371BB" w:rsidRPr="00CE004B" w:rsidRDefault="004371BB" w:rsidP="00A74608">
      <w:pPr>
        <w:spacing w:before="100" w:beforeAutospacing="1" w:after="100" w:afterAutospacing="1" w:line="360" w:lineRule="auto"/>
        <w:rPr>
          <w:rFonts w:eastAsia="Times New Roman" w:cs="Times New Roman"/>
          <w:lang w:val="en-US" w:eastAsia="da-DK"/>
        </w:rPr>
      </w:pPr>
      <w:r w:rsidRPr="00CE004B">
        <w:rPr>
          <w:rFonts w:eastAsia="Times New Roman" w:cs="Times New Roman"/>
          <w:b/>
          <w:bCs/>
          <w:lang w:val="en-US" w:eastAsia="da-DK"/>
        </w:rPr>
        <w:t>Background:</w:t>
      </w:r>
      <w:r w:rsidRPr="00CE004B">
        <w:rPr>
          <w:rFonts w:eastAsia="Times New Roman" w:cs="Times New Roman"/>
          <w:lang w:val="en-US" w:eastAsia="da-DK"/>
        </w:rPr>
        <w:t xml:space="preserve"> Patients on uninterrupted clopidogrel therapy are at increased risk of bleeding complications during and after endoscopic procedures. However, the risk associated with polypectomy of small sessile polyps (≤20 mm) in this population remains unclear.</w:t>
      </w:r>
    </w:p>
    <w:p w14:paraId="08FA6C97" w14:textId="77777777" w:rsidR="004371BB" w:rsidRPr="00CE004B" w:rsidRDefault="004371BB" w:rsidP="00A74608">
      <w:pPr>
        <w:spacing w:before="100" w:beforeAutospacing="1" w:after="100" w:afterAutospacing="1" w:line="360" w:lineRule="auto"/>
        <w:rPr>
          <w:rFonts w:eastAsia="Times New Roman" w:cs="Times New Roman"/>
          <w:lang w:val="en-US" w:eastAsia="da-DK"/>
        </w:rPr>
      </w:pPr>
      <w:r w:rsidRPr="00CE004B">
        <w:rPr>
          <w:rFonts w:eastAsia="Times New Roman" w:cs="Times New Roman"/>
          <w:b/>
          <w:bCs/>
          <w:lang w:val="en-US" w:eastAsia="da-DK"/>
        </w:rPr>
        <w:t>Aim:</w:t>
      </w:r>
      <w:r w:rsidRPr="00CE004B">
        <w:rPr>
          <w:rFonts w:eastAsia="Times New Roman" w:cs="Times New Roman"/>
          <w:lang w:val="en-US" w:eastAsia="da-DK"/>
        </w:rPr>
        <w:t xml:space="preserve"> This study aimed to investigate the risk of post-polypectomy bleeding (PPB) in patients undergoing polypectomy of sessile polyps ≤20 mm in diameter while on uninterrupted clopidogrel therapy.</w:t>
      </w:r>
    </w:p>
    <w:p w14:paraId="0A249AD3" w14:textId="74F31185" w:rsidR="004371BB" w:rsidRPr="00CE004B" w:rsidRDefault="004371BB" w:rsidP="00A74608">
      <w:pPr>
        <w:spacing w:before="100" w:beforeAutospacing="1" w:after="100" w:afterAutospacing="1" w:line="360" w:lineRule="auto"/>
        <w:rPr>
          <w:rFonts w:eastAsia="Times New Roman" w:cs="Times New Roman"/>
          <w:lang w:val="en-US" w:eastAsia="da-DK"/>
        </w:rPr>
      </w:pPr>
      <w:r w:rsidRPr="00CE004B">
        <w:rPr>
          <w:rFonts w:eastAsia="Times New Roman" w:cs="Times New Roman"/>
          <w:b/>
          <w:bCs/>
          <w:lang w:val="en-US" w:eastAsia="da-DK"/>
        </w:rPr>
        <w:t>Methods:</w:t>
      </w:r>
      <w:r w:rsidRPr="00CE004B">
        <w:rPr>
          <w:rFonts w:eastAsia="Times New Roman" w:cs="Times New Roman"/>
          <w:lang w:val="en-US" w:eastAsia="da-DK"/>
        </w:rPr>
        <w:t xml:space="preserve"> This was a single-</w:t>
      </w:r>
      <w:proofErr w:type="spellStart"/>
      <w:r w:rsidRPr="00CE004B">
        <w:rPr>
          <w:rFonts w:eastAsia="Times New Roman" w:cs="Times New Roman"/>
          <w:lang w:val="en-US" w:eastAsia="da-DK"/>
        </w:rPr>
        <w:t>centre</w:t>
      </w:r>
      <w:proofErr w:type="spellEnd"/>
      <w:r w:rsidRPr="00CE004B">
        <w:rPr>
          <w:rFonts w:eastAsia="Times New Roman" w:cs="Times New Roman"/>
          <w:lang w:val="en-US" w:eastAsia="da-DK"/>
        </w:rPr>
        <w:t xml:space="preserve">, investigator-initiated, prospective, </w:t>
      </w:r>
      <w:proofErr w:type="spellStart"/>
      <w:r w:rsidRPr="00CE004B">
        <w:rPr>
          <w:rFonts w:eastAsia="Times New Roman" w:cs="Times New Roman"/>
          <w:lang w:val="en-US" w:eastAsia="da-DK"/>
        </w:rPr>
        <w:t>randomised</w:t>
      </w:r>
      <w:proofErr w:type="spellEnd"/>
      <w:r w:rsidRPr="00CE004B">
        <w:rPr>
          <w:rFonts w:eastAsia="Times New Roman" w:cs="Times New Roman"/>
          <w:lang w:val="en-US" w:eastAsia="da-DK"/>
        </w:rPr>
        <w:t xml:space="preserve">, double-blinded, placebo-controlled trial with two parallel arms. A total of 51 patients were </w:t>
      </w:r>
      <w:proofErr w:type="spellStart"/>
      <w:r w:rsidRPr="00CE004B">
        <w:rPr>
          <w:rFonts w:eastAsia="Times New Roman" w:cs="Times New Roman"/>
          <w:lang w:val="en-US" w:eastAsia="da-DK"/>
        </w:rPr>
        <w:t>randomised</w:t>
      </w:r>
      <w:proofErr w:type="spellEnd"/>
      <w:r w:rsidRPr="00CE004B">
        <w:rPr>
          <w:rFonts w:eastAsia="Times New Roman" w:cs="Times New Roman"/>
          <w:lang w:val="en-US" w:eastAsia="da-DK"/>
        </w:rPr>
        <w:t xml:space="preserve">, with 49 completing the study: 25 in </w:t>
      </w:r>
      <w:r w:rsidR="008F58C3">
        <w:rPr>
          <w:rFonts w:eastAsia="Times New Roman" w:cs="Times New Roman"/>
          <w:lang w:val="en-US" w:eastAsia="da-DK"/>
        </w:rPr>
        <w:t xml:space="preserve">the Clopidogrel </w:t>
      </w:r>
      <w:r w:rsidRPr="00CE004B">
        <w:rPr>
          <w:rFonts w:eastAsia="Times New Roman" w:cs="Times New Roman"/>
          <w:lang w:val="en-US" w:eastAsia="da-DK"/>
        </w:rPr>
        <w:t xml:space="preserve">group and 24 in </w:t>
      </w:r>
      <w:r w:rsidR="008F58C3">
        <w:rPr>
          <w:rFonts w:eastAsia="Times New Roman" w:cs="Times New Roman"/>
          <w:lang w:val="en-US" w:eastAsia="da-DK"/>
        </w:rPr>
        <w:t xml:space="preserve">the placebo </w:t>
      </w:r>
      <w:r w:rsidRPr="00CE004B">
        <w:rPr>
          <w:rFonts w:eastAsia="Times New Roman" w:cs="Times New Roman"/>
          <w:lang w:val="en-US" w:eastAsia="da-DK"/>
        </w:rPr>
        <w:t xml:space="preserve">group. Overall, 131 polyps were removed (73 in </w:t>
      </w:r>
      <w:r w:rsidR="008F58C3">
        <w:rPr>
          <w:rFonts w:eastAsia="Times New Roman" w:cs="Times New Roman"/>
          <w:lang w:val="en-US" w:eastAsia="da-DK"/>
        </w:rPr>
        <w:t xml:space="preserve">the </w:t>
      </w:r>
      <w:r w:rsidR="008F58C3">
        <w:rPr>
          <w:rFonts w:eastAsia="Times New Roman" w:cs="Times New Roman"/>
          <w:lang w:val="en-US" w:eastAsia="da-DK"/>
        </w:rPr>
        <w:t xml:space="preserve">Clopidogrel </w:t>
      </w:r>
      <w:r w:rsidR="008F58C3" w:rsidRPr="00CE004B">
        <w:rPr>
          <w:rFonts w:eastAsia="Times New Roman" w:cs="Times New Roman"/>
          <w:lang w:val="en-US" w:eastAsia="da-DK"/>
        </w:rPr>
        <w:t>group</w:t>
      </w:r>
      <w:r w:rsidRPr="00CE004B">
        <w:rPr>
          <w:rFonts w:eastAsia="Times New Roman" w:cs="Times New Roman"/>
          <w:lang w:val="en-US" w:eastAsia="da-DK"/>
        </w:rPr>
        <w:t xml:space="preserve"> and 58 in </w:t>
      </w:r>
      <w:r w:rsidR="008F58C3">
        <w:rPr>
          <w:rFonts w:eastAsia="Times New Roman" w:cs="Times New Roman"/>
          <w:lang w:val="en-US" w:eastAsia="da-DK"/>
        </w:rPr>
        <w:t xml:space="preserve">the </w:t>
      </w:r>
      <w:r w:rsidR="008F58C3">
        <w:rPr>
          <w:rFonts w:eastAsia="Times New Roman" w:cs="Times New Roman"/>
          <w:lang w:val="en-US" w:eastAsia="da-DK"/>
        </w:rPr>
        <w:t xml:space="preserve">placebo </w:t>
      </w:r>
      <w:r w:rsidR="008F58C3" w:rsidRPr="00CE004B">
        <w:rPr>
          <w:rFonts w:eastAsia="Times New Roman" w:cs="Times New Roman"/>
          <w:lang w:val="en-US" w:eastAsia="da-DK"/>
        </w:rPr>
        <w:t>group</w:t>
      </w:r>
      <w:r w:rsidRPr="00CE004B">
        <w:rPr>
          <w:rFonts w:eastAsia="Times New Roman" w:cs="Times New Roman"/>
          <w:lang w:val="en-US" w:eastAsia="da-DK"/>
        </w:rPr>
        <w:t>).</w:t>
      </w:r>
    </w:p>
    <w:p w14:paraId="39544C72" w14:textId="77777777" w:rsidR="004371BB" w:rsidRPr="00CE004B" w:rsidRDefault="004371BB" w:rsidP="00A74608">
      <w:pPr>
        <w:spacing w:before="100" w:beforeAutospacing="1" w:after="100" w:afterAutospacing="1" w:line="360" w:lineRule="auto"/>
        <w:rPr>
          <w:rFonts w:eastAsia="Times New Roman" w:cs="Times New Roman"/>
          <w:lang w:eastAsia="da-DK"/>
        </w:rPr>
      </w:pPr>
      <w:proofErr w:type="spellStart"/>
      <w:r w:rsidRPr="00CE004B">
        <w:rPr>
          <w:rFonts w:eastAsia="Times New Roman" w:cs="Times New Roman"/>
          <w:b/>
          <w:bCs/>
          <w:lang w:eastAsia="da-DK"/>
        </w:rPr>
        <w:t>Results</w:t>
      </w:r>
      <w:proofErr w:type="spellEnd"/>
      <w:r w:rsidRPr="00CE004B">
        <w:rPr>
          <w:rFonts w:eastAsia="Times New Roman" w:cs="Times New Roman"/>
          <w:b/>
          <w:bCs/>
          <w:lang w:eastAsia="da-DK"/>
        </w:rPr>
        <w:t>:</w:t>
      </w:r>
    </w:p>
    <w:p w14:paraId="7205894D" w14:textId="77777777" w:rsidR="004371BB" w:rsidRPr="00CE004B" w:rsidRDefault="004371BB" w:rsidP="00A74608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lang w:eastAsia="da-DK"/>
        </w:rPr>
      </w:pPr>
      <w:proofErr w:type="spellStart"/>
      <w:r w:rsidRPr="00CE004B">
        <w:rPr>
          <w:rFonts w:eastAsia="Times New Roman" w:cs="Times New Roman"/>
          <w:b/>
          <w:bCs/>
          <w:lang w:eastAsia="da-DK"/>
        </w:rPr>
        <w:t>Primary</w:t>
      </w:r>
      <w:proofErr w:type="spellEnd"/>
      <w:r w:rsidRPr="00CE004B">
        <w:rPr>
          <w:rFonts w:eastAsia="Times New Roman" w:cs="Times New Roman"/>
          <w:b/>
          <w:bCs/>
          <w:lang w:eastAsia="da-DK"/>
        </w:rPr>
        <w:t xml:space="preserve"> </w:t>
      </w:r>
      <w:proofErr w:type="spellStart"/>
      <w:r w:rsidRPr="00CE004B">
        <w:rPr>
          <w:rFonts w:eastAsia="Times New Roman" w:cs="Times New Roman"/>
          <w:b/>
          <w:bCs/>
          <w:lang w:eastAsia="da-DK"/>
        </w:rPr>
        <w:t>outcomes</w:t>
      </w:r>
      <w:proofErr w:type="spellEnd"/>
      <w:r w:rsidRPr="00CE004B">
        <w:rPr>
          <w:rFonts w:eastAsia="Times New Roman" w:cs="Times New Roman"/>
          <w:b/>
          <w:bCs/>
          <w:lang w:eastAsia="da-DK"/>
        </w:rPr>
        <w:t>:</w:t>
      </w:r>
      <w:r w:rsidRPr="00CE004B">
        <w:rPr>
          <w:rFonts w:eastAsia="Times New Roman" w:cs="Times New Roman"/>
          <w:lang w:eastAsia="da-DK"/>
        </w:rPr>
        <w:t xml:space="preserve"> </w:t>
      </w:r>
    </w:p>
    <w:p w14:paraId="597151A5" w14:textId="77777777" w:rsidR="004371BB" w:rsidRPr="00CE004B" w:rsidRDefault="004371BB" w:rsidP="00A74608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lang w:val="en-US" w:eastAsia="da-DK"/>
        </w:rPr>
      </w:pPr>
      <w:r w:rsidRPr="00CE004B">
        <w:rPr>
          <w:rFonts w:eastAsia="Times New Roman" w:cs="Times New Roman"/>
          <w:lang w:val="en-US" w:eastAsia="da-DK"/>
        </w:rPr>
        <w:t>Delayed PPB: 0 cases in both groups.</w:t>
      </w:r>
    </w:p>
    <w:p w14:paraId="6B561EC0" w14:textId="3725F357" w:rsidR="004371BB" w:rsidRPr="00CE004B" w:rsidRDefault="004371BB" w:rsidP="00A74608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lang w:val="en-US" w:eastAsia="da-DK"/>
        </w:rPr>
      </w:pPr>
      <w:r w:rsidRPr="00CE004B">
        <w:rPr>
          <w:rFonts w:eastAsia="Times New Roman" w:cs="Times New Roman"/>
          <w:lang w:val="en-US" w:eastAsia="da-DK"/>
        </w:rPr>
        <w:t xml:space="preserve">Immediate PPB: 1 case in </w:t>
      </w:r>
      <w:r w:rsidR="00B11FAC">
        <w:rPr>
          <w:rFonts w:eastAsia="Times New Roman" w:cs="Times New Roman"/>
          <w:lang w:val="en-US" w:eastAsia="da-DK"/>
        </w:rPr>
        <w:t xml:space="preserve">the placebo </w:t>
      </w:r>
      <w:r w:rsidRPr="00CE004B">
        <w:rPr>
          <w:rFonts w:eastAsia="Times New Roman" w:cs="Times New Roman"/>
          <w:lang w:val="en-US" w:eastAsia="da-DK"/>
        </w:rPr>
        <w:t>group (1/24, 4.2%), involving a 5-mm rectal polyp removed piecemeal, with bleeding lasting 7 minutes and achieving hemostasis easily.</w:t>
      </w:r>
    </w:p>
    <w:p w14:paraId="61E69699" w14:textId="77777777" w:rsidR="004371BB" w:rsidRPr="00CE004B" w:rsidRDefault="004371BB" w:rsidP="00A74608">
      <w:pPr>
        <w:numPr>
          <w:ilvl w:val="1"/>
          <w:numId w:val="1"/>
        </w:numPr>
        <w:spacing w:before="100" w:beforeAutospacing="1" w:after="100" w:afterAutospacing="1" w:line="360" w:lineRule="auto"/>
        <w:rPr>
          <w:rFonts w:eastAsia="Times New Roman" w:cs="Times New Roman"/>
          <w:lang w:eastAsia="da-DK"/>
        </w:rPr>
      </w:pPr>
      <w:proofErr w:type="spellStart"/>
      <w:r w:rsidRPr="00CE004B">
        <w:rPr>
          <w:rFonts w:eastAsia="Times New Roman" w:cs="Times New Roman"/>
          <w:lang w:eastAsia="da-DK"/>
        </w:rPr>
        <w:t>Cardiothrombotic</w:t>
      </w:r>
      <w:proofErr w:type="spellEnd"/>
      <w:r w:rsidRPr="00CE004B">
        <w:rPr>
          <w:rFonts w:eastAsia="Times New Roman" w:cs="Times New Roman"/>
          <w:lang w:eastAsia="da-DK"/>
        </w:rPr>
        <w:t xml:space="preserve"> events: 0 cases.</w:t>
      </w:r>
    </w:p>
    <w:p w14:paraId="662C4651" w14:textId="77777777" w:rsidR="004371BB" w:rsidRPr="00CE004B" w:rsidRDefault="004371BB" w:rsidP="00A74608">
      <w:pPr>
        <w:spacing w:before="100" w:beforeAutospacing="1" w:after="100" w:afterAutospacing="1" w:line="360" w:lineRule="auto"/>
        <w:rPr>
          <w:rFonts w:eastAsia="Times New Roman" w:cs="Times New Roman"/>
          <w:lang w:val="en-US" w:eastAsia="da-DK"/>
        </w:rPr>
      </w:pPr>
      <w:r w:rsidRPr="00CE004B">
        <w:rPr>
          <w:rFonts w:eastAsia="Times New Roman" w:cs="Times New Roman"/>
          <w:b/>
          <w:bCs/>
          <w:lang w:val="en-US" w:eastAsia="da-DK"/>
        </w:rPr>
        <w:t>Conclusion:</w:t>
      </w:r>
      <w:r w:rsidRPr="00CE004B">
        <w:rPr>
          <w:rFonts w:eastAsia="Times New Roman" w:cs="Times New Roman"/>
          <w:lang w:val="en-US" w:eastAsia="da-DK"/>
        </w:rPr>
        <w:t xml:space="preserve"> This study suggests that polypectomy of sessile polyps ≤20 mm in patients on uninterrupted clopidogrel therapy is associated with a low risk of immediate and delayed PPB, with no </w:t>
      </w:r>
      <w:proofErr w:type="spellStart"/>
      <w:r w:rsidRPr="00CE004B">
        <w:rPr>
          <w:rFonts w:eastAsia="Times New Roman" w:cs="Times New Roman"/>
          <w:lang w:val="en-US" w:eastAsia="da-DK"/>
        </w:rPr>
        <w:t>cardiothrombotic</w:t>
      </w:r>
      <w:proofErr w:type="spellEnd"/>
      <w:r w:rsidRPr="00CE004B">
        <w:rPr>
          <w:rFonts w:eastAsia="Times New Roman" w:cs="Times New Roman"/>
          <w:lang w:val="en-US" w:eastAsia="da-DK"/>
        </w:rPr>
        <w:t xml:space="preserve"> events observed. Further research with larger sample sizes is warranted to confirm these findings.</w:t>
      </w:r>
    </w:p>
    <w:p w14:paraId="64568845" w14:textId="77777777" w:rsidR="004371BB" w:rsidRPr="00A74608" w:rsidRDefault="004371BB" w:rsidP="00A74608">
      <w:pPr>
        <w:spacing w:line="360" w:lineRule="auto"/>
        <w:rPr>
          <w:lang w:val="en-US"/>
        </w:rPr>
      </w:pPr>
    </w:p>
    <w:p w14:paraId="093C762E" w14:textId="77777777" w:rsidR="00A74608" w:rsidRPr="00A74608" w:rsidRDefault="00A74608" w:rsidP="00A74608">
      <w:pPr>
        <w:spacing w:line="360" w:lineRule="auto"/>
        <w:rPr>
          <w:lang w:val="en-US"/>
        </w:rPr>
      </w:pPr>
    </w:p>
    <w:sectPr w:rsidR="00A74608" w:rsidRPr="00A74608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210524"/>
    <w:multiLevelType w:val="multilevel"/>
    <w:tmpl w:val="BB5A1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89957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1BB"/>
    <w:rsid w:val="002049D8"/>
    <w:rsid w:val="0029608E"/>
    <w:rsid w:val="00296A2E"/>
    <w:rsid w:val="002E7AF6"/>
    <w:rsid w:val="004371BB"/>
    <w:rsid w:val="004A0CC5"/>
    <w:rsid w:val="005F222D"/>
    <w:rsid w:val="006571AB"/>
    <w:rsid w:val="0078773B"/>
    <w:rsid w:val="00854A94"/>
    <w:rsid w:val="008F58C3"/>
    <w:rsid w:val="00A13B59"/>
    <w:rsid w:val="00A74608"/>
    <w:rsid w:val="00B11FAC"/>
    <w:rsid w:val="00B3494D"/>
    <w:rsid w:val="00C96F03"/>
    <w:rsid w:val="00CD2C06"/>
    <w:rsid w:val="00D42852"/>
    <w:rsid w:val="00F97A60"/>
    <w:rsid w:val="00FF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F677F"/>
  <w15:chartTrackingRefBased/>
  <w15:docId w15:val="{5B543F69-3C31-4C59-A6D3-1AEBABE51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theme="minorBidi"/>
        <w:kern w:val="2"/>
        <w:lang w:val="da-D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uiPriority="31" w:qFormat="1"/>
    <w:lsdException w:name="Intense Reference" w:semiHidden="1" w:uiPriority="32" w:unhideWhenUsed="1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4A3"/>
    <w:pPr>
      <w:spacing w:after="0"/>
    </w:pPr>
  </w:style>
  <w:style w:type="paragraph" w:styleId="Overskrift1">
    <w:name w:val="heading 1"/>
    <w:basedOn w:val="Normal"/>
    <w:next w:val="Normal"/>
    <w:link w:val="Overskrift1Tegn"/>
    <w:uiPriority w:val="9"/>
    <w:qFormat/>
    <w:rsid w:val="005F222D"/>
    <w:pPr>
      <w:keepNext/>
      <w:keepLines/>
      <w:spacing w:before="240"/>
      <w:outlineLvl w:val="0"/>
    </w:pPr>
    <w:rPr>
      <w:rFonts w:eastAsiaTheme="majorEastAsia" w:cstheme="majorBidi"/>
      <w:sz w:val="28"/>
      <w:szCs w:val="32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5F222D"/>
    <w:pPr>
      <w:keepNext/>
      <w:keepLines/>
      <w:spacing w:before="40"/>
      <w:outlineLvl w:val="1"/>
    </w:pPr>
    <w:rPr>
      <w:rFonts w:eastAsiaTheme="majorEastAsia" w:cstheme="majorBidi"/>
      <w:sz w:val="24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unhideWhenUsed/>
    <w:qFormat/>
    <w:rsid w:val="005F222D"/>
    <w:pPr>
      <w:keepNext/>
      <w:keepLines/>
      <w:spacing w:before="40"/>
      <w:outlineLvl w:val="2"/>
    </w:pPr>
    <w:rPr>
      <w:rFonts w:eastAsiaTheme="majorEastAsia" w:cstheme="majorBidi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5F222D"/>
    <w:pPr>
      <w:keepNext/>
      <w:keepLines/>
      <w:spacing w:before="40"/>
      <w:outlineLvl w:val="3"/>
    </w:pPr>
    <w:rPr>
      <w:rFonts w:eastAsiaTheme="majorEastAsia" w:cstheme="majorBidi"/>
      <w:i/>
      <w:iCs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5F222D"/>
    <w:pPr>
      <w:keepNext/>
      <w:keepLines/>
      <w:spacing w:before="40"/>
      <w:outlineLvl w:val="4"/>
    </w:pPr>
    <w:rPr>
      <w:rFonts w:eastAsiaTheme="majorEastAsia" w:cstheme="majorBid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5F222D"/>
    <w:rPr>
      <w:rFonts w:eastAsiaTheme="majorEastAsia" w:cstheme="majorBidi"/>
      <w:sz w:val="28"/>
      <w:szCs w:val="32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5F222D"/>
    <w:rPr>
      <w:rFonts w:eastAsiaTheme="majorEastAsia" w:cstheme="majorBidi"/>
      <w:sz w:val="24"/>
      <w:szCs w:val="26"/>
    </w:rPr>
  </w:style>
  <w:style w:type="paragraph" w:styleId="Ingenafstand">
    <w:name w:val="No Spacing"/>
    <w:uiPriority w:val="1"/>
    <w:qFormat/>
    <w:rsid w:val="005F222D"/>
    <w:pPr>
      <w:spacing w:after="0" w:line="240" w:lineRule="auto"/>
    </w:pPr>
  </w:style>
  <w:style w:type="character" w:customStyle="1" w:styleId="Overskrift3Tegn">
    <w:name w:val="Overskrift 3 Tegn"/>
    <w:basedOn w:val="Standardskrifttypeiafsnit"/>
    <w:link w:val="Overskrift3"/>
    <w:uiPriority w:val="9"/>
    <w:rsid w:val="005F222D"/>
    <w:rPr>
      <w:rFonts w:eastAsiaTheme="majorEastAsia" w:cstheme="majorBidi"/>
      <w:szCs w:val="24"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5F222D"/>
    <w:rPr>
      <w:rFonts w:eastAsiaTheme="majorEastAsia" w:cstheme="majorBidi"/>
      <w:i/>
      <w:iCs/>
    </w:rPr>
  </w:style>
  <w:style w:type="character" w:customStyle="1" w:styleId="Overskrift5Tegn">
    <w:name w:val="Overskrift 5 Tegn"/>
    <w:basedOn w:val="Standardskrifttypeiafsnit"/>
    <w:link w:val="Overskrift5"/>
    <w:uiPriority w:val="9"/>
    <w:semiHidden/>
    <w:rsid w:val="005F222D"/>
    <w:rPr>
      <w:rFonts w:eastAsiaTheme="majorEastAsia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8B655-3E63-4FFA-9248-6AAB7A57C22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ae0adb3-8717-46ff-a4b9-d0edecfe40f3}" enabled="0" method="" siteId="{5ae0adb3-8717-46ff-a4b9-d0edecfe40f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249</Words>
  <Characters>1519</Characters>
  <Application>Microsoft Office Word</Application>
  <DocSecurity>0</DocSecurity>
  <Lines>12</Lines>
  <Paragraphs>3</Paragraphs>
  <ScaleCrop>false</ScaleCrop>
  <Company>Region Midtjylland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Bang Grode</dc:creator>
  <cp:keywords/>
  <dc:description/>
  <cp:lastModifiedBy>Louise Bang Grode</cp:lastModifiedBy>
  <cp:revision>16</cp:revision>
  <dcterms:created xsi:type="dcterms:W3CDTF">2024-12-05T07:46:00Z</dcterms:created>
  <dcterms:modified xsi:type="dcterms:W3CDTF">2024-12-05T09:27:00Z</dcterms:modified>
</cp:coreProperties>
</file>