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60071" w14:textId="77777777" w:rsidR="009E6D31" w:rsidRDefault="009E6D31" w:rsidP="009E6D31">
      <w:bookmarkStart w:id="0" w:name="_GoBack"/>
      <w:bookmarkEnd w:id="0"/>
      <w:r>
        <w:t xml:space="preserve">Report of the PEGASUS for </w:t>
      </w:r>
      <w:proofErr w:type="spellStart"/>
      <w:r>
        <w:t>Eudract</w:t>
      </w:r>
      <w:proofErr w:type="spellEnd"/>
    </w:p>
    <w:p w14:paraId="0A8BADB2" w14:textId="77777777" w:rsidR="009E6D31" w:rsidRDefault="009E6D31" w:rsidP="009E6D31">
      <w:r>
        <w:t>10 Feb 2023.</w:t>
      </w:r>
    </w:p>
    <w:p w14:paraId="2B933372" w14:textId="77777777" w:rsidR="009E6D31" w:rsidRDefault="009E6D31" w:rsidP="009E6D31">
      <w:r>
        <w:t xml:space="preserve">Author: Wim </w:t>
      </w:r>
      <w:proofErr w:type="spellStart"/>
      <w:r>
        <w:t>Witjes</w:t>
      </w:r>
      <w:proofErr w:type="spellEnd"/>
      <w:r>
        <w:t xml:space="preserve"> EAU Foundation for urological research.</w:t>
      </w:r>
    </w:p>
    <w:p w14:paraId="49297594" w14:textId="77777777" w:rsidR="009E6D31" w:rsidRDefault="009E6D31" w:rsidP="009E6D31">
      <w:r>
        <w:t>In 2017, we designed a clinical trial entitled “A phase 2 study evaluating INCB054828 (</w:t>
      </w:r>
      <w:proofErr w:type="spellStart"/>
      <w:r>
        <w:t>Pemigatinib</w:t>
      </w:r>
      <w:proofErr w:type="spellEnd"/>
      <w:r>
        <w:t xml:space="preserve">) as adjuvant therapy in </w:t>
      </w:r>
      <w:proofErr w:type="gramStart"/>
      <w:r>
        <w:t>molecularly-selected</w:t>
      </w:r>
      <w:proofErr w:type="gramEnd"/>
      <w:r>
        <w:t>, high-risk patients with urothelial carcinoma (UC) after radical cystectomy or radical nephron-</w:t>
      </w:r>
      <w:proofErr w:type="spellStart"/>
      <w:r>
        <w:t>ureterectomy</w:t>
      </w:r>
      <w:proofErr w:type="spellEnd"/>
      <w:r>
        <w:t xml:space="preserve">. Acronym “PEGASUS”. The initial idea was to identify approximately 10 centers in Italy, France, </w:t>
      </w:r>
      <w:proofErr w:type="gramStart"/>
      <w:r>
        <w:t>Spain</w:t>
      </w:r>
      <w:proofErr w:type="gramEnd"/>
      <w:r>
        <w:t xml:space="preserve"> and Belgium to participate. In 2020, we decided to start in only 5 Italian centers and recruitment commenced. The aim was to evaluate </w:t>
      </w:r>
      <w:proofErr w:type="spellStart"/>
      <w:r>
        <w:t>pemigatinib</w:t>
      </w:r>
      <w:proofErr w:type="spellEnd"/>
      <w:r>
        <w:t xml:space="preserve"> in the treatment of pT3-4 and/or pN1-3 stage urothelial carcinoma after radical cystectomy or </w:t>
      </w:r>
      <w:proofErr w:type="spellStart"/>
      <w:r>
        <w:t>nephro-ureterectomy</w:t>
      </w:r>
      <w:proofErr w:type="spellEnd"/>
      <w:r>
        <w:t xml:space="preserve"> who had FGFR3 alterations as assessed with the Foundation Medicine genomic sequency test. A power-calculation indicated we needed 56 patients to show a recurrence-free survival of 45% two years after starting treatment which would be compared with 30% from literature. We expected that 30% of the screened patients had FGFR3 alterations and could be considered for the study and it was considered feasible to screen a total of 187 patients from 5 Italian centers. The first patient was screened in July 2020. Due to the Covid-19 crisis causing significant delay of recruitment and the fact that we needed much more patients to identify patients with FGFR3 alterations, the study recruitment was prematurely stopped in November 2021 when 46 patients were screened and only 4 among 42 tested (9.5%) patients were identified with FGFR3 alterations (4 invalid samples). Two of the FGFR3 positive patients started treatment and the other two were considered ineligible for the study. </w:t>
      </w:r>
    </w:p>
    <w:p w14:paraId="56908E73" w14:textId="77777777" w:rsidR="009E6D31" w:rsidRDefault="009E6D31" w:rsidP="009E6D31">
      <w:r>
        <w:t xml:space="preserve">At premature recruitment stop, patients who started treatment were offered to continue treatment and follow-up according to the protocol. Patient 1 underwent a radical nephroureterectomy (pT3N2) and started </w:t>
      </w:r>
      <w:proofErr w:type="spellStart"/>
      <w:r>
        <w:t>pemigatinib</w:t>
      </w:r>
      <w:proofErr w:type="spellEnd"/>
      <w:r>
        <w:t xml:space="preserve"> at standard dose for 4 weeks. He experienced multiple adverse events (AEs) grade 1-2 AEs and one AE grade 3. This patient stopped medication temporarily due to AEs whereafter he resumed medication at a standard dose for 24 weeks. Due to worsening of AEs up to grade 1-2 he again discontinued treatment, re-started at a lower dosage (9 mg) for 3 other weeks whereafter treatment was finally stopped. One month after end of treatment, a CT scan revealed a local recurrence in the kidney region. Patient 2 underwent a radical cystectomy (pT3N1) whereafter he was treated for a total of 13 days with </w:t>
      </w:r>
      <w:proofErr w:type="spellStart"/>
      <w:r>
        <w:t>pemigatinib</w:t>
      </w:r>
      <w:proofErr w:type="spellEnd"/>
      <w:r>
        <w:t xml:space="preserve"> at standard dose (13.5 mg). After four AEs grade 1-2, treatment was discontinued for 9 days whereafter treatment was resumed at a reduced dose (9 mg) for 11 days. This patient then stopped after discussion of the premature recruitment stop with his </w:t>
      </w:r>
      <w:proofErr w:type="gramStart"/>
      <w:r>
        <w:t>physician</w:t>
      </w:r>
      <w:proofErr w:type="gramEnd"/>
      <w:r>
        <w:t xml:space="preserve"> and he  experienced no recurrence of disease. No Serious AEs were observed in both patients. </w:t>
      </w:r>
    </w:p>
    <w:p w14:paraId="02B5A9E6" w14:textId="77777777" w:rsidR="009E6D31" w:rsidRDefault="009E6D31" w:rsidP="009E6D31">
      <w:r>
        <w:t xml:space="preserve">From our study, </w:t>
      </w:r>
      <w:proofErr w:type="gramStart"/>
      <w:r>
        <w:t>It</w:t>
      </w:r>
      <w:proofErr w:type="gramEnd"/>
      <w:r>
        <w:t xml:space="preserve"> appeared that the frequency of FGFR3 alterations in patients with urothelial cancer in the bladder was lower than the assumed frequency when drafting the protocol with possibly a higher rate of such alterations in upper urinary tract urothelial cancer. Unfortunately, due to premature stop, no further conclusions can be drawn for efficacy or safety of </w:t>
      </w:r>
      <w:proofErr w:type="spellStart"/>
      <w:r>
        <w:t>pemigatinib</w:t>
      </w:r>
      <w:proofErr w:type="spellEnd"/>
      <w:r>
        <w:t xml:space="preserve"> in the trial population.</w:t>
      </w:r>
    </w:p>
    <w:p w14:paraId="0E43810C" w14:textId="77777777" w:rsidR="009E6D31" w:rsidRDefault="009E6D31" w:rsidP="009E6D31"/>
    <w:p w14:paraId="2404E924" w14:textId="77777777" w:rsidR="00753A91" w:rsidRDefault="00753A91"/>
    <w:sectPr w:rsidR="00753A9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1F2B2" w14:textId="77777777" w:rsidR="009E6D31" w:rsidRDefault="009E6D31" w:rsidP="00B81056">
      <w:r>
        <w:separator/>
      </w:r>
    </w:p>
  </w:endnote>
  <w:endnote w:type="continuationSeparator" w:id="0">
    <w:p w14:paraId="52522650" w14:textId="77777777" w:rsidR="009E6D31" w:rsidRDefault="009E6D31" w:rsidP="00B81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5E05F" w14:textId="77777777" w:rsidR="009E6D31" w:rsidRDefault="009E6D31" w:rsidP="00B81056">
      <w:r>
        <w:separator/>
      </w:r>
    </w:p>
  </w:footnote>
  <w:footnote w:type="continuationSeparator" w:id="0">
    <w:p w14:paraId="479BF480" w14:textId="77777777" w:rsidR="009E6D31" w:rsidRDefault="009E6D31" w:rsidP="00B810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1"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2" w15:restartNumberingAfterBreak="0">
    <w:nsid w:val="0A127BC8"/>
    <w:multiLevelType w:val="multilevel"/>
    <w:tmpl w:val="A66AC686"/>
    <w:lvl w:ilvl="0">
      <w:start w:val="1"/>
      <w:numFmt w:val="decimal"/>
      <w:pStyle w:val="TableheadingAgency"/>
      <w:suff w:val="space"/>
      <w:lvlText w:val="Table %1. "/>
      <w:lvlJc w:val="left"/>
      <w:pPr>
        <w:ind w:left="0" w:firstLine="0"/>
      </w:pPr>
      <w:rPr>
        <w:rFonts w:ascii="Verdana" w:hAnsi="Verdana" w:hint="default"/>
        <w:b/>
        <w:i w:val="0"/>
        <w:sz w:val="18"/>
        <w:szCs w:val="18"/>
      </w:rPr>
    </w:lvl>
    <w:lvl w:ilvl="1">
      <w:start w:val="1"/>
      <w:numFmt w:val="decimalZero"/>
      <w:isLgl/>
      <w:lvlText w:val="%1Section .%2"/>
      <w:lvlJc w:val="left"/>
      <w:pPr>
        <w:tabs>
          <w:tab w:val="num" w:pos="108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3" w15:restartNumberingAfterBreak="0">
    <w:nsid w:val="0E7A0AF4"/>
    <w:multiLevelType w:val="multilevel"/>
    <w:tmpl w:val="14DA7716"/>
    <w:lvl w:ilvl="0">
      <w:start w:val="1"/>
      <w:numFmt w:val="decimal"/>
      <w:pStyle w:val="FigureheadingAgency"/>
      <w:suff w:val="space"/>
      <w:lvlText w:val="Figure %1. "/>
      <w:lvlJc w:val="left"/>
      <w:pPr>
        <w:ind w:left="432" w:hanging="432"/>
      </w:pPr>
      <w:rPr>
        <w:rFonts w:ascii="Verdana" w:hAnsi="Verdana" w:hint="default"/>
        <w:b/>
        <w:i w:val="0"/>
        <w:color w:val="auto"/>
        <w:sz w:val="18"/>
        <w:szCs w:val="18"/>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1E64282B"/>
    <w:multiLevelType w:val="multilevel"/>
    <w:tmpl w:val="7614763A"/>
    <w:styleLink w:val="NumberlistAgency"/>
    <w:lvl w:ilvl="0">
      <w:start w:val="1"/>
      <w:numFmt w:val="decimal"/>
      <w:lvlText w:val="%1."/>
      <w:lvlJc w:val="left"/>
      <w:pPr>
        <w:tabs>
          <w:tab w:val="num" w:pos="360"/>
        </w:tabs>
        <w:ind w:left="360" w:hanging="360"/>
      </w:pPr>
      <w:rPr>
        <w:rFonts w:ascii="Verdana" w:hAnsi="Verdana" w:hint="default"/>
        <w:b w:val="0"/>
        <w:i w:val="0"/>
        <w:caps w:val="0"/>
        <w:strike w:val="0"/>
        <w:dstrike w:val="0"/>
        <w:vanish w:val="0"/>
        <w:color w:val="auto"/>
        <w:sz w:val="18"/>
        <w:szCs w:val="1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964"/>
        </w:tabs>
        <w:ind w:left="964" w:hanging="604"/>
      </w:pPr>
      <w:rPr>
        <w:rFonts w:ascii="Verdana" w:hAnsi="Verdana" w:hint="default"/>
        <w:b w:val="0"/>
        <w:i w:val="0"/>
        <w:caps w:val="0"/>
        <w:strike w:val="0"/>
        <w:dstrike w:val="0"/>
        <w:vanish w:val="0"/>
        <w:color w:val="auto"/>
        <w:sz w:val="18"/>
        <w:szCs w:val="1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none"/>
      <w:lvlText w:val=""/>
      <w:lvlJc w:val="left"/>
      <w:pPr>
        <w:tabs>
          <w:tab w:val="num" w:pos="964"/>
        </w:tabs>
        <w:ind w:left="964" w:hanging="607"/>
      </w:pPr>
      <w:rPr>
        <w:rFonts w:hint="default"/>
      </w:rPr>
    </w:lvl>
    <w:lvl w:ilvl="3">
      <w:start w:val="1"/>
      <w:numFmt w:val="none"/>
      <w:lvlText w:val=""/>
      <w:lvlJc w:val="left"/>
      <w:pPr>
        <w:tabs>
          <w:tab w:val="num" w:pos="964"/>
        </w:tabs>
        <w:ind w:left="964" w:hanging="607"/>
      </w:pPr>
      <w:rPr>
        <w:rFonts w:hint="default"/>
      </w:rPr>
    </w:lvl>
    <w:lvl w:ilvl="4">
      <w:start w:val="1"/>
      <w:numFmt w:val="none"/>
      <w:lvlText w:val=""/>
      <w:lvlJc w:val="left"/>
      <w:pPr>
        <w:tabs>
          <w:tab w:val="num" w:pos="964"/>
        </w:tabs>
        <w:ind w:left="964" w:hanging="607"/>
      </w:pPr>
      <w:rPr>
        <w:rFonts w:hint="default"/>
      </w:rPr>
    </w:lvl>
    <w:lvl w:ilvl="5">
      <w:start w:val="1"/>
      <w:numFmt w:val="none"/>
      <w:lvlText w:val=""/>
      <w:lvlJc w:val="left"/>
      <w:pPr>
        <w:tabs>
          <w:tab w:val="num" w:pos="964"/>
        </w:tabs>
        <w:ind w:left="964" w:hanging="607"/>
      </w:pPr>
      <w:rPr>
        <w:rFonts w:hint="default"/>
      </w:rPr>
    </w:lvl>
    <w:lvl w:ilvl="6">
      <w:start w:val="1"/>
      <w:numFmt w:val="none"/>
      <w:lvlText w:val="%7"/>
      <w:lvlJc w:val="left"/>
      <w:pPr>
        <w:tabs>
          <w:tab w:val="num" w:pos="964"/>
        </w:tabs>
        <w:ind w:left="964" w:hanging="607"/>
      </w:pPr>
      <w:rPr>
        <w:rFonts w:hint="default"/>
      </w:rPr>
    </w:lvl>
    <w:lvl w:ilvl="7">
      <w:start w:val="1"/>
      <w:numFmt w:val="none"/>
      <w:lvlText w:val=""/>
      <w:lvlJc w:val="left"/>
      <w:pPr>
        <w:tabs>
          <w:tab w:val="num" w:pos="964"/>
        </w:tabs>
        <w:ind w:left="964" w:hanging="607"/>
      </w:pPr>
      <w:rPr>
        <w:rFonts w:hint="default"/>
      </w:rPr>
    </w:lvl>
    <w:lvl w:ilvl="8">
      <w:start w:val="1"/>
      <w:numFmt w:val="none"/>
      <w:lvlText w:val=""/>
      <w:lvlJc w:val="left"/>
      <w:pPr>
        <w:tabs>
          <w:tab w:val="num" w:pos="964"/>
        </w:tabs>
        <w:ind w:left="964" w:hanging="607"/>
      </w:pPr>
      <w:rPr>
        <w:rFonts w:hint="default"/>
      </w:rPr>
    </w:lvl>
  </w:abstractNum>
  <w:abstractNum w:abstractNumId="5" w15:restartNumberingAfterBreak="0">
    <w:nsid w:val="51E21733"/>
    <w:multiLevelType w:val="multilevel"/>
    <w:tmpl w:val="A94C57BE"/>
    <w:lvl w:ilvl="0">
      <w:start w:val="1"/>
      <w:numFmt w:val="decimal"/>
      <w:pStyle w:val="Heading1Agency"/>
      <w:suff w:val="space"/>
      <w:lvlText w:val="%1. "/>
      <w:lvlJc w:val="left"/>
      <w:pPr>
        <w:ind w:left="0" w:firstLine="0"/>
      </w:pPr>
      <w:rPr>
        <w:rFonts w:hint="default"/>
      </w:rPr>
    </w:lvl>
    <w:lvl w:ilvl="1">
      <w:start w:val="1"/>
      <w:numFmt w:val="decimal"/>
      <w:pStyle w:val="Heading2Agency"/>
      <w:suff w:val="space"/>
      <w:lvlText w:val="%1.%2. "/>
      <w:lvlJc w:val="left"/>
      <w:pPr>
        <w:ind w:left="0" w:firstLine="0"/>
      </w:pPr>
      <w:rPr>
        <w:rFonts w:hint="default"/>
      </w:rPr>
    </w:lvl>
    <w:lvl w:ilvl="2">
      <w:start w:val="1"/>
      <w:numFmt w:val="decimal"/>
      <w:pStyle w:val="Heading3Agency"/>
      <w:suff w:val="space"/>
      <w:lvlText w:val="%1.%2.%3. "/>
      <w:lvlJc w:val="left"/>
      <w:pPr>
        <w:ind w:left="0" w:firstLine="0"/>
      </w:pPr>
      <w:rPr>
        <w:rFonts w:hint="default"/>
      </w:rPr>
    </w:lvl>
    <w:lvl w:ilvl="3">
      <w:start w:val="1"/>
      <w:numFmt w:val="decimal"/>
      <w:pStyle w:val="Heading4Agency"/>
      <w:isLgl/>
      <w:suff w:val="space"/>
      <w:lvlText w:val="%1.%2.%3.%4. "/>
      <w:lvlJc w:val="left"/>
      <w:pPr>
        <w:ind w:left="0" w:firstLine="0"/>
      </w:pPr>
      <w:rPr>
        <w:rFonts w:hint="default"/>
      </w:rPr>
    </w:lvl>
    <w:lvl w:ilvl="4">
      <w:start w:val="1"/>
      <w:numFmt w:val="decimal"/>
      <w:pStyle w:val="Heading5Agency"/>
      <w:suff w:val="space"/>
      <w:lvlText w:val="%1.%2.%3.%4.%5. "/>
      <w:lvlJc w:val="left"/>
      <w:pPr>
        <w:ind w:left="0" w:firstLine="0"/>
      </w:pPr>
      <w:rPr>
        <w:rFonts w:hint="default"/>
      </w:rPr>
    </w:lvl>
    <w:lvl w:ilvl="5">
      <w:start w:val="1"/>
      <w:numFmt w:val="decimal"/>
      <w:pStyle w:val="Heading6Agency"/>
      <w:suff w:val="space"/>
      <w:lvlText w:val="%1.%2.%3.%4.%5.%6. "/>
      <w:lvlJc w:val="left"/>
      <w:pPr>
        <w:ind w:left="0" w:firstLine="0"/>
      </w:pPr>
      <w:rPr>
        <w:rFonts w:hint="default"/>
      </w:rPr>
    </w:lvl>
    <w:lvl w:ilvl="6">
      <w:start w:val="1"/>
      <w:numFmt w:val="decimal"/>
      <w:pStyle w:val="Heading7Agency"/>
      <w:suff w:val="space"/>
      <w:lvlText w:val="%1.%2.%3.%4.%5.%6.%7. "/>
      <w:lvlJc w:val="left"/>
      <w:pPr>
        <w:ind w:left="0" w:firstLine="0"/>
      </w:pPr>
      <w:rPr>
        <w:rFonts w:hint="default"/>
      </w:rPr>
    </w:lvl>
    <w:lvl w:ilvl="7">
      <w:start w:val="1"/>
      <w:numFmt w:val="decimal"/>
      <w:pStyle w:val="Heading8Agency"/>
      <w:suff w:val="space"/>
      <w:lvlText w:val="%1.%2.%3.%4.%5.%6.%7.%8. "/>
      <w:lvlJc w:val="left"/>
      <w:pPr>
        <w:ind w:left="0" w:firstLine="0"/>
      </w:pPr>
      <w:rPr>
        <w:rFonts w:hint="default"/>
      </w:rPr>
    </w:lvl>
    <w:lvl w:ilvl="8">
      <w:start w:val="1"/>
      <w:numFmt w:val="decimal"/>
      <w:pStyle w:val="Heading9Agency"/>
      <w:suff w:val="space"/>
      <w:lvlText w:val="%1.%2.%3.%4.%5.%6.%7.%8.%9. "/>
      <w:lvlJc w:val="left"/>
      <w:pPr>
        <w:ind w:left="0" w:firstLine="0"/>
      </w:pPr>
      <w:rPr>
        <w:rFonts w:hint="default"/>
      </w:rPr>
    </w:lvl>
  </w:abstractNum>
  <w:abstractNum w:abstractNumId="6" w15:restartNumberingAfterBreak="0">
    <w:nsid w:val="658C02A1"/>
    <w:multiLevelType w:val="singleLevel"/>
    <w:tmpl w:val="E7D22186"/>
    <w:lvl w:ilvl="0">
      <w:start w:val="1"/>
      <w:numFmt w:val="upperRoman"/>
      <w:lvlText w:val="%1."/>
      <w:lvlJc w:val="left"/>
      <w:pPr>
        <w:tabs>
          <w:tab w:val="num" w:pos="720"/>
        </w:tabs>
        <w:ind w:left="360" w:hanging="360"/>
      </w:pPr>
    </w:lvl>
  </w:abstractNum>
  <w:num w:numId="1" w16cid:durableId="694186671">
    <w:abstractNumId w:val="0"/>
  </w:num>
  <w:num w:numId="2" w16cid:durableId="2130390884">
    <w:abstractNumId w:val="6"/>
  </w:num>
  <w:num w:numId="3" w16cid:durableId="233705330">
    <w:abstractNumId w:val="1"/>
  </w:num>
  <w:num w:numId="4" w16cid:durableId="1976980992">
    <w:abstractNumId w:val="3"/>
  </w:num>
  <w:num w:numId="5" w16cid:durableId="1180660320">
    <w:abstractNumId w:val="5"/>
  </w:num>
  <w:num w:numId="6" w16cid:durableId="1097754430">
    <w:abstractNumId w:val="5"/>
  </w:num>
  <w:num w:numId="7" w16cid:durableId="73357205">
    <w:abstractNumId w:val="5"/>
  </w:num>
  <w:num w:numId="8" w16cid:durableId="1881504828">
    <w:abstractNumId w:val="5"/>
  </w:num>
  <w:num w:numId="9" w16cid:durableId="2013609131">
    <w:abstractNumId w:val="5"/>
  </w:num>
  <w:num w:numId="10" w16cid:durableId="318653733">
    <w:abstractNumId w:val="5"/>
  </w:num>
  <w:num w:numId="11" w16cid:durableId="653602293">
    <w:abstractNumId w:val="5"/>
  </w:num>
  <w:num w:numId="12" w16cid:durableId="1992245677">
    <w:abstractNumId w:val="5"/>
  </w:num>
  <w:num w:numId="13" w16cid:durableId="2077120044">
    <w:abstractNumId w:val="5"/>
  </w:num>
  <w:num w:numId="14" w16cid:durableId="1950356579">
    <w:abstractNumId w:val="4"/>
  </w:num>
  <w:num w:numId="15" w16cid:durableId="1180312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Registered" w:val="-1"/>
    <w:docVar w:name="Version" w:val="0"/>
  </w:docVars>
  <w:rsids>
    <w:rsidRoot w:val="009E6D31"/>
    <w:rsid w:val="00057352"/>
    <w:rsid w:val="0015529E"/>
    <w:rsid w:val="00195347"/>
    <w:rsid w:val="001F6449"/>
    <w:rsid w:val="00204783"/>
    <w:rsid w:val="0033636B"/>
    <w:rsid w:val="00366471"/>
    <w:rsid w:val="00393C11"/>
    <w:rsid w:val="003A27D5"/>
    <w:rsid w:val="00424FD4"/>
    <w:rsid w:val="004714FD"/>
    <w:rsid w:val="004A447E"/>
    <w:rsid w:val="005A363D"/>
    <w:rsid w:val="006475BF"/>
    <w:rsid w:val="006505E1"/>
    <w:rsid w:val="006D13FE"/>
    <w:rsid w:val="00720E33"/>
    <w:rsid w:val="007477B0"/>
    <w:rsid w:val="00753A91"/>
    <w:rsid w:val="00782C9D"/>
    <w:rsid w:val="007C3EAF"/>
    <w:rsid w:val="007E05FD"/>
    <w:rsid w:val="0080301F"/>
    <w:rsid w:val="00852670"/>
    <w:rsid w:val="00856FB7"/>
    <w:rsid w:val="008C5222"/>
    <w:rsid w:val="009127B8"/>
    <w:rsid w:val="009E6D31"/>
    <w:rsid w:val="00AC2E8D"/>
    <w:rsid w:val="00B4142E"/>
    <w:rsid w:val="00B418EE"/>
    <w:rsid w:val="00B60E9D"/>
    <w:rsid w:val="00B63CC3"/>
    <w:rsid w:val="00B81056"/>
    <w:rsid w:val="00BD2447"/>
    <w:rsid w:val="00C023F0"/>
    <w:rsid w:val="00C571B2"/>
    <w:rsid w:val="00CA4B5A"/>
    <w:rsid w:val="00D35A58"/>
    <w:rsid w:val="00D936FD"/>
    <w:rsid w:val="00E36A82"/>
    <w:rsid w:val="00E36E76"/>
    <w:rsid w:val="00E558DA"/>
    <w:rsid w:val="00EE70BE"/>
    <w:rsid w:val="00F97C55"/>
    <w:rsid w:val="00FA54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9CF5D8"/>
  <w15:chartTrackingRefBased/>
  <w15:docId w15:val="{67B11458-CDBE-4C4B-903C-A6DB281B0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lang w:val="en-GB" w:eastAsia="en-US" w:bidi="ar-SA"/>
        <w14:ligatures w14:val="standardContextua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E6D31"/>
    <w:pPr>
      <w:spacing w:after="200" w:line="276" w:lineRule="auto"/>
    </w:pPr>
    <w:rPr>
      <w:rFonts w:asciiTheme="minorHAnsi" w:hAnsiTheme="minorHAnsi" w:cstheme="minorBidi"/>
      <w:kern w:val="0"/>
      <w:sz w:val="22"/>
      <w:szCs w:val="2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81056"/>
    <w:pPr>
      <w:tabs>
        <w:tab w:val="center" w:pos="4513"/>
        <w:tab w:val="right" w:pos="9026"/>
      </w:tabs>
    </w:pPr>
  </w:style>
  <w:style w:type="character" w:customStyle="1" w:styleId="HeaderChar">
    <w:name w:val="Header Char"/>
    <w:link w:val="Header"/>
    <w:rsid w:val="00B81056"/>
    <w:rPr>
      <w:sz w:val="22"/>
      <w:lang w:eastAsia="zh-CN"/>
    </w:rPr>
  </w:style>
  <w:style w:type="paragraph" w:customStyle="1" w:styleId="MemoHeaderStyle">
    <w:name w:val="MemoHeaderStyle"/>
    <w:basedOn w:val="Normal"/>
    <w:next w:val="Normal"/>
    <w:pPr>
      <w:spacing w:line="120" w:lineRule="atLeast"/>
      <w:ind w:left="1418"/>
      <w:jc w:val="both"/>
    </w:pPr>
    <w:rPr>
      <w:rFonts w:ascii="Arial" w:hAnsi="Arial"/>
      <w:b/>
      <w:smallCaps/>
    </w:rPr>
  </w:style>
  <w:style w:type="paragraph" w:customStyle="1" w:styleId="BodytextAgency">
    <w:name w:val="Body text (Agency)"/>
    <w:basedOn w:val="Normal"/>
    <w:qFormat/>
    <w:rsid w:val="00D35A58"/>
    <w:pPr>
      <w:spacing w:after="140" w:line="280" w:lineRule="atLeast"/>
    </w:pPr>
    <w:rPr>
      <w:rFonts w:eastAsia="Verdana" w:cs="Verdana"/>
      <w:szCs w:val="18"/>
      <w:lang w:eastAsia="en-GB"/>
    </w:rPr>
  </w:style>
  <w:style w:type="numbering" w:customStyle="1" w:styleId="BulletsAgency">
    <w:name w:val="Bullets (Agency)"/>
    <w:basedOn w:val="NoList"/>
    <w:rsid w:val="00D35A58"/>
    <w:pPr>
      <w:numPr>
        <w:numId w:val="3"/>
      </w:numPr>
    </w:pPr>
  </w:style>
  <w:style w:type="paragraph" w:customStyle="1" w:styleId="DisclaimerAgency">
    <w:name w:val="Disclaimer (Agency)"/>
    <w:basedOn w:val="Normal"/>
    <w:semiHidden/>
    <w:rsid w:val="00D35A58"/>
    <w:pPr>
      <w:tabs>
        <w:tab w:val="center" w:pos="4320"/>
        <w:tab w:val="right" w:pos="8640"/>
      </w:tabs>
      <w:spacing w:after="57" w:line="150" w:lineRule="exact"/>
    </w:pPr>
    <w:rPr>
      <w:rFonts w:eastAsia="Verdana" w:cs="Verdana"/>
      <w:snapToGrid w:val="0"/>
      <w:color w:val="6D6F71"/>
      <w:sz w:val="13"/>
      <w:szCs w:val="13"/>
      <w:lang w:eastAsia="en-GB"/>
    </w:rPr>
  </w:style>
  <w:style w:type="paragraph" w:customStyle="1" w:styleId="DoccategoryheadingAgency">
    <w:name w:val="Doc category heading (Agency)"/>
    <w:next w:val="BodytextAgency"/>
    <w:qFormat/>
    <w:rsid w:val="00D35A58"/>
    <w:pPr>
      <w:keepNext/>
      <w:pBdr>
        <w:bottom w:val="single" w:sz="4" w:space="1" w:color="auto"/>
      </w:pBdr>
      <w:spacing w:before="567"/>
    </w:pPr>
    <w:rPr>
      <w:rFonts w:ascii="Verdana" w:eastAsia="Verdana" w:hAnsi="Verdana" w:cs="Verdana"/>
      <w:b/>
      <w:color w:val="003399"/>
      <w:sz w:val="18"/>
      <w:szCs w:val="18"/>
      <w:lang w:eastAsia="en-GB"/>
    </w:rPr>
  </w:style>
  <w:style w:type="paragraph" w:customStyle="1" w:styleId="DocsubtitleAgency">
    <w:name w:val="Doc subtitle (Agency)"/>
    <w:basedOn w:val="Normal"/>
    <w:next w:val="BodytextAgency"/>
    <w:qFormat/>
    <w:rsid w:val="00D35A58"/>
    <w:pPr>
      <w:spacing w:after="640" w:line="360" w:lineRule="atLeast"/>
    </w:pPr>
    <w:rPr>
      <w:rFonts w:eastAsia="Verdana" w:cs="Verdana"/>
      <w:sz w:val="24"/>
      <w:szCs w:val="24"/>
      <w:lang w:eastAsia="en-GB"/>
    </w:rPr>
  </w:style>
  <w:style w:type="paragraph" w:customStyle="1" w:styleId="DoctitleAgency">
    <w:name w:val="Doc title (Agency)"/>
    <w:basedOn w:val="Normal"/>
    <w:next w:val="DocsubtitleAgency"/>
    <w:qFormat/>
    <w:rsid w:val="00D35A58"/>
    <w:pPr>
      <w:spacing w:before="720" w:line="360" w:lineRule="atLeast"/>
    </w:pPr>
    <w:rPr>
      <w:rFonts w:eastAsia="Verdana" w:cs="Verdana"/>
      <w:color w:val="003399"/>
      <w:sz w:val="32"/>
      <w:szCs w:val="32"/>
      <w:lang w:eastAsia="en-GB"/>
    </w:rPr>
  </w:style>
  <w:style w:type="paragraph" w:customStyle="1" w:styleId="DraftingNotesAgency">
    <w:name w:val="Drafting Notes (Agency)"/>
    <w:basedOn w:val="Normal"/>
    <w:next w:val="BodytextAgency"/>
    <w:qFormat/>
    <w:rsid w:val="00D35A58"/>
    <w:pPr>
      <w:spacing w:after="140" w:line="280" w:lineRule="atLeast"/>
    </w:pPr>
    <w:rPr>
      <w:rFonts w:ascii="Courier New" w:eastAsia="Verdana" w:hAnsi="Courier New"/>
      <w:i/>
      <w:color w:val="339966"/>
      <w:szCs w:val="18"/>
      <w:lang w:eastAsia="en-GB"/>
    </w:rPr>
  </w:style>
  <w:style w:type="character" w:customStyle="1" w:styleId="EndnotereferenceAgency">
    <w:name w:val="Endnote reference (Agency)"/>
    <w:semiHidden/>
    <w:rsid w:val="00D35A58"/>
    <w:rPr>
      <w:rFonts w:ascii="Verdana" w:hAnsi="Verdana"/>
      <w:vertAlign w:val="superscript"/>
    </w:rPr>
  </w:style>
  <w:style w:type="paragraph" w:customStyle="1" w:styleId="EndnotetextAgency">
    <w:name w:val="Endnote text (Agency)"/>
    <w:basedOn w:val="Normal"/>
    <w:semiHidden/>
    <w:rsid w:val="00D35A58"/>
    <w:rPr>
      <w:rFonts w:eastAsia="Verdana" w:cs="Verdana"/>
      <w:sz w:val="15"/>
      <w:szCs w:val="18"/>
      <w:lang w:eastAsia="en-GB"/>
    </w:rPr>
  </w:style>
  <w:style w:type="paragraph" w:customStyle="1" w:styleId="FigureAgency">
    <w:name w:val="Figure (Agency)"/>
    <w:basedOn w:val="Normal"/>
    <w:next w:val="BodytextAgency"/>
    <w:semiHidden/>
    <w:rsid w:val="00D35A58"/>
    <w:pPr>
      <w:jc w:val="center"/>
    </w:pPr>
    <w:rPr>
      <w:rFonts w:cs="Verdana"/>
      <w:szCs w:val="18"/>
    </w:rPr>
  </w:style>
  <w:style w:type="paragraph" w:customStyle="1" w:styleId="FigureheadingAgency">
    <w:name w:val="Figure heading (Agency)"/>
    <w:basedOn w:val="Normal"/>
    <w:next w:val="FigureAgency"/>
    <w:semiHidden/>
    <w:rsid w:val="00D35A58"/>
    <w:pPr>
      <w:keepNext/>
      <w:numPr>
        <w:numId w:val="4"/>
      </w:numPr>
      <w:spacing w:before="240" w:after="120"/>
    </w:pPr>
    <w:rPr>
      <w:rFonts w:cs="Verdana"/>
      <w:szCs w:val="18"/>
    </w:rPr>
  </w:style>
  <w:style w:type="paragraph" w:customStyle="1" w:styleId="FooterAgency">
    <w:name w:val="Footer (Agency)"/>
    <w:basedOn w:val="Normal"/>
    <w:link w:val="FooterAgencyCharChar"/>
    <w:rsid w:val="00B81056"/>
    <w:rPr>
      <w:rFonts w:eastAsia="Verdana" w:cs="Verdana"/>
      <w:color w:val="6D6F71"/>
      <w:sz w:val="14"/>
      <w:szCs w:val="14"/>
      <w:lang w:eastAsia="en-GB"/>
    </w:rPr>
  </w:style>
  <w:style w:type="character" w:customStyle="1" w:styleId="FooterAgencyCharChar">
    <w:name w:val="Footer (Agency) Char Char"/>
    <w:link w:val="FooterAgency"/>
    <w:rsid w:val="00B81056"/>
    <w:rPr>
      <w:rFonts w:ascii="Verdana" w:eastAsia="Verdana" w:hAnsi="Verdana" w:cs="Verdana"/>
      <w:color w:val="6D6F71"/>
      <w:sz w:val="14"/>
      <w:szCs w:val="14"/>
    </w:rPr>
  </w:style>
  <w:style w:type="paragraph" w:customStyle="1" w:styleId="FooterblueAgency">
    <w:name w:val="Footer blue (Agency)"/>
    <w:basedOn w:val="Normal"/>
    <w:link w:val="FooterblueAgencyCharChar"/>
    <w:semiHidden/>
    <w:rsid w:val="00D35A58"/>
    <w:rPr>
      <w:rFonts w:eastAsia="Verdana" w:cs="Verdana"/>
      <w:b/>
      <w:color w:val="003399"/>
      <w:sz w:val="13"/>
      <w:szCs w:val="14"/>
      <w:lang w:eastAsia="en-GB"/>
    </w:rPr>
  </w:style>
  <w:style w:type="character" w:customStyle="1" w:styleId="FooterblueAgencyCharChar">
    <w:name w:val="Footer blue (Agency) Char Char"/>
    <w:link w:val="FooterblueAgency"/>
    <w:semiHidden/>
    <w:rsid w:val="00D35A58"/>
    <w:rPr>
      <w:rFonts w:ascii="Verdana" w:eastAsia="Verdana" w:hAnsi="Verdana" w:cs="Verdana"/>
      <w:b/>
      <w:color w:val="003399"/>
      <w:sz w:val="13"/>
      <w:szCs w:val="14"/>
    </w:rPr>
  </w:style>
  <w:style w:type="table" w:customStyle="1" w:styleId="FootertableAgency">
    <w:name w:val="Footer table (Agency)"/>
    <w:basedOn w:val="TableNormal"/>
    <w:semiHidden/>
    <w:rsid w:val="00D35A58"/>
    <w:rPr>
      <w:rFonts w:ascii="Verdana" w:hAnsi="Verdana"/>
    </w:rPr>
    <w:tblPr/>
    <w:tcPr>
      <w:shd w:val="clear" w:color="auto" w:fill="auto"/>
      <w:tcMar>
        <w:left w:w="0" w:type="dxa"/>
        <w:right w:w="0" w:type="dxa"/>
      </w:tcMar>
    </w:tcPr>
    <w:tblStylePr w:type="firstRow">
      <w:rPr>
        <w:rFonts w:ascii="Tahoma" w:hAnsi="Tahoma"/>
        <w:b w:val="0"/>
        <w:sz w:val="18"/>
      </w:rPr>
      <w:tblPr/>
      <w:tcPr>
        <w:tcBorders>
          <w:top w:val="single" w:sz="2" w:space="0" w:color="auto"/>
          <w:left w:val="nil"/>
          <w:bottom w:val="nil"/>
          <w:right w:val="nil"/>
          <w:insideH w:val="nil"/>
          <w:insideV w:val="nil"/>
          <w:tl2br w:val="nil"/>
          <w:tr2bl w:val="nil"/>
        </w:tcBorders>
        <w:shd w:val="clear" w:color="auto" w:fill="auto"/>
      </w:tcPr>
    </w:tblStylePr>
  </w:style>
  <w:style w:type="character" w:customStyle="1" w:styleId="FootnotereferenceAgency">
    <w:name w:val="Footnote reference (Agency)"/>
    <w:semiHidden/>
    <w:rsid w:val="00D35A58"/>
    <w:rPr>
      <w:rFonts w:ascii="Verdana" w:hAnsi="Verdana"/>
      <w:color w:val="auto"/>
      <w:vertAlign w:val="superscript"/>
    </w:rPr>
  </w:style>
  <w:style w:type="paragraph" w:customStyle="1" w:styleId="FootnotetextAgency">
    <w:name w:val="Footnote text (Agency)"/>
    <w:basedOn w:val="Normal"/>
    <w:semiHidden/>
    <w:rsid w:val="00D35A58"/>
    <w:rPr>
      <w:rFonts w:eastAsia="Verdana" w:cs="Verdana"/>
      <w:sz w:val="15"/>
      <w:szCs w:val="18"/>
      <w:lang w:eastAsia="en-GB"/>
    </w:rPr>
  </w:style>
  <w:style w:type="paragraph" w:customStyle="1" w:styleId="HeaderAgency">
    <w:name w:val="Header (Agency)"/>
    <w:basedOn w:val="FooterAgency"/>
    <w:semiHidden/>
    <w:rsid w:val="00D35A58"/>
  </w:style>
  <w:style w:type="paragraph" w:customStyle="1" w:styleId="Heading1Agency">
    <w:name w:val="Heading 1 (Agency)"/>
    <w:basedOn w:val="Normal"/>
    <w:next w:val="BodytextAgency"/>
    <w:qFormat/>
    <w:rsid w:val="00D35A58"/>
    <w:pPr>
      <w:keepNext/>
      <w:numPr>
        <w:numId w:val="13"/>
      </w:numPr>
      <w:spacing w:before="280" w:after="220"/>
      <w:outlineLvl w:val="0"/>
    </w:pPr>
    <w:rPr>
      <w:rFonts w:eastAsia="Verdana" w:cs="Arial"/>
      <w:b/>
      <w:bCs/>
      <w:kern w:val="32"/>
      <w:sz w:val="27"/>
      <w:szCs w:val="27"/>
      <w:lang w:eastAsia="en-GB"/>
    </w:rPr>
  </w:style>
  <w:style w:type="paragraph" w:customStyle="1" w:styleId="Heading2Agency">
    <w:name w:val="Heading 2 (Agency)"/>
    <w:basedOn w:val="Normal"/>
    <w:next w:val="BodytextAgency"/>
    <w:qFormat/>
    <w:rsid w:val="00D35A58"/>
    <w:pPr>
      <w:keepNext/>
      <w:numPr>
        <w:ilvl w:val="1"/>
        <w:numId w:val="13"/>
      </w:numPr>
      <w:spacing w:before="280" w:after="220"/>
      <w:outlineLvl w:val="1"/>
    </w:pPr>
    <w:rPr>
      <w:rFonts w:eastAsia="Verdana" w:cs="Arial"/>
      <w:b/>
      <w:bCs/>
      <w:i/>
      <w:kern w:val="32"/>
      <w:lang w:eastAsia="en-GB"/>
    </w:rPr>
  </w:style>
  <w:style w:type="paragraph" w:customStyle="1" w:styleId="Heading3Agency">
    <w:name w:val="Heading 3 (Agency)"/>
    <w:basedOn w:val="Normal"/>
    <w:next w:val="BodytextAgency"/>
    <w:qFormat/>
    <w:rsid w:val="00D35A58"/>
    <w:pPr>
      <w:keepNext/>
      <w:numPr>
        <w:ilvl w:val="2"/>
        <w:numId w:val="13"/>
      </w:numPr>
      <w:spacing w:before="280" w:after="220"/>
      <w:outlineLvl w:val="2"/>
    </w:pPr>
    <w:rPr>
      <w:rFonts w:eastAsia="Verdana" w:cs="Arial"/>
      <w:b/>
      <w:bCs/>
      <w:kern w:val="32"/>
      <w:lang w:eastAsia="en-GB"/>
    </w:rPr>
  </w:style>
  <w:style w:type="paragraph" w:customStyle="1" w:styleId="Heading4Agency">
    <w:name w:val="Heading 4 (Agency)"/>
    <w:basedOn w:val="Heading3Agency"/>
    <w:next w:val="BodytextAgency"/>
    <w:qFormat/>
    <w:rsid w:val="00D35A58"/>
    <w:pPr>
      <w:numPr>
        <w:ilvl w:val="3"/>
      </w:numPr>
      <w:outlineLvl w:val="3"/>
    </w:pPr>
    <w:rPr>
      <w:i/>
      <w:szCs w:val="18"/>
    </w:rPr>
  </w:style>
  <w:style w:type="paragraph" w:customStyle="1" w:styleId="Heading5Agency">
    <w:name w:val="Heading 5 (Agency)"/>
    <w:basedOn w:val="Heading4Agency"/>
    <w:next w:val="BodytextAgency"/>
    <w:qFormat/>
    <w:rsid w:val="00D35A58"/>
    <w:pPr>
      <w:numPr>
        <w:ilvl w:val="4"/>
      </w:numPr>
      <w:outlineLvl w:val="4"/>
    </w:pPr>
    <w:rPr>
      <w:i w:val="0"/>
    </w:rPr>
  </w:style>
  <w:style w:type="paragraph" w:customStyle="1" w:styleId="Heading6Agency">
    <w:name w:val="Heading 6 (Agency)"/>
    <w:basedOn w:val="Heading5Agency"/>
    <w:next w:val="BodytextAgency"/>
    <w:semiHidden/>
    <w:rsid w:val="00D35A58"/>
    <w:pPr>
      <w:numPr>
        <w:ilvl w:val="5"/>
      </w:numPr>
      <w:outlineLvl w:val="5"/>
    </w:pPr>
  </w:style>
  <w:style w:type="paragraph" w:customStyle="1" w:styleId="Heading7Agency">
    <w:name w:val="Heading 7 (Agency)"/>
    <w:basedOn w:val="Heading6Agency"/>
    <w:next w:val="BodytextAgency"/>
    <w:semiHidden/>
    <w:rsid w:val="00D35A58"/>
    <w:pPr>
      <w:numPr>
        <w:ilvl w:val="6"/>
      </w:numPr>
      <w:outlineLvl w:val="6"/>
    </w:pPr>
  </w:style>
  <w:style w:type="paragraph" w:customStyle="1" w:styleId="Heading8Agency">
    <w:name w:val="Heading 8 (Agency)"/>
    <w:basedOn w:val="Heading7Agency"/>
    <w:next w:val="BodytextAgency"/>
    <w:semiHidden/>
    <w:rsid w:val="00D35A58"/>
    <w:pPr>
      <w:numPr>
        <w:ilvl w:val="7"/>
      </w:numPr>
      <w:outlineLvl w:val="7"/>
    </w:pPr>
  </w:style>
  <w:style w:type="paragraph" w:customStyle="1" w:styleId="Heading9Agency">
    <w:name w:val="Heading 9 (Agency)"/>
    <w:basedOn w:val="Heading8Agency"/>
    <w:next w:val="BodytextAgency"/>
    <w:semiHidden/>
    <w:rsid w:val="00D35A58"/>
    <w:pPr>
      <w:numPr>
        <w:ilvl w:val="8"/>
      </w:numPr>
      <w:outlineLvl w:val="8"/>
    </w:pPr>
  </w:style>
  <w:style w:type="paragraph" w:customStyle="1" w:styleId="No-numheading1Agency">
    <w:name w:val="No-num heading 1 (Agency)"/>
    <w:basedOn w:val="Normal"/>
    <w:next w:val="BodytextAgency"/>
    <w:qFormat/>
    <w:rsid w:val="00D35A58"/>
    <w:pPr>
      <w:keepNext/>
      <w:spacing w:before="280" w:after="220"/>
      <w:outlineLvl w:val="0"/>
    </w:pPr>
    <w:rPr>
      <w:rFonts w:eastAsia="Verdana" w:cs="Arial"/>
      <w:b/>
      <w:bCs/>
      <w:kern w:val="32"/>
      <w:sz w:val="27"/>
      <w:szCs w:val="27"/>
      <w:lang w:eastAsia="en-GB"/>
    </w:rPr>
  </w:style>
  <w:style w:type="paragraph" w:customStyle="1" w:styleId="HeadingcentredAgency">
    <w:name w:val="Heading centred (Agency)"/>
    <w:basedOn w:val="No-numheading1Agency"/>
    <w:next w:val="BodytextAgency"/>
    <w:qFormat/>
    <w:rsid w:val="00D35A58"/>
    <w:pPr>
      <w:jc w:val="center"/>
    </w:pPr>
  </w:style>
  <w:style w:type="paragraph" w:customStyle="1" w:styleId="No-numheading2Agency">
    <w:name w:val="No-num heading 2 (Agency)"/>
    <w:basedOn w:val="Normal"/>
    <w:next w:val="BodytextAgency"/>
    <w:qFormat/>
    <w:rsid w:val="00D35A58"/>
    <w:pPr>
      <w:keepNext/>
      <w:spacing w:before="280" w:after="220"/>
      <w:outlineLvl w:val="1"/>
    </w:pPr>
    <w:rPr>
      <w:rFonts w:eastAsia="Verdana" w:cs="Arial"/>
      <w:b/>
      <w:bCs/>
      <w:i/>
      <w:kern w:val="32"/>
      <w:lang w:eastAsia="en-GB"/>
    </w:rPr>
  </w:style>
  <w:style w:type="paragraph" w:customStyle="1" w:styleId="No-numheading3Agency">
    <w:name w:val="No-num heading 3 (Agency)"/>
    <w:basedOn w:val="Heading3Agency"/>
    <w:next w:val="BodytextAgency"/>
    <w:qFormat/>
    <w:rsid w:val="00D35A58"/>
    <w:pPr>
      <w:numPr>
        <w:ilvl w:val="0"/>
        <w:numId w:val="0"/>
      </w:numPr>
    </w:pPr>
  </w:style>
  <w:style w:type="paragraph" w:customStyle="1" w:styleId="No-numheading4Agency">
    <w:name w:val="No-num heading 4 (Agency)"/>
    <w:basedOn w:val="Heading4Agency"/>
    <w:next w:val="BodytextAgency"/>
    <w:qFormat/>
    <w:rsid w:val="00D35A58"/>
    <w:pPr>
      <w:numPr>
        <w:ilvl w:val="0"/>
        <w:numId w:val="0"/>
      </w:numPr>
    </w:pPr>
  </w:style>
  <w:style w:type="paragraph" w:customStyle="1" w:styleId="No-numheading5Agency">
    <w:name w:val="No-num heading 5 (Agency)"/>
    <w:basedOn w:val="Heading5Agency"/>
    <w:next w:val="BodytextAgency"/>
    <w:qFormat/>
    <w:rsid w:val="00D35A58"/>
    <w:pPr>
      <w:numPr>
        <w:ilvl w:val="0"/>
        <w:numId w:val="0"/>
      </w:numPr>
    </w:pPr>
  </w:style>
  <w:style w:type="paragraph" w:customStyle="1" w:styleId="No-numheading6Agency">
    <w:name w:val="No-num heading 6 (Agency)"/>
    <w:basedOn w:val="No-numheading5Agency"/>
    <w:next w:val="BodytextAgency"/>
    <w:semiHidden/>
    <w:rsid w:val="00D35A58"/>
    <w:pPr>
      <w:outlineLvl w:val="5"/>
    </w:pPr>
  </w:style>
  <w:style w:type="paragraph" w:customStyle="1" w:styleId="No-numheading7Agency">
    <w:name w:val="No-num heading 7 (Agency)"/>
    <w:basedOn w:val="No-numheading6Agency"/>
    <w:next w:val="BodytextAgency"/>
    <w:semiHidden/>
    <w:rsid w:val="00D35A58"/>
    <w:pPr>
      <w:outlineLvl w:val="6"/>
    </w:pPr>
  </w:style>
  <w:style w:type="paragraph" w:customStyle="1" w:styleId="No-numheading8Agency">
    <w:name w:val="No-num heading 8 (Agency)"/>
    <w:basedOn w:val="No-numheading7Agency"/>
    <w:next w:val="BodytextAgency"/>
    <w:semiHidden/>
    <w:rsid w:val="00D35A58"/>
    <w:pPr>
      <w:outlineLvl w:val="7"/>
    </w:pPr>
  </w:style>
  <w:style w:type="paragraph" w:customStyle="1" w:styleId="No-numheading9Agency">
    <w:name w:val="No-num heading 9 (Agency)"/>
    <w:basedOn w:val="No-numheading8Agency"/>
    <w:next w:val="BodytextAgency"/>
    <w:semiHidden/>
    <w:rsid w:val="00D35A58"/>
    <w:pPr>
      <w:outlineLvl w:val="8"/>
    </w:pPr>
  </w:style>
  <w:style w:type="paragraph" w:customStyle="1" w:styleId="NormalAgency">
    <w:name w:val="Normal (Agency)"/>
    <w:qFormat/>
    <w:rsid w:val="00D35A58"/>
    <w:rPr>
      <w:rFonts w:ascii="Verdana" w:eastAsia="Verdana" w:hAnsi="Verdana" w:cs="Verdana"/>
      <w:sz w:val="18"/>
      <w:szCs w:val="18"/>
      <w:lang w:eastAsia="en-GB"/>
    </w:rPr>
  </w:style>
  <w:style w:type="paragraph" w:customStyle="1" w:styleId="No-TOCheadingAgency">
    <w:name w:val="No-TOC heading (Agency)"/>
    <w:basedOn w:val="Normal"/>
    <w:next w:val="BodytextAgency"/>
    <w:qFormat/>
    <w:rsid w:val="00D35A58"/>
    <w:pPr>
      <w:keepNext/>
      <w:spacing w:before="280" w:after="220"/>
    </w:pPr>
    <w:rPr>
      <w:rFonts w:eastAsia="Times New Roman" w:cs="Arial"/>
      <w:b/>
      <w:kern w:val="32"/>
      <w:sz w:val="27"/>
      <w:szCs w:val="27"/>
      <w:lang w:eastAsia="en-GB"/>
    </w:rPr>
  </w:style>
  <w:style w:type="numbering" w:customStyle="1" w:styleId="NumberlistAgency">
    <w:name w:val="Number list (Agency)"/>
    <w:basedOn w:val="NoList"/>
    <w:rsid w:val="00D35A58"/>
    <w:pPr>
      <w:numPr>
        <w:numId w:val="14"/>
      </w:numPr>
    </w:pPr>
  </w:style>
  <w:style w:type="paragraph" w:customStyle="1" w:styleId="PagenumberAgency">
    <w:name w:val="Page number (Agency)"/>
    <w:basedOn w:val="Normal"/>
    <w:next w:val="Normal"/>
    <w:link w:val="PagenumberAgencyCharChar"/>
    <w:semiHidden/>
    <w:rsid w:val="00D35A58"/>
    <w:pPr>
      <w:tabs>
        <w:tab w:val="right" w:pos="9781"/>
      </w:tabs>
      <w:jc w:val="right"/>
    </w:pPr>
    <w:rPr>
      <w:rFonts w:eastAsia="Verdana" w:cs="Verdana"/>
      <w:color w:val="6D6F71"/>
      <w:sz w:val="14"/>
      <w:szCs w:val="14"/>
      <w:lang w:eastAsia="en-GB"/>
    </w:rPr>
  </w:style>
  <w:style w:type="character" w:customStyle="1" w:styleId="PagenumberAgencyCharChar">
    <w:name w:val="Page number (Agency) Char Char"/>
    <w:link w:val="PagenumberAgency"/>
    <w:semiHidden/>
    <w:rsid w:val="00D35A58"/>
  </w:style>
  <w:style w:type="paragraph" w:customStyle="1" w:styleId="RefAgency">
    <w:name w:val="Ref. (Agency)"/>
    <w:basedOn w:val="Normal"/>
    <w:semiHidden/>
    <w:rsid w:val="00D35A58"/>
    <w:rPr>
      <w:rFonts w:eastAsia="Times New Roman"/>
      <w:sz w:val="17"/>
      <w:szCs w:val="18"/>
      <w:lang w:eastAsia="en-GB"/>
    </w:rPr>
  </w:style>
  <w:style w:type="paragraph" w:customStyle="1" w:styleId="SpecialcommentAgency">
    <w:name w:val="Special comment (Agency)"/>
    <w:next w:val="BodytextAgency"/>
    <w:qFormat/>
    <w:rsid w:val="00D35A58"/>
    <w:rPr>
      <w:rFonts w:ascii="Verdana" w:eastAsia="Times New Roman" w:hAnsi="Verdana"/>
      <w:color w:val="FF0000"/>
      <w:sz w:val="17"/>
      <w:szCs w:val="17"/>
      <w:lang w:eastAsia="en-GB"/>
    </w:rPr>
  </w:style>
  <w:style w:type="paragraph" w:customStyle="1" w:styleId="TablefirstrowAgency">
    <w:name w:val="Table first row (Agency)"/>
    <w:basedOn w:val="BodytextAgency"/>
    <w:semiHidden/>
    <w:rsid w:val="00D35A58"/>
    <w:pPr>
      <w:keepNext/>
    </w:pPr>
    <w:rPr>
      <w:rFonts w:eastAsia="Times New Roman"/>
      <w:b/>
    </w:rPr>
  </w:style>
  <w:style w:type="table" w:customStyle="1" w:styleId="TablegridAgency">
    <w:name w:val="Table grid (Agency)"/>
    <w:basedOn w:val="TableNormal"/>
    <w:semiHidden/>
    <w:rsid w:val="001F6449"/>
    <w:rPr>
      <w:rFonts w:ascii="Verdana" w:eastAsia="SimSun" w:hAnsi="Verdana"/>
      <w:sz w:val="18"/>
      <w:lang w:eastAsia="en-GB"/>
    </w:rPr>
    <w:tblPr>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Pr>
    <w:tcPr>
      <w:shd w:val="clear" w:color="auto" w:fill="E1E3F2"/>
    </w:tcPr>
    <w:tblStylePr w:type="firstRow">
      <w:rPr>
        <w:rFonts w:ascii="Tahoma" w:hAnsi="Tahoma"/>
        <w:b/>
        <w:i w:val="0"/>
        <w:sz w:val="18"/>
        <w:szCs w:val="18"/>
      </w:rPr>
      <w:tblPr/>
      <w:trPr>
        <w:tblHeader/>
      </w:trPr>
      <w:tcPr>
        <w:tcBorders>
          <w:top w:val="nil"/>
          <w:left w:val="nil"/>
          <w:bottom w:val="nil"/>
          <w:right w:val="nil"/>
          <w:insideH w:val="nil"/>
          <w:insideV w:val="nil"/>
          <w:tl2br w:val="nil"/>
          <w:tr2bl w:val="nil"/>
        </w:tcBorders>
        <w:shd w:val="clear" w:color="auto" w:fill="003399"/>
      </w:tcPr>
    </w:tblStylePr>
  </w:style>
  <w:style w:type="table" w:customStyle="1" w:styleId="TablegridAgencyblack">
    <w:name w:val="Table grid (Agency) black"/>
    <w:basedOn w:val="TablegridAgency"/>
    <w:semiHidden/>
    <w:rsid w:val="00D35A58"/>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ahoma" w:hAnsi="Tahoma"/>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table" w:customStyle="1" w:styleId="TablegridAgencyblank">
    <w:name w:val="Table grid (Agency) blank"/>
    <w:basedOn w:val="TableNormal"/>
    <w:semiHidden/>
    <w:rsid w:val="00D35A58"/>
    <w:rPr>
      <w:rFonts w:ascii="Verdana" w:hAnsi="Verdana"/>
      <w:sz w:val="18"/>
    </w:rPr>
    <w:tblPr/>
    <w:tcPr>
      <w:shd w:val="clear" w:color="auto" w:fill="auto"/>
    </w:tcPr>
    <w:tblStylePr w:type="firstRow">
      <w:rPr>
        <w:rFonts w:ascii="Tahoma" w:hAnsi="Tahoma"/>
        <w:b w:val="0"/>
        <w:i w:val="0"/>
        <w:color w:val="auto"/>
        <w:sz w:val="18"/>
        <w:szCs w:val="18"/>
      </w:rPr>
      <w:tblPr/>
      <w:trPr>
        <w:tblHeader/>
      </w:trPr>
      <w:tcPr>
        <w:tcBorders>
          <w:top w:val="nil"/>
          <w:left w:val="nil"/>
          <w:bottom w:val="nil"/>
          <w:right w:val="nil"/>
          <w:insideH w:val="nil"/>
          <w:insideV w:val="nil"/>
          <w:tl2br w:val="nil"/>
          <w:tr2bl w:val="nil"/>
        </w:tcBorders>
        <w:shd w:val="clear" w:color="auto" w:fill="auto"/>
      </w:tcPr>
    </w:tblStylePr>
  </w:style>
  <w:style w:type="paragraph" w:customStyle="1" w:styleId="TableheadingAgency">
    <w:name w:val="Table heading (Agency)"/>
    <w:basedOn w:val="Normal"/>
    <w:next w:val="BodytextAgency"/>
    <w:semiHidden/>
    <w:rsid w:val="00D35A58"/>
    <w:pPr>
      <w:keepNext/>
      <w:numPr>
        <w:numId w:val="15"/>
      </w:numPr>
      <w:spacing w:before="240" w:after="120"/>
    </w:pPr>
    <w:rPr>
      <w:rFonts w:cs="Verdana"/>
      <w:szCs w:val="18"/>
    </w:rPr>
  </w:style>
  <w:style w:type="paragraph" w:customStyle="1" w:styleId="TableheadingrowsAgency">
    <w:name w:val="Table heading rows (Agency)"/>
    <w:basedOn w:val="BodytextAgency"/>
    <w:semiHidden/>
    <w:rsid w:val="00D35A58"/>
    <w:pPr>
      <w:keepNext/>
    </w:pPr>
    <w:rPr>
      <w:rFonts w:eastAsia="Times New Roman"/>
      <w:b/>
    </w:rPr>
  </w:style>
  <w:style w:type="paragraph" w:customStyle="1" w:styleId="TabletextrowsAgency">
    <w:name w:val="Table text rows (Agency)"/>
    <w:basedOn w:val="Normal"/>
    <w:semiHidden/>
    <w:rsid w:val="00D35A58"/>
    <w:pPr>
      <w:spacing w:line="280" w:lineRule="exact"/>
    </w:pPr>
    <w:rPr>
      <w:rFonts w:eastAsia="Times New Roman" w:cs="Verdana"/>
      <w:szCs w:val="18"/>
    </w:rPr>
  </w:style>
  <w:style w:type="paragraph" w:customStyle="1" w:styleId="TableFigurenoteAgency">
    <w:name w:val="Table/Figure note (Agency)"/>
    <w:basedOn w:val="BodytextAgency"/>
    <w:next w:val="BodytextAgency"/>
    <w:semiHidden/>
    <w:rsid w:val="00D35A58"/>
    <w:pPr>
      <w:spacing w:before="60" w:after="240" w:line="240" w:lineRule="auto"/>
    </w:pPr>
    <w:rPr>
      <w:sz w:val="16"/>
      <w:szCs w:val="16"/>
    </w:rPr>
  </w:style>
  <w:style w:type="paragraph" w:styleId="Footer">
    <w:name w:val="footer"/>
    <w:basedOn w:val="Normal"/>
    <w:link w:val="FooterChar"/>
    <w:rsid w:val="00B81056"/>
    <w:pPr>
      <w:tabs>
        <w:tab w:val="center" w:pos="4513"/>
        <w:tab w:val="right" w:pos="9026"/>
      </w:tabs>
    </w:pPr>
  </w:style>
  <w:style w:type="character" w:customStyle="1" w:styleId="FooterChar">
    <w:name w:val="Footer Char"/>
    <w:link w:val="Footer"/>
    <w:rsid w:val="00B81056"/>
    <w:rPr>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491</Words>
  <Characters>2800</Characters>
  <Application>Microsoft Office Word</Application>
  <DocSecurity>0</DocSecurity>
  <Lines>23</Lines>
  <Paragraphs>6</Paragraphs>
  <ScaleCrop>false</ScaleCrop>
  <Company>European Medicines Agency</Company>
  <LinksUpToDate>false</LinksUpToDate>
  <CharactersWithSpaces>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Scotti Francesca</dc:creator>
  <cp:keywords/>
  <dc:description/>
  <cp:lastModifiedBy>Scotti Francesca</cp:lastModifiedBy>
  <cp:revision>1</cp:revision>
  <dcterms:created xsi:type="dcterms:W3CDTF">2024-01-12T10:22:00Z</dcterms:created>
  <dcterms:modified xsi:type="dcterms:W3CDTF">2024-01-12T10:23:00Z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eea11ca-d417-4147-80ed-01a58412c458_Enabled">
    <vt:lpwstr>true</vt:lpwstr>
  </property>
  <property fmtid="{D5CDD505-2E9C-101B-9397-08002B2CF9AE}" pid="3" name="MSIP_Label_0eea11ca-d417-4147-80ed-01a58412c458_SetDate">
    <vt:lpwstr>2024-01-12T10:23:17Z</vt:lpwstr>
  </property>
  <property fmtid="{D5CDD505-2E9C-101B-9397-08002B2CF9AE}" pid="4" name="MSIP_Label_0eea11ca-d417-4147-80ed-01a58412c458_Method">
    <vt:lpwstr>Standard</vt:lpwstr>
  </property>
  <property fmtid="{D5CDD505-2E9C-101B-9397-08002B2CF9AE}" pid="5" name="MSIP_Label_0eea11ca-d417-4147-80ed-01a58412c458_Name">
    <vt:lpwstr>0eea11ca-d417-4147-80ed-01a58412c458</vt:lpwstr>
  </property>
  <property fmtid="{D5CDD505-2E9C-101B-9397-08002B2CF9AE}" pid="6" name="MSIP_Label_0eea11ca-d417-4147-80ed-01a58412c458_SiteId">
    <vt:lpwstr>bc9dc15c-61bc-4f03-b60b-e5b6d8922839</vt:lpwstr>
  </property>
  <property fmtid="{D5CDD505-2E9C-101B-9397-08002B2CF9AE}" pid="7" name="MSIP_Label_0eea11ca-d417-4147-80ed-01a58412c458_ActionId">
    <vt:lpwstr>07ce8253-f3a9-4046-a6b1-bf4726658a6d</vt:lpwstr>
  </property>
  <property fmtid="{D5CDD505-2E9C-101B-9397-08002B2CF9AE}" pid="8" name="MSIP_Label_0eea11ca-d417-4147-80ed-01a58412c458_ContentBits">
    <vt:lpwstr>2</vt:lpwstr>
  </property>
</Properties>
</file>