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4317"/>
        <w:gridCol w:w="5385"/>
      </w:tblGrid>
      <w:tr w:rsidR="00B46C9C" w14:paraId="37AEF18D" w14:textId="77777777">
        <w:trPr>
          <w:cantSplit/>
        </w:trPr>
        <w:tc>
          <w:tcPr>
            <w:tcW w:w="4317" w:type="dxa"/>
            <w:tcBorders>
              <w:top w:val="single" w:sz="4" w:space="0" w:color="auto"/>
            </w:tcBorders>
          </w:tcPr>
          <w:p w14:paraId="51C0BF27" w14:textId="77777777" w:rsidR="00B46C9C" w:rsidRDefault="00AE205D">
            <w:pPr>
              <w:autoSpaceDE w:val="0"/>
              <w:autoSpaceDN w:val="0"/>
              <w:spacing w:before="60"/>
              <w:rPr>
                <w:rFonts w:ascii="Arial Narrow" w:hAnsi="Arial Narrow"/>
                <w:color w:val="auto"/>
                <w:sz w:val="20"/>
                <w:lang w:val="en-GB"/>
              </w:rPr>
            </w:pPr>
            <w:bookmarkStart w:id="0" w:name="_Toc58056852"/>
            <w:r>
              <w:rPr>
                <w:rFonts w:ascii="Arial Narrow" w:hAnsi="Arial Narrow"/>
                <w:b/>
                <w:color w:val="auto"/>
                <w:sz w:val="20"/>
                <w:lang w:val="en-GB"/>
              </w:rPr>
              <w:t>Sponsor:</w:t>
            </w:r>
            <w:r>
              <w:rPr>
                <w:rFonts w:ascii="Arial Narrow" w:hAnsi="Arial Narrow"/>
                <w:color w:val="auto"/>
                <w:sz w:val="20"/>
                <w:lang w:val="en-GB"/>
              </w:rPr>
              <w:t xml:space="preserve"> </w:t>
            </w:r>
          </w:p>
          <w:p w14:paraId="6A721C1F" w14:textId="77777777" w:rsidR="00B46C9C" w:rsidRDefault="00AE205D">
            <w:pPr>
              <w:pStyle w:val="TblTextLeft"/>
              <w:ind w:left="2160" w:hanging="2160"/>
              <w:rPr>
                <w:iCs/>
                <w:color w:val="000000" w:themeColor="text1"/>
                <w:lang w:val="en-GB"/>
              </w:rPr>
            </w:pPr>
            <w:r>
              <w:rPr>
                <w:rStyle w:val="ReplaceText"/>
                <w:iCs/>
                <w:color w:val="000000" w:themeColor="text1"/>
                <w:lang w:val="en-GB"/>
              </w:rPr>
              <w:t>Sanofi</w:t>
            </w:r>
          </w:p>
          <w:p w14:paraId="36ADD31D" w14:textId="77777777" w:rsidR="00B46C9C" w:rsidRDefault="00AE205D">
            <w:pPr>
              <w:pStyle w:val="TblTextLeft"/>
              <w:ind w:left="2160" w:hanging="2160"/>
              <w:rPr>
                <w:lang w:val="en-GB"/>
              </w:rPr>
            </w:pPr>
            <w:r>
              <w:rPr>
                <w:b/>
                <w:lang w:val="en-GB"/>
              </w:rPr>
              <w:t>Drug substance(s):</w:t>
            </w:r>
            <w:r>
              <w:rPr>
                <w:lang w:val="en-GB"/>
              </w:rPr>
              <w:t xml:space="preserve"> GZ402671 - </w:t>
            </w:r>
            <w:proofErr w:type="spellStart"/>
            <w:r>
              <w:rPr>
                <w:lang w:val="en-GB"/>
              </w:rPr>
              <w:t>venglustat</w:t>
            </w:r>
            <w:proofErr w:type="spellEnd"/>
          </w:p>
          <w:p w14:paraId="4588D10F" w14:textId="77777777" w:rsidR="00B46C9C" w:rsidRDefault="00B46C9C">
            <w:pPr>
              <w:rPr>
                <w:rFonts w:ascii="Arial Narrow" w:hAnsi="Arial Narrow"/>
                <w:lang w:val="en-GB"/>
              </w:rPr>
            </w:pPr>
          </w:p>
        </w:tc>
        <w:tc>
          <w:tcPr>
            <w:tcW w:w="5385" w:type="dxa"/>
            <w:tcBorders>
              <w:top w:val="single" w:sz="4" w:space="0" w:color="auto"/>
            </w:tcBorders>
          </w:tcPr>
          <w:p w14:paraId="2CC8F7E7" w14:textId="77777777" w:rsidR="00B46C9C" w:rsidRDefault="00AE205D">
            <w:pPr>
              <w:pStyle w:val="TblTextLeft"/>
              <w:rPr>
                <w:lang w:val="en-GB"/>
              </w:rPr>
            </w:pPr>
            <w:r>
              <w:rPr>
                <w:b/>
                <w:lang w:val="en-GB"/>
              </w:rPr>
              <w:t>Study Identifiers:</w:t>
            </w:r>
            <w:r>
              <w:rPr>
                <w:lang w:val="en-GB"/>
              </w:rPr>
              <w:t xml:space="preserve"> </w:t>
            </w:r>
          </w:p>
          <w:p w14:paraId="34DB2F63" w14:textId="77777777" w:rsidR="00B46C9C" w:rsidRDefault="00AE205D">
            <w:pPr>
              <w:pStyle w:val="TblTextLeft"/>
              <w:rPr>
                <w:lang w:val="en-GB"/>
              </w:rPr>
            </w:pPr>
            <w:r>
              <w:rPr>
                <w:lang w:val="en-GB"/>
              </w:rPr>
              <w:t>EudraCT: 2019-002375-34</w:t>
            </w:r>
          </w:p>
          <w:p w14:paraId="57B5B3F8" w14:textId="77777777" w:rsidR="00B46C9C" w:rsidRDefault="00AE205D">
            <w:pPr>
              <w:pStyle w:val="TblTextLeft"/>
              <w:rPr>
                <w:lang w:val="en-GB"/>
              </w:rPr>
            </w:pPr>
            <w:r>
              <w:rPr>
                <w:lang w:val="en-GB"/>
              </w:rPr>
              <w:t>NCT: NCT04221451</w:t>
            </w:r>
          </w:p>
          <w:p w14:paraId="70C6041D" w14:textId="77777777" w:rsidR="00B46C9C" w:rsidRDefault="00AE205D">
            <w:pPr>
              <w:pStyle w:val="TblTextLeft"/>
              <w:rPr>
                <w:lang w:val="en-GB"/>
              </w:rPr>
            </w:pPr>
            <w:r>
              <w:rPr>
                <w:lang w:val="en-GB"/>
              </w:rPr>
              <w:t>WHO: U1111-1197-7905</w:t>
            </w:r>
          </w:p>
          <w:p w14:paraId="7798B043" w14:textId="77777777" w:rsidR="00B46C9C" w:rsidRDefault="00AE205D">
            <w:pPr>
              <w:pStyle w:val="TblTextLeft"/>
              <w:rPr>
                <w:b/>
                <w:lang w:val="en-GB"/>
              </w:rPr>
            </w:pPr>
            <w:r>
              <w:rPr>
                <w:b/>
                <w:lang w:val="en-GB"/>
              </w:rPr>
              <w:t xml:space="preserve">Study code: </w:t>
            </w:r>
            <w:r>
              <w:rPr>
                <w:bCs/>
                <w:lang w:val="en-GB"/>
              </w:rPr>
              <w:t>EFC15299</w:t>
            </w:r>
          </w:p>
        </w:tc>
      </w:tr>
      <w:tr w:rsidR="00B46C9C" w14:paraId="076689E1" w14:textId="77777777">
        <w:trPr>
          <w:cantSplit/>
        </w:trPr>
        <w:tc>
          <w:tcPr>
            <w:tcW w:w="9702" w:type="dxa"/>
            <w:gridSpan w:val="2"/>
          </w:tcPr>
          <w:p w14:paraId="4D7587C3" w14:textId="77777777" w:rsidR="00B46C9C" w:rsidRDefault="00AE205D">
            <w:pPr>
              <w:pStyle w:val="TblTextLeft"/>
              <w:tabs>
                <w:tab w:val="left" w:pos="1440"/>
              </w:tabs>
              <w:ind w:left="1440" w:hanging="1440"/>
              <w:rPr>
                <w:rFonts w:eastAsia="MS Mincho"/>
                <w:color w:val="000000"/>
                <w:sz w:val="24"/>
                <w:szCs w:val="24"/>
                <w:lang w:val="en-GB"/>
              </w:rPr>
            </w:pPr>
            <w:r>
              <w:rPr>
                <w:b/>
                <w:lang w:val="en-GB"/>
              </w:rPr>
              <w:t>Title of the study:</w:t>
            </w:r>
            <w:r>
              <w:rPr>
                <w:b/>
                <w:lang w:val="en-GB"/>
              </w:rPr>
              <w:tab/>
            </w:r>
            <w:r>
              <w:rPr>
                <w:rStyle w:val="ReplaceText"/>
                <w:lang w:val="en-GB"/>
              </w:rPr>
              <w:t xml:space="preserve"> </w:t>
            </w:r>
          </w:p>
          <w:p w14:paraId="30E62001" w14:textId="77777777" w:rsidR="00B46C9C" w:rsidRDefault="00AE205D">
            <w:pPr>
              <w:pStyle w:val="TblTextLeft"/>
              <w:keepNext/>
              <w:tabs>
                <w:tab w:val="left" w:pos="2640"/>
                <w:tab w:val="left" w:pos="3840"/>
              </w:tabs>
              <w:ind w:left="270"/>
              <w:rPr>
                <w:lang w:val="en-GB" w:eastAsia="zh-CN"/>
              </w:rPr>
            </w:pPr>
            <w:r>
              <w:rPr>
                <w:color w:val="000000" w:themeColor="text1"/>
                <w:lang w:val="en-GB"/>
              </w:rPr>
              <w:t xml:space="preserve">A </w:t>
            </w:r>
            <w:proofErr w:type="spellStart"/>
            <w:r>
              <w:rPr>
                <w:color w:val="000000" w:themeColor="text1"/>
                <w:lang w:val="en-GB"/>
              </w:rPr>
              <w:t>multicenter</w:t>
            </w:r>
            <w:proofErr w:type="spellEnd"/>
            <w:r>
              <w:rPr>
                <w:color w:val="000000" w:themeColor="text1"/>
                <w:lang w:val="en-GB"/>
              </w:rPr>
              <w:t xml:space="preserve">, multinational, randomized, double-blind, placebo-controlled study to assess the efficacy, pharmacodynamics, pharmacokinetics, safety, and tolerability of </w:t>
            </w:r>
            <w:proofErr w:type="spellStart"/>
            <w:r>
              <w:rPr>
                <w:color w:val="000000" w:themeColor="text1"/>
                <w:lang w:val="en-GB"/>
              </w:rPr>
              <w:t>venglustat</w:t>
            </w:r>
            <w:proofErr w:type="spellEnd"/>
            <w:r>
              <w:rPr>
                <w:color w:val="000000" w:themeColor="text1"/>
                <w:lang w:val="en-GB"/>
              </w:rPr>
              <w:t xml:space="preserve"> in late-onset GM2 gangliosidosis (Tay-Sachs disease and </w:t>
            </w:r>
            <w:proofErr w:type="spellStart"/>
            <w:r>
              <w:rPr>
                <w:color w:val="000000" w:themeColor="text1"/>
                <w:lang w:val="en-GB"/>
              </w:rPr>
              <w:t>Sandhoff</w:t>
            </w:r>
            <w:proofErr w:type="spellEnd"/>
            <w:r>
              <w:rPr>
                <w:color w:val="000000" w:themeColor="text1"/>
                <w:lang w:val="en-GB"/>
              </w:rPr>
              <w:t xml:space="preserve"> disease) together with a separate basket for juvenile/adolescent GM2 gangliosidosis and ultra rare diseases within the same and similar glucosylceramide-based sphingolipid pathway</w:t>
            </w:r>
          </w:p>
        </w:tc>
      </w:tr>
      <w:tr w:rsidR="00B46C9C" w14:paraId="4C5DA031" w14:textId="77777777">
        <w:trPr>
          <w:cantSplit/>
        </w:trPr>
        <w:tc>
          <w:tcPr>
            <w:tcW w:w="9702" w:type="dxa"/>
            <w:gridSpan w:val="2"/>
          </w:tcPr>
          <w:p w14:paraId="03C4231B" w14:textId="77777777" w:rsidR="00B46C9C" w:rsidRDefault="00AE205D">
            <w:pPr>
              <w:pStyle w:val="TblTextLeft"/>
              <w:tabs>
                <w:tab w:val="left" w:pos="1350"/>
              </w:tabs>
              <w:ind w:left="1368" w:hanging="1368"/>
              <w:rPr>
                <w:b/>
                <w:lang w:val="en-GB"/>
              </w:rPr>
            </w:pPr>
            <w:r>
              <w:rPr>
                <w:b/>
                <w:lang w:val="en-GB"/>
              </w:rPr>
              <w:t xml:space="preserve">Study </w:t>
            </w:r>
            <w:proofErr w:type="spellStart"/>
            <w:r>
              <w:rPr>
                <w:b/>
                <w:lang w:val="en-GB"/>
              </w:rPr>
              <w:t>center</w:t>
            </w:r>
            <w:proofErr w:type="spellEnd"/>
            <w:r>
              <w:rPr>
                <w:b/>
                <w:lang w:val="en-GB"/>
              </w:rPr>
              <w:t>(s):</w:t>
            </w:r>
            <w:r>
              <w:rPr>
                <w:b/>
                <w:lang w:val="en-GB"/>
              </w:rPr>
              <w:tab/>
            </w:r>
          </w:p>
          <w:p w14:paraId="1683764A" w14:textId="77777777" w:rsidR="00B46C9C" w:rsidRDefault="00AE205D">
            <w:pPr>
              <w:rPr>
                <w:rFonts w:ascii="Arial Narrow" w:eastAsia="MS Gothic" w:hAnsi="Arial Narrow"/>
                <w:color w:val="auto"/>
                <w:sz w:val="20"/>
                <w:lang w:val="en-GB"/>
              </w:rPr>
            </w:pPr>
            <w:r>
              <w:rPr>
                <w:rFonts w:ascii="Arial Narrow" w:hAnsi="Arial Narrow" w:cs="Arial Narrow"/>
                <w:color w:val="auto"/>
                <w:sz w:val="20"/>
              </w:rPr>
              <w:t>Participant enrollment in this study was conducted at 22 sites in 13 countries.</w:t>
            </w:r>
          </w:p>
        </w:tc>
      </w:tr>
      <w:tr w:rsidR="00B46C9C" w14:paraId="4EB1E560" w14:textId="77777777">
        <w:trPr>
          <w:cantSplit/>
        </w:trPr>
        <w:tc>
          <w:tcPr>
            <w:tcW w:w="9702" w:type="dxa"/>
            <w:gridSpan w:val="2"/>
          </w:tcPr>
          <w:p w14:paraId="3ED75131" w14:textId="77777777" w:rsidR="00B46C9C" w:rsidRDefault="00AE205D">
            <w:pPr>
              <w:pStyle w:val="TblTextLeft"/>
              <w:tabs>
                <w:tab w:val="left" w:pos="1350"/>
              </w:tabs>
              <w:ind w:left="1368" w:hanging="1368"/>
              <w:rPr>
                <w:b/>
                <w:lang w:val="en-GB"/>
              </w:rPr>
            </w:pPr>
            <w:r>
              <w:rPr>
                <w:b/>
                <w:lang w:val="en-GB"/>
              </w:rPr>
              <w:t>Study period:</w:t>
            </w:r>
          </w:p>
          <w:p w14:paraId="65529306" w14:textId="77777777" w:rsidR="00B46C9C" w:rsidRDefault="00AE205D">
            <w:pPr>
              <w:pStyle w:val="TblTextLeft"/>
              <w:keepNext/>
              <w:tabs>
                <w:tab w:val="left" w:pos="2640"/>
                <w:tab w:val="left" w:pos="3840"/>
              </w:tabs>
              <w:ind w:left="270"/>
              <w:rPr>
                <w:color w:val="000000" w:themeColor="text1"/>
                <w:lang w:val="en-GB"/>
              </w:rPr>
            </w:pPr>
            <w:r>
              <w:rPr>
                <w:lang w:val="en-GB"/>
              </w:rPr>
              <w:t>Date first study participant enrolled</w:t>
            </w:r>
            <w:r>
              <w:rPr>
                <w:color w:val="000000" w:themeColor="text1"/>
                <w:lang w:val="en-GB"/>
              </w:rPr>
              <w:t xml:space="preserve">: </w:t>
            </w:r>
            <w:r>
              <w:rPr>
                <w:rStyle w:val="ReplaceText"/>
                <w:color w:val="000000" w:themeColor="text1"/>
              </w:rPr>
              <w:t>29</w:t>
            </w:r>
            <w:r>
              <w:rPr>
                <w:rStyle w:val="ReplaceText"/>
                <w:color w:val="000000" w:themeColor="text1"/>
                <w:lang w:val="en-GB"/>
              </w:rPr>
              <w:t>/Jun/2020</w:t>
            </w:r>
          </w:p>
          <w:p w14:paraId="2BDF3F4C" w14:textId="77777777" w:rsidR="00B46C9C" w:rsidRDefault="00AE205D">
            <w:pPr>
              <w:pStyle w:val="TblTextLeft"/>
              <w:keepNext/>
              <w:tabs>
                <w:tab w:val="left" w:pos="2640"/>
                <w:tab w:val="left" w:pos="3840"/>
              </w:tabs>
              <w:ind w:left="270"/>
              <w:rPr>
                <w:color w:val="000000" w:themeColor="text1"/>
                <w:lang w:val="en-GB"/>
              </w:rPr>
            </w:pPr>
            <w:r>
              <w:rPr>
                <w:color w:val="000000" w:themeColor="text1"/>
                <w:lang w:val="en-GB"/>
              </w:rPr>
              <w:t xml:space="preserve">Date last study participant </w:t>
            </w:r>
            <w:r>
              <w:rPr>
                <w:rFonts w:cs="Arial Narrow"/>
                <w:color w:val="000000" w:themeColor="text1"/>
                <w:lang w:val="en-GB"/>
              </w:rPr>
              <w:t>completed:</w:t>
            </w:r>
            <w:r>
              <w:rPr>
                <w:rFonts w:cs="Arial"/>
                <w:b/>
                <w:color w:val="000000" w:themeColor="text1"/>
                <w:lang w:val="en-GB"/>
              </w:rPr>
              <w:t xml:space="preserve"> </w:t>
            </w:r>
            <w:r>
              <w:rPr>
                <w:rFonts w:cs="Arial Narrow"/>
                <w:color w:val="000000" w:themeColor="text1"/>
                <w:lang w:val="en-GB"/>
              </w:rPr>
              <w:t>26/Dec/2024</w:t>
            </w:r>
          </w:p>
          <w:p w14:paraId="2E8C1297" w14:textId="77777777" w:rsidR="00B46C9C" w:rsidRDefault="00AE205D">
            <w:pPr>
              <w:pStyle w:val="TblTextLeft"/>
              <w:keepNext/>
              <w:tabs>
                <w:tab w:val="left" w:pos="2640"/>
                <w:tab w:val="left" w:pos="3840"/>
              </w:tabs>
              <w:ind w:left="270"/>
              <w:rPr>
                <w:b/>
                <w:lang w:val="en-GB"/>
              </w:rPr>
            </w:pPr>
            <w:r>
              <w:rPr>
                <w:lang w:val="en-GB"/>
              </w:rPr>
              <w:t>Study Status: Terminated (The study was terminated early by the Sponsor because of lack of clinical effectiveness and not related to any safety concerns.)</w:t>
            </w:r>
          </w:p>
        </w:tc>
      </w:tr>
      <w:tr w:rsidR="00B46C9C" w14:paraId="78E6C055" w14:textId="77777777">
        <w:trPr>
          <w:cantSplit/>
        </w:trPr>
        <w:tc>
          <w:tcPr>
            <w:tcW w:w="9702" w:type="dxa"/>
            <w:gridSpan w:val="2"/>
          </w:tcPr>
          <w:p w14:paraId="19B96866" w14:textId="77777777" w:rsidR="00B46C9C" w:rsidRDefault="00AE205D">
            <w:pPr>
              <w:pStyle w:val="TblTextLeft"/>
              <w:tabs>
                <w:tab w:val="left" w:pos="1350"/>
              </w:tabs>
              <w:rPr>
                <w:b/>
                <w:lang w:val="en-GB"/>
              </w:rPr>
            </w:pPr>
            <w:r>
              <w:rPr>
                <w:b/>
                <w:lang w:val="en-GB"/>
              </w:rPr>
              <w:t>Phase of development:</w:t>
            </w:r>
            <w:r>
              <w:rPr>
                <w:lang w:val="en-GB"/>
              </w:rPr>
              <w:t xml:space="preserve"> </w:t>
            </w:r>
            <w:r>
              <w:rPr>
                <w:lang w:val="en-GB"/>
              </w:rPr>
              <w:tab/>
              <w:t>Phase 3</w:t>
            </w:r>
          </w:p>
        </w:tc>
      </w:tr>
      <w:tr w:rsidR="00B46C9C" w14:paraId="1A1E5997" w14:textId="77777777">
        <w:trPr>
          <w:cantSplit/>
        </w:trPr>
        <w:tc>
          <w:tcPr>
            <w:tcW w:w="9702" w:type="dxa"/>
            <w:gridSpan w:val="2"/>
          </w:tcPr>
          <w:p w14:paraId="476D6E52" w14:textId="77777777" w:rsidR="00B46C9C" w:rsidRDefault="00AE205D">
            <w:pPr>
              <w:pStyle w:val="TblTextLeft"/>
              <w:tabs>
                <w:tab w:val="left" w:pos="1350"/>
              </w:tabs>
              <w:rPr>
                <w:b/>
                <w:lang w:val="en-GB"/>
              </w:rPr>
            </w:pPr>
            <w:r>
              <w:rPr>
                <w:b/>
                <w:lang w:val="en-GB"/>
              </w:rPr>
              <w:t>Objectives:</w:t>
            </w:r>
          </w:p>
          <w:p w14:paraId="4C2E19ED" w14:textId="77777777" w:rsidR="00B46C9C" w:rsidRDefault="00AE205D">
            <w:pPr>
              <w:pStyle w:val="TblTextLeft"/>
              <w:tabs>
                <w:tab w:val="left" w:pos="960"/>
              </w:tabs>
              <w:rPr>
                <w:rFonts w:cs="Arial Narrow"/>
                <w:b/>
                <w:lang w:val="en-GB"/>
              </w:rPr>
            </w:pPr>
            <w:r>
              <w:rPr>
                <w:rFonts w:cs="Arial Narrow"/>
                <w:b/>
                <w:lang w:val="en-GB"/>
              </w:rPr>
              <w:t>Primary:</w:t>
            </w:r>
          </w:p>
          <w:p w14:paraId="1FA586A5" w14:textId="77777777" w:rsidR="00B46C9C" w:rsidRDefault="00AE205D">
            <w:pPr>
              <w:pStyle w:val="TblTextLeft"/>
              <w:tabs>
                <w:tab w:val="left" w:pos="960"/>
              </w:tabs>
              <w:rPr>
                <w:rFonts w:cs="Arial Narrow"/>
                <w:bCs/>
                <w:lang w:val="en-GB"/>
              </w:rPr>
            </w:pPr>
            <w:r>
              <w:rPr>
                <w:rFonts w:cs="Arial Narrow"/>
                <w:bCs/>
                <w:lang w:val="en-GB"/>
              </w:rPr>
              <w:t>Primary population:</w:t>
            </w:r>
          </w:p>
          <w:p w14:paraId="2C2B30D9" w14:textId="77777777" w:rsidR="00B46C9C" w:rsidRDefault="00AE205D">
            <w:pPr>
              <w:pStyle w:val="TblTextLeft"/>
              <w:numPr>
                <w:ilvl w:val="0"/>
                <w:numId w:val="16"/>
              </w:numPr>
              <w:tabs>
                <w:tab w:val="left" w:pos="960"/>
              </w:tabs>
              <w:rPr>
                <w:lang w:val="en-GB"/>
              </w:rPr>
            </w:pPr>
            <w:r>
              <w:rPr>
                <w:lang w:val="en-GB"/>
              </w:rPr>
              <w:t xml:space="preserve">To assess the efficacy and pharmacodynamics (PD) of daily oral dosing of </w:t>
            </w:r>
            <w:proofErr w:type="spellStart"/>
            <w:r>
              <w:rPr>
                <w:lang w:val="en-GB"/>
              </w:rPr>
              <w:t>venglustat</w:t>
            </w:r>
            <w:proofErr w:type="spellEnd"/>
            <w:r>
              <w:rPr>
                <w:lang w:val="en-GB"/>
              </w:rPr>
              <w:t xml:space="preserve"> when administered over a 104-week period.</w:t>
            </w:r>
          </w:p>
          <w:p w14:paraId="0FFDC48F" w14:textId="77777777" w:rsidR="00B46C9C" w:rsidRDefault="00AE205D">
            <w:pPr>
              <w:pStyle w:val="TblTextLeft"/>
              <w:tabs>
                <w:tab w:val="left" w:pos="960"/>
              </w:tabs>
              <w:rPr>
                <w:lang w:val="en-GB"/>
              </w:rPr>
            </w:pPr>
            <w:r>
              <w:rPr>
                <w:lang w:val="en-GB"/>
              </w:rPr>
              <w:t xml:space="preserve">Secondary population: </w:t>
            </w:r>
          </w:p>
          <w:p w14:paraId="2CE2F6AF" w14:textId="4C1BCD8A" w:rsidR="00B46C9C" w:rsidRPr="00DD3551" w:rsidRDefault="00AE205D" w:rsidP="00DD3551">
            <w:pPr>
              <w:pStyle w:val="TblTextLeft"/>
              <w:numPr>
                <w:ilvl w:val="0"/>
                <w:numId w:val="16"/>
              </w:numPr>
              <w:tabs>
                <w:tab w:val="left" w:pos="960"/>
              </w:tabs>
              <w:rPr>
                <w:lang w:val="en-GB"/>
              </w:rPr>
            </w:pPr>
            <w:r>
              <w:rPr>
                <w:lang w:val="en-GB"/>
              </w:rPr>
              <w:t xml:space="preserve">To assess PD response (plasma and CSF GL-1 biomarker and disease specific biomarkers) of </w:t>
            </w:r>
            <w:proofErr w:type="spellStart"/>
            <w:r>
              <w:rPr>
                <w:lang w:val="en-GB"/>
              </w:rPr>
              <w:t>venglustat</w:t>
            </w:r>
            <w:proofErr w:type="spellEnd"/>
            <w:r>
              <w:rPr>
                <w:lang w:val="en-GB"/>
              </w:rPr>
              <w:t xml:space="preserve"> when administered once daily over a 104-week period.</w:t>
            </w:r>
          </w:p>
        </w:tc>
      </w:tr>
      <w:tr w:rsidR="00B46C9C" w14:paraId="5C100323" w14:textId="77777777">
        <w:trPr>
          <w:cantSplit/>
        </w:trPr>
        <w:tc>
          <w:tcPr>
            <w:tcW w:w="9702" w:type="dxa"/>
            <w:gridSpan w:val="2"/>
          </w:tcPr>
          <w:p w14:paraId="195FAA4F" w14:textId="77777777" w:rsidR="00B46C9C" w:rsidRDefault="00AE205D">
            <w:pPr>
              <w:rPr>
                <w:rFonts w:ascii="Arial Narrow" w:eastAsia="MS Gothic" w:hAnsi="Arial Narrow" w:cs="Arial Narrow"/>
                <w:b/>
                <w:color w:val="auto"/>
                <w:sz w:val="20"/>
                <w:lang w:val="en-GB"/>
              </w:rPr>
            </w:pPr>
            <w:r>
              <w:rPr>
                <w:rFonts w:ascii="Arial Narrow" w:eastAsia="MS Gothic" w:hAnsi="Arial Narrow" w:cs="Arial Narrow"/>
                <w:b/>
                <w:color w:val="auto"/>
                <w:sz w:val="20"/>
                <w:lang w:val="en-GB"/>
              </w:rPr>
              <w:lastRenderedPageBreak/>
              <w:t>Secondary:</w:t>
            </w:r>
          </w:p>
          <w:p w14:paraId="061551E0" w14:textId="77777777" w:rsidR="00B46C9C" w:rsidRDefault="00AE205D">
            <w:pPr>
              <w:pStyle w:val="TblTextLeft"/>
              <w:tabs>
                <w:tab w:val="left" w:pos="960"/>
              </w:tabs>
              <w:rPr>
                <w:rFonts w:cs="Arial Narrow"/>
                <w:bCs/>
                <w:lang w:val="en-GB"/>
              </w:rPr>
            </w:pPr>
            <w:r>
              <w:rPr>
                <w:rFonts w:cs="Arial Narrow"/>
                <w:bCs/>
                <w:lang w:val="en-GB"/>
              </w:rPr>
              <w:t>Primary population:</w:t>
            </w:r>
          </w:p>
          <w:p w14:paraId="7AF2A230" w14:textId="77777777" w:rsidR="00B46C9C" w:rsidRDefault="00AE205D">
            <w:pPr>
              <w:pStyle w:val="TblTextLeft"/>
              <w:numPr>
                <w:ilvl w:val="0"/>
                <w:numId w:val="16"/>
              </w:numPr>
              <w:tabs>
                <w:tab w:val="left" w:pos="960"/>
              </w:tabs>
              <w:rPr>
                <w:lang w:val="en-GB"/>
              </w:rPr>
            </w:pPr>
            <w:r>
              <w:rPr>
                <w:lang w:val="en-GB"/>
              </w:rPr>
              <w:t xml:space="preserve">To assess the PD of daily oral dosing of </w:t>
            </w:r>
            <w:proofErr w:type="spellStart"/>
            <w:r>
              <w:rPr>
                <w:lang w:val="en-GB"/>
              </w:rPr>
              <w:t>venglustat</w:t>
            </w:r>
            <w:proofErr w:type="spellEnd"/>
            <w:r>
              <w:rPr>
                <w:lang w:val="en-GB"/>
              </w:rPr>
              <w:t xml:space="preserve"> and the effect of </w:t>
            </w:r>
            <w:proofErr w:type="spellStart"/>
            <w:r>
              <w:rPr>
                <w:lang w:val="en-GB"/>
              </w:rPr>
              <w:t>venglustat</w:t>
            </w:r>
            <w:proofErr w:type="spellEnd"/>
            <w:r>
              <w:rPr>
                <w:lang w:val="en-GB"/>
              </w:rPr>
              <w:t xml:space="preserve"> on selected performance test and scale over a 104-week period.</w:t>
            </w:r>
          </w:p>
          <w:p w14:paraId="494504E5" w14:textId="77777777" w:rsidR="00B46C9C" w:rsidRDefault="00AE205D">
            <w:pPr>
              <w:pStyle w:val="TblTextLeft"/>
              <w:numPr>
                <w:ilvl w:val="0"/>
                <w:numId w:val="16"/>
              </w:numPr>
              <w:tabs>
                <w:tab w:val="left" w:pos="960"/>
              </w:tabs>
              <w:rPr>
                <w:lang w:val="en-GB"/>
              </w:rPr>
            </w:pPr>
            <w:r>
              <w:rPr>
                <w:lang w:val="en-GB"/>
              </w:rPr>
              <w:t xml:space="preserve">To determine the safety and tolerability of </w:t>
            </w:r>
            <w:proofErr w:type="spellStart"/>
            <w:r>
              <w:rPr>
                <w:lang w:val="en-GB"/>
              </w:rPr>
              <w:t>venglustat</w:t>
            </w:r>
            <w:proofErr w:type="spellEnd"/>
            <w:r>
              <w:rPr>
                <w:lang w:val="en-GB"/>
              </w:rPr>
              <w:t xml:space="preserve"> when administered orally once daily over a 104-week period.</w:t>
            </w:r>
          </w:p>
          <w:p w14:paraId="77D9AFF6" w14:textId="77777777" w:rsidR="00B46C9C" w:rsidRDefault="00AE205D">
            <w:pPr>
              <w:pStyle w:val="TblTextLeft"/>
              <w:numPr>
                <w:ilvl w:val="0"/>
                <w:numId w:val="16"/>
              </w:numPr>
              <w:tabs>
                <w:tab w:val="left" w:pos="960"/>
              </w:tabs>
              <w:rPr>
                <w:lang w:val="en-GB"/>
              </w:rPr>
            </w:pPr>
            <w:r>
              <w:rPr>
                <w:lang w:val="en-GB"/>
              </w:rPr>
              <w:t xml:space="preserve">To assess the pharmacokinetics (PK) of </w:t>
            </w:r>
            <w:proofErr w:type="spellStart"/>
            <w:r>
              <w:rPr>
                <w:lang w:val="en-GB"/>
              </w:rPr>
              <w:t>venglustat</w:t>
            </w:r>
            <w:proofErr w:type="spellEnd"/>
            <w:r>
              <w:rPr>
                <w:lang w:val="en-GB"/>
              </w:rPr>
              <w:t xml:space="preserve"> in plasma and CSF.</w:t>
            </w:r>
          </w:p>
          <w:p w14:paraId="75406A59" w14:textId="77777777" w:rsidR="00B46C9C" w:rsidRDefault="00AE205D">
            <w:pPr>
              <w:pStyle w:val="TblTextLeft"/>
              <w:tabs>
                <w:tab w:val="left" w:pos="960"/>
              </w:tabs>
              <w:rPr>
                <w:lang w:val="en-GB"/>
              </w:rPr>
            </w:pPr>
            <w:r>
              <w:rPr>
                <w:lang w:val="en-GB"/>
              </w:rPr>
              <w:t>Secondary population:</w:t>
            </w:r>
          </w:p>
          <w:p w14:paraId="433CCD72" w14:textId="77777777" w:rsidR="00B46C9C" w:rsidRDefault="00AE205D">
            <w:pPr>
              <w:pStyle w:val="TblTextLeft"/>
              <w:numPr>
                <w:ilvl w:val="0"/>
                <w:numId w:val="16"/>
              </w:numPr>
              <w:tabs>
                <w:tab w:val="left" w:pos="960"/>
              </w:tabs>
              <w:rPr>
                <w:lang w:val="en-GB"/>
              </w:rPr>
            </w:pPr>
            <w:r>
              <w:rPr>
                <w:lang w:val="en-GB"/>
              </w:rPr>
              <w:t xml:space="preserve">To assess the effect of </w:t>
            </w:r>
            <w:proofErr w:type="spellStart"/>
            <w:r>
              <w:rPr>
                <w:lang w:val="en-GB"/>
              </w:rPr>
              <w:t>venglustat</w:t>
            </w:r>
            <w:proofErr w:type="spellEnd"/>
            <w:r>
              <w:rPr>
                <w:lang w:val="en-GB"/>
              </w:rPr>
              <w:t xml:space="preserve"> on selected performance tests and scale over a 104-week period.</w:t>
            </w:r>
          </w:p>
          <w:p w14:paraId="0EA264A9" w14:textId="77777777" w:rsidR="00B46C9C" w:rsidRDefault="00AE205D">
            <w:pPr>
              <w:pStyle w:val="TblTextLeft"/>
              <w:numPr>
                <w:ilvl w:val="0"/>
                <w:numId w:val="16"/>
              </w:numPr>
              <w:tabs>
                <w:tab w:val="left" w:pos="960"/>
              </w:tabs>
              <w:rPr>
                <w:lang w:val="en-GB"/>
              </w:rPr>
            </w:pPr>
            <w:r>
              <w:rPr>
                <w:lang w:val="en-GB"/>
              </w:rPr>
              <w:t xml:space="preserve">To determine the safety and tolerability of </w:t>
            </w:r>
            <w:proofErr w:type="spellStart"/>
            <w:r>
              <w:rPr>
                <w:lang w:val="en-GB"/>
              </w:rPr>
              <w:t>venglustat</w:t>
            </w:r>
            <w:proofErr w:type="spellEnd"/>
            <w:r>
              <w:rPr>
                <w:lang w:val="en-GB"/>
              </w:rPr>
              <w:t xml:space="preserve"> when administered once daily over a 104-week period.</w:t>
            </w:r>
          </w:p>
          <w:p w14:paraId="06FC5D7F" w14:textId="77777777" w:rsidR="00B46C9C" w:rsidRDefault="00AE205D">
            <w:pPr>
              <w:pStyle w:val="TblTextLeft"/>
              <w:numPr>
                <w:ilvl w:val="0"/>
                <w:numId w:val="16"/>
              </w:numPr>
              <w:tabs>
                <w:tab w:val="left" w:pos="960"/>
              </w:tabs>
              <w:rPr>
                <w:lang w:val="en-GB"/>
              </w:rPr>
            </w:pPr>
            <w:r>
              <w:rPr>
                <w:lang w:val="en-GB"/>
              </w:rPr>
              <w:t xml:space="preserve">To assess the PK of </w:t>
            </w:r>
            <w:proofErr w:type="spellStart"/>
            <w:r>
              <w:rPr>
                <w:lang w:val="en-GB"/>
              </w:rPr>
              <w:t>venglustat</w:t>
            </w:r>
            <w:proofErr w:type="spellEnd"/>
            <w:r>
              <w:rPr>
                <w:lang w:val="en-GB"/>
              </w:rPr>
              <w:t xml:space="preserve"> in plasma and CSF.</w:t>
            </w:r>
          </w:p>
          <w:p w14:paraId="1A9B8A29" w14:textId="18C86476" w:rsidR="00B46C9C" w:rsidRDefault="00AE205D" w:rsidP="009D326E">
            <w:pPr>
              <w:pStyle w:val="TblTextLeft"/>
              <w:numPr>
                <w:ilvl w:val="0"/>
                <w:numId w:val="16"/>
              </w:numPr>
              <w:tabs>
                <w:tab w:val="left" w:pos="960"/>
              </w:tabs>
              <w:rPr>
                <w:b/>
                <w:lang w:val="en-GB"/>
              </w:rPr>
            </w:pPr>
            <w:r w:rsidRPr="009D326E">
              <w:rPr>
                <w:lang w:val="en-GB"/>
              </w:rPr>
              <w:t xml:space="preserve">To assess the acceptability and palatability of the </w:t>
            </w:r>
            <w:proofErr w:type="spellStart"/>
            <w:r w:rsidRPr="009D326E">
              <w:rPr>
                <w:lang w:val="en-GB"/>
              </w:rPr>
              <w:t>venglustat</w:t>
            </w:r>
            <w:proofErr w:type="spellEnd"/>
            <w:r w:rsidRPr="009D326E">
              <w:rPr>
                <w:lang w:val="en-GB"/>
              </w:rPr>
              <w:t xml:space="preserve"> tablet.</w:t>
            </w:r>
          </w:p>
        </w:tc>
      </w:tr>
      <w:tr w:rsidR="00B46C9C" w14:paraId="22041D3F" w14:textId="77777777">
        <w:trPr>
          <w:cantSplit/>
        </w:trPr>
        <w:tc>
          <w:tcPr>
            <w:tcW w:w="9702" w:type="dxa"/>
            <w:gridSpan w:val="2"/>
          </w:tcPr>
          <w:p w14:paraId="6D55310D" w14:textId="77777777" w:rsidR="00B46C9C" w:rsidRDefault="00AE205D">
            <w:pPr>
              <w:rPr>
                <w:rFonts w:ascii="Arial Narrow" w:eastAsia="MS Gothic" w:hAnsi="Arial Narrow" w:cs="Arial Narrow"/>
                <w:b/>
                <w:color w:val="auto"/>
                <w:sz w:val="20"/>
                <w:lang w:val="en-GB"/>
              </w:rPr>
            </w:pPr>
            <w:r>
              <w:rPr>
                <w:rFonts w:ascii="Arial Narrow" w:eastAsia="MS Gothic" w:hAnsi="Arial Narrow" w:cs="Arial Narrow"/>
                <w:b/>
                <w:color w:val="auto"/>
                <w:sz w:val="20"/>
                <w:lang w:val="en-GB"/>
              </w:rPr>
              <w:t>Methodology:</w:t>
            </w:r>
          </w:p>
          <w:p w14:paraId="7044FF54" w14:textId="7E9A3471" w:rsidR="00B46C9C" w:rsidRDefault="00AE205D">
            <w:pPr>
              <w:rPr>
                <w:rFonts w:ascii="Arial Narrow" w:eastAsia="MS Gothic" w:hAnsi="Arial Narrow"/>
                <w:color w:val="auto"/>
                <w:sz w:val="20"/>
                <w:lang w:val="en-GB"/>
              </w:rPr>
            </w:pPr>
            <w:r>
              <w:rPr>
                <w:rFonts w:ascii="Arial Narrow" w:hAnsi="Arial Narrow" w:cs="Arial Narrow"/>
                <w:color w:val="auto"/>
                <w:sz w:val="20"/>
              </w:rPr>
              <w:t xml:space="preserve">This was a multicenter, multinational, randomized, double-blind, placebo-controlled, 2-arm, 104-week study to assess the efficacy and safety of </w:t>
            </w:r>
            <w:proofErr w:type="spellStart"/>
            <w:r>
              <w:rPr>
                <w:rFonts w:ascii="Arial Narrow" w:hAnsi="Arial Narrow" w:cs="Arial Narrow"/>
                <w:color w:val="auto"/>
                <w:sz w:val="20"/>
              </w:rPr>
              <w:t>venglustat</w:t>
            </w:r>
            <w:proofErr w:type="spellEnd"/>
            <w:r>
              <w:rPr>
                <w:rFonts w:ascii="Arial Narrow" w:hAnsi="Arial Narrow" w:cs="Arial Narrow"/>
                <w:color w:val="auto"/>
                <w:sz w:val="20"/>
              </w:rPr>
              <w:t xml:space="preserve"> as compared with placebo in adult participants with a diagnosis of late-onset GM2 gangliosidosis (referred to as the primary population) and </w:t>
            </w:r>
            <w:proofErr w:type="spellStart"/>
            <w:r>
              <w:rPr>
                <w:rFonts w:ascii="Arial Narrow" w:hAnsi="Arial Narrow" w:cs="Arial Narrow"/>
                <w:color w:val="auto"/>
                <w:sz w:val="20"/>
              </w:rPr>
              <w:t>venglustat</w:t>
            </w:r>
            <w:proofErr w:type="spellEnd"/>
            <w:r>
              <w:rPr>
                <w:rFonts w:ascii="Arial Narrow" w:hAnsi="Arial Narrow" w:cs="Arial Narrow"/>
                <w:color w:val="auto"/>
                <w:sz w:val="20"/>
              </w:rPr>
              <w:t xml:space="preserve"> received in an open-label design in participants with juvenile/adolescent GM2 gangliosidosis and ultra-rare conditions within the same biochemical pathway as the primary population, including GM1 gangliosidosis, </w:t>
            </w:r>
            <w:proofErr w:type="spellStart"/>
            <w:r>
              <w:rPr>
                <w:rFonts w:ascii="Arial Narrow" w:hAnsi="Arial Narrow" w:cs="Arial Narrow"/>
                <w:color w:val="auto"/>
                <w:sz w:val="20"/>
              </w:rPr>
              <w:t>sialidosis</w:t>
            </w:r>
            <w:proofErr w:type="spellEnd"/>
            <w:r>
              <w:rPr>
                <w:rFonts w:ascii="Arial Narrow" w:hAnsi="Arial Narrow" w:cs="Arial Narrow"/>
                <w:color w:val="auto"/>
                <w:sz w:val="20"/>
              </w:rPr>
              <w:t xml:space="preserve"> type 1, juvenile/adult </w:t>
            </w:r>
            <w:proofErr w:type="spellStart"/>
            <w:r>
              <w:rPr>
                <w:rFonts w:ascii="Arial Narrow" w:hAnsi="Arial Narrow" w:cs="Arial Narrow"/>
                <w:color w:val="auto"/>
                <w:sz w:val="20"/>
              </w:rPr>
              <w:t>galactosialidosis</w:t>
            </w:r>
            <w:proofErr w:type="spellEnd"/>
            <w:r>
              <w:rPr>
                <w:rFonts w:ascii="Arial Narrow" w:hAnsi="Arial Narrow" w:cs="Arial Narrow"/>
                <w:color w:val="auto"/>
                <w:sz w:val="20"/>
              </w:rPr>
              <w:t xml:space="preserve">, or </w:t>
            </w:r>
            <w:proofErr w:type="spellStart"/>
            <w:r>
              <w:rPr>
                <w:rFonts w:ascii="Arial Narrow" w:hAnsi="Arial Narrow" w:cs="Arial Narrow"/>
                <w:color w:val="auto"/>
                <w:sz w:val="20"/>
              </w:rPr>
              <w:t>saposin</w:t>
            </w:r>
            <w:proofErr w:type="spellEnd"/>
            <w:r>
              <w:rPr>
                <w:rFonts w:ascii="Arial Narrow" w:hAnsi="Arial Narrow" w:cs="Arial Narrow"/>
                <w:color w:val="auto"/>
                <w:sz w:val="20"/>
              </w:rPr>
              <w:t xml:space="preserve"> C deficiency, if any of the sites have such participants meeting the inclusion criteria and none of the exclusion criteria (referred to as secondary population). </w:t>
            </w:r>
          </w:p>
        </w:tc>
      </w:tr>
      <w:tr w:rsidR="00B46C9C" w14:paraId="5D8EA2A2" w14:textId="77777777">
        <w:trPr>
          <w:cantSplit/>
        </w:trPr>
        <w:tc>
          <w:tcPr>
            <w:tcW w:w="9702" w:type="dxa"/>
            <w:gridSpan w:val="2"/>
          </w:tcPr>
          <w:p w14:paraId="12E2CABD" w14:textId="7EFBB846" w:rsidR="00B46C9C" w:rsidRDefault="00AE205D">
            <w:pPr>
              <w:rPr>
                <w:rFonts w:ascii="Arial Narrow" w:eastAsia="MS Gothic" w:hAnsi="Arial Narrow"/>
                <w:color w:val="auto"/>
                <w:sz w:val="20"/>
                <w:lang w:val="en-GB"/>
              </w:rPr>
            </w:pPr>
            <w:r>
              <w:rPr>
                <w:rFonts w:ascii="Arial Narrow" w:eastAsia="MS Gothic" w:hAnsi="Arial Narrow"/>
                <w:color w:val="auto"/>
                <w:sz w:val="20"/>
                <w:lang w:val="en-GB"/>
              </w:rPr>
              <w:t xml:space="preserve">The study included 4 main periods: </w:t>
            </w:r>
          </w:p>
          <w:p w14:paraId="218867C3" w14:textId="47CE638C" w:rsidR="00B46C9C" w:rsidRDefault="00B113CE">
            <w:pPr>
              <w:pStyle w:val="ListParagraph"/>
              <w:numPr>
                <w:ilvl w:val="0"/>
                <w:numId w:val="17"/>
              </w:numPr>
              <w:rPr>
                <w:rFonts w:ascii="Arial Narrow" w:eastAsia="MS Gothic" w:hAnsi="Arial Narrow"/>
                <w:sz w:val="20"/>
                <w:lang w:val="en-GB"/>
              </w:rPr>
            </w:pPr>
            <w:r>
              <w:rPr>
                <w:rFonts w:ascii="Arial Narrow" w:eastAsia="MS Gothic" w:hAnsi="Arial Narrow"/>
                <w:sz w:val="20"/>
                <w:lang w:val="en-GB"/>
              </w:rPr>
              <w:t>S</w:t>
            </w:r>
            <w:r w:rsidR="00AE205D">
              <w:rPr>
                <w:rFonts w:ascii="Arial Narrow" w:eastAsia="MS Gothic" w:hAnsi="Arial Narrow"/>
                <w:sz w:val="20"/>
                <w:lang w:val="en-GB"/>
              </w:rPr>
              <w:t>creening</w:t>
            </w:r>
            <w:r>
              <w:rPr>
                <w:rFonts w:ascii="Arial Narrow" w:eastAsia="MS Gothic" w:hAnsi="Arial Narrow"/>
                <w:sz w:val="20"/>
                <w:lang w:val="en-GB"/>
              </w:rPr>
              <w:t>:</w:t>
            </w:r>
            <w:r w:rsidR="00AE205D">
              <w:rPr>
                <w:rFonts w:ascii="Arial Narrow" w:eastAsia="MS Gothic" w:hAnsi="Arial Narrow"/>
                <w:sz w:val="20"/>
                <w:lang w:val="en-GB"/>
              </w:rPr>
              <w:t xml:space="preserve"> Day -60 to Day -1</w:t>
            </w:r>
          </w:p>
          <w:p w14:paraId="09017909" w14:textId="61D122C5" w:rsidR="00B46C9C" w:rsidRDefault="00AE205D">
            <w:pPr>
              <w:pStyle w:val="ListParagraph"/>
              <w:numPr>
                <w:ilvl w:val="0"/>
                <w:numId w:val="17"/>
              </w:numPr>
              <w:rPr>
                <w:rFonts w:ascii="Arial Narrow" w:eastAsia="MS Gothic" w:hAnsi="Arial Narrow"/>
                <w:sz w:val="20"/>
                <w:lang w:val="en-GB"/>
              </w:rPr>
            </w:pPr>
            <w:r>
              <w:rPr>
                <w:rFonts w:ascii="Arial Narrow" w:eastAsia="MS Gothic" w:hAnsi="Arial Narrow"/>
                <w:sz w:val="20"/>
                <w:lang w:val="en-GB"/>
              </w:rPr>
              <w:t>P</w:t>
            </w:r>
            <w:r w:rsidR="00B113CE">
              <w:rPr>
                <w:rFonts w:ascii="Arial Narrow" w:eastAsia="MS Gothic" w:hAnsi="Arial Narrow"/>
                <w:sz w:val="20"/>
                <w:lang w:val="en-GB"/>
              </w:rPr>
              <w:t>rimary analysis period:</w:t>
            </w:r>
            <w:r>
              <w:rPr>
                <w:rFonts w:ascii="Arial Narrow" w:eastAsia="MS Gothic" w:hAnsi="Arial Narrow"/>
                <w:sz w:val="20"/>
                <w:lang w:val="en-GB"/>
              </w:rPr>
              <w:t xml:space="preserve"> 104-week treatment period</w:t>
            </w:r>
            <w:r w:rsidR="00B113CE">
              <w:rPr>
                <w:rFonts w:ascii="Arial Narrow" w:eastAsia="MS Gothic" w:hAnsi="Arial Narrow"/>
                <w:sz w:val="20"/>
                <w:lang w:val="en-GB"/>
              </w:rPr>
              <w:t>.</w:t>
            </w:r>
            <w:r>
              <w:rPr>
                <w:rFonts w:ascii="Arial Narrow" w:eastAsia="MS Gothic" w:hAnsi="Arial Narrow"/>
                <w:sz w:val="20"/>
                <w:lang w:val="en-GB"/>
              </w:rPr>
              <w:t xml:space="preserve"> Participants in the primary population were randomly assigned in a 2:1 ratio to receive </w:t>
            </w:r>
            <w:proofErr w:type="spellStart"/>
            <w:r>
              <w:rPr>
                <w:rFonts w:ascii="Arial Narrow" w:eastAsia="MS Gothic" w:hAnsi="Arial Narrow"/>
                <w:sz w:val="20"/>
                <w:lang w:val="en-GB"/>
              </w:rPr>
              <w:t>venglustat</w:t>
            </w:r>
            <w:proofErr w:type="spellEnd"/>
            <w:r>
              <w:rPr>
                <w:rFonts w:ascii="Arial Narrow" w:eastAsia="MS Gothic" w:hAnsi="Arial Narrow"/>
                <w:sz w:val="20"/>
                <w:lang w:val="en-GB"/>
              </w:rPr>
              <w:t xml:space="preserve"> or placebo once daily for 104 weeks in a double-blind manner. Randomization was stratified on the participant’s ability to walk at the baseline visit (yes/no). Participants in the secondary population received </w:t>
            </w:r>
            <w:proofErr w:type="spellStart"/>
            <w:r>
              <w:rPr>
                <w:rFonts w:ascii="Arial Narrow" w:eastAsia="MS Gothic" w:hAnsi="Arial Narrow"/>
                <w:sz w:val="20"/>
                <w:lang w:val="en-GB"/>
              </w:rPr>
              <w:t>venglustat</w:t>
            </w:r>
            <w:proofErr w:type="spellEnd"/>
            <w:r>
              <w:rPr>
                <w:rFonts w:ascii="Arial Narrow" w:eastAsia="MS Gothic" w:hAnsi="Arial Narrow"/>
                <w:sz w:val="20"/>
                <w:lang w:val="en-GB"/>
              </w:rPr>
              <w:t xml:space="preserve"> for 104 weeks in an open-label manner. </w:t>
            </w:r>
          </w:p>
          <w:p w14:paraId="188D15E7" w14:textId="3BD1FFBE" w:rsidR="00B46C9C" w:rsidRDefault="00AE205D">
            <w:pPr>
              <w:pStyle w:val="ListParagraph"/>
              <w:numPr>
                <w:ilvl w:val="0"/>
                <w:numId w:val="17"/>
              </w:numPr>
              <w:rPr>
                <w:rFonts w:ascii="Arial Narrow" w:eastAsia="MS Gothic" w:hAnsi="Arial Narrow"/>
                <w:sz w:val="20"/>
                <w:lang w:val="en-GB"/>
              </w:rPr>
            </w:pPr>
            <w:r>
              <w:rPr>
                <w:rFonts w:ascii="Arial Narrow" w:eastAsia="MS Gothic" w:hAnsi="Arial Narrow"/>
                <w:sz w:val="20"/>
                <w:lang w:val="en-GB"/>
              </w:rPr>
              <w:t>O</w:t>
            </w:r>
            <w:r w:rsidR="00B113CE">
              <w:rPr>
                <w:rFonts w:ascii="Arial Narrow" w:eastAsia="MS Gothic" w:hAnsi="Arial Narrow"/>
                <w:sz w:val="20"/>
                <w:lang w:val="en-GB"/>
              </w:rPr>
              <w:t>pen label extension:</w:t>
            </w:r>
            <w:r>
              <w:rPr>
                <w:rFonts w:ascii="Arial Narrow" w:eastAsia="MS Gothic" w:hAnsi="Arial Narrow"/>
                <w:sz w:val="20"/>
                <w:lang w:val="en-GB"/>
              </w:rPr>
              <w:t xml:space="preserve"> 104-week treatment period</w:t>
            </w:r>
            <w:r w:rsidR="00B113CE">
              <w:rPr>
                <w:rFonts w:ascii="Arial Narrow" w:eastAsia="MS Gothic" w:hAnsi="Arial Narrow"/>
                <w:sz w:val="20"/>
                <w:lang w:val="en-GB"/>
              </w:rPr>
              <w:t>.</w:t>
            </w:r>
            <w:r>
              <w:rPr>
                <w:rFonts w:ascii="Arial Narrow" w:eastAsia="MS Gothic" w:hAnsi="Arial Narrow"/>
                <w:sz w:val="20"/>
                <w:lang w:val="en-GB"/>
              </w:rPr>
              <w:t xml:space="preserve"> Participants in both the primary and secondary population were automatically entered into the OLE period following completion of the PAP. All participants received </w:t>
            </w:r>
            <w:proofErr w:type="spellStart"/>
            <w:r>
              <w:rPr>
                <w:rFonts w:ascii="Arial Narrow" w:eastAsia="MS Gothic" w:hAnsi="Arial Narrow"/>
                <w:sz w:val="20"/>
                <w:lang w:val="en-GB"/>
              </w:rPr>
              <w:t>venglustat</w:t>
            </w:r>
            <w:proofErr w:type="spellEnd"/>
            <w:r>
              <w:rPr>
                <w:rFonts w:ascii="Arial Narrow" w:eastAsia="MS Gothic" w:hAnsi="Arial Narrow"/>
                <w:sz w:val="20"/>
                <w:lang w:val="en-GB"/>
              </w:rPr>
              <w:t xml:space="preserve"> for 104 weeks in an open-label design. Participants who prematurely discontinued study treatment from the PAP did not have the option to </w:t>
            </w:r>
            <w:proofErr w:type="spellStart"/>
            <w:r>
              <w:rPr>
                <w:rFonts w:ascii="Arial Narrow" w:eastAsia="MS Gothic" w:hAnsi="Arial Narrow"/>
                <w:sz w:val="20"/>
                <w:lang w:val="en-GB"/>
              </w:rPr>
              <w:t>enroll</w:t>
            </w:r>
            <w:proofErr w:type="spellEnd"/>
            <w:r>
              <w:rPr>
                <w:rFonts w:ascii="Arial Narrow" w:eastAsia="MS Gothic" w:hAnsi="Arial Narrow"/>
                <w:sz w:val="20"/>
                <w:lang w:val="en-GB"/>
              </w:rPr>
              <w:t xml:space="preserve"> into the OLE.</w:t>
            </w:r>
          </w:p>
          <w:p w14:paraId="55E8C306" w14:textId="03B203BA" w:rsidR="001C5D18" w:rsidRPr="004459C1" w:rsidRDefault="00B113CE" w:rsidP="00E73B1B">
            <w:pPr>
              <w:pStyle w:val="ListParagraph"/>
              <w:numPr>
                <w:ilvl w:val="0"/>
                <w:numId w:val="17"/>
              </w:numPr>
              <w:rPr>
                <w:rFonts w:ascii="Arial Narrow" w:eastAsia="MS Gothic" w:hAnsi="Arial Narrow"/>
                <w:sz w:val="20"/>
                <w:lang w:val="en-GB"/>
              </w:rPr>
            </w:pPr>
            <w:r>
              <w:rPr>
                <w:rFonts w:ascii="Arial Narrow" w:eastAsia="MS Gothic" w:hAnsi="Arial Narrow"/>
                <w:sz w:val="20"/>
                <w:lang w:val="en-GB"/>
              </w:rPr>
              <w:t>P</w:t>
            </w:r>
            <w:r w:rsidR="00AE205D">
              <w:rPr>
                <w:rFonts w:ascii="Arial Narrow" w:eastAsia="MS Gothic" w:hAnsi="Arial Narrow"/>
                <w:sz w:val="20"/>
                <w:lang w:val="en-GB"/>
              </w:rPr>
              <w:t>ost-treatment safety observation period</w:t>
            </w:r>
            <w:r>
              <w:rPr>
                <w:rFonts w:ascii="Arial Narrow" w:eastAsia="MS Gothic" w:hAnsi="Arial Narrow"/>
                <w:sz w:val="20"/>
                <w:lang w:val="en-GB"/>
              </w:rPr>
              <w:t>:</w:t>
            </w:r>
            <w:r w:rsidR="00AE205D">
              <w:rPr>
                <w:rFonts w:ascii="Arial Narrow" w:eastAsia="MS Gothic" w:hAnsi="Arial Narrow"/>
                <w:sz w:val="20"/>
                <w:lang w:val="en-GB"/>
              </w:rPr>
              <w:t xml:space="preserve"> 6-week follow-up perio</w:t>
            </w:r>
            <w:r w:rsidR="00464084">
              <w:rPr>
                <w:rFonts w:ascii="Arial Narrow" w:eastAsia="MS Gothic" w:hAnsi="Arial Narrow"/>
                <w:sz w:val="20"/>
                <w:lang w:val="en-GB"/>
              </w:rPr>
              <w:t>d</w:t>
            </w:r>
            <w:r>
              <w:rPr>
                <w:rFonts w:ascii="Arial Narrow" w:eastAsia="MS Gothic" w:hAnsi="Arial Narrow"/>
                <w:sz w:val="20"/>
                <w:lang w:val="en-GB"/>
              </w:rPr>
              <w:t>.</w:t>
            </w:r>
          </w:p>
        </w:tc>
      </w:tr>
      <w:tr w:rsidR="00B46C9C" w14:paraId="7020193B" w14:textId="77777777">
        <w:trPr>
          <w:cantSplit/>
        </w:trPr>
        <w:tc>
          <w:tcPr>
            <w:tcW w:w="9702" w:type="dxa"/>
            <w:gridSpan w:val="2"/>
            <w:tcBorders>
              <w:bottom w:val="nil"/>
            </w:tcBorders>
          </w:tcPr>
          <w:p w14:paraId="4401F871" w14:textId="77777777" w:rsidR="00B46C9C" w:rsidRDefault="00AE205D">
            <w:pPr>
              <w:pStyle w:val="TblTextLeft"/>
              <w:keepNext/>
              <w:tabs>
                <w:tab w:val="left" w:pos="2325"/>
              </w:tabs>
              <w:rPr>
                <w:lang w:val="en-GB"/>
              </w:rPr>
            </w:pPr>
            <w:r>
              <w:rPr>
                <w:b/>
                <w:lang w:val="en-GB"/>
              </w:rPr>
              <w:lastRenderedPageBreak/>
              <w:t>Number of study participants:</w:t>
            </w:r>
            <w:r>
              <w:rPr>
                <w:lang w:val="en-GB"/>
              </w:rPr>
              <w:tab/>
            </w:r>
          </w:p>
          <w:p w14:paraId="1AA4EDDB" w14:textId="77777777" w:rsidR="00B46C9C" w:rsidRDefault="00AE205D">
            <w:pPr>
              <w:pStyle w:val="TblTextLeft"/>
              <w:keepNext/>
              <w:tabs>
                <w:tab w:val="left" w:pos="2325"/>
              </w:tabs>
            </w:pPr>
            <w:r>
              <w:rPr>
                <w:b/>
                <w:bCs/>
              </w:rPr>
              <w:t>Planned</w:t>
            </w:r>
            <w:r>
              <w:t>:</w:t>
            </w:r>
          </w:p>
          <w:p w14:paraId="4445A620" w14:textId="77777777" w:rsidR="00B46C9C" w:rsidRDefault="00AE205D">
            <w:pPr>
              <w:pStyle w:val="TblTextLeft"/>
              <w:keepNext/>
              <w:tabs>
                <w:tab w:val="left" w:pos="2325"/>
              </w:tabs>
            </w:pPr>
            <w:r>
              <w:rPr>
                <w:rFonts w:cs="Arial Narrow"/>
              </w:rPr>
              <w:t xml:space="preserve">Approximately 57 participants with late-onset adult GM2 gangliosidosis were to be treated in the study (primary population). </w:t>
            </w:r>
          </w:p>
          <w:p w14:paraId="3F0302F9" w14:textId="77777777" w:rsidR="00B46C9C" w:rsidRDefault="00AE205D">
            <w:pPr>
              <w:pStyle w:val="TblTextLeft"/>
              <w:keepNext/>
              <w:tabs>
                <w:tab w:val="left" w:pos="2325"/>
              </w:tabs>
            </w:pPr>
            <w:r>
              <w:rPr>
                <w:rFonts w:cs="Arial Narrow"/>
              </w:rPr>
              <w:t xml:space="preserve">Up to 20 participants in total were planned for the secondary population, with an attempt made and first prioritized to enroll at least 1 participant (aged 2 years or older) in each of the following disorders: juvenile/adolescent late-onset GM2 gangliosidosis, GM1 gangliosidosis, </w:t>
            </w:r>
            <w:proofErr w:type="spellStart"/>
            <w:r>
              <w:rPr>
                <w:rFonts w:cs="Arial Narrow"/>
              </w:rPr>
              <w:t>sialidosis</w:t>
            </w:r>
            <w:proofErr w:type="spellEnd"/>
            <w:r>
              <w:rPr>
                <w:rFonts w:cs="Arial Narrow"/>
              </w:rPr>
              <w:t xml:space="preserve"> type 1, juvenile/adult </w:t>
            </w:r>
            <w:proofErr w:type="spellStart"/>
            <w:r>
              <w:rPr>
                <w:rFonts w:cs="Arial Narrow"/>
              </w:rPr>
              <w:t>galactosialidosis</w:t>
            </w:r>
            <w:proofErr w:type="spellEnd"/>
            <w:r>
              <w:rPr>
                <w:rFonts w:cs="Arial Narrow"/>
              </w:rPr>
              <w:t xml:space="preserve">, and </w:t>
            </w:r>
            <w:proofErr w:type="spellStart"/>
            <w:r>
              <w:rPr>
                <w:rFonts w:cs="Arial Narrow"/>
              </w:rPr>
              <w:t>saposin</w:t>
            </w:r>
            <w:proofErr w:type="spellEnd"/>
            <w:r>
              <w:rPr>
                <w:rFonts w:cs="Arial Narrow"/>
              </w:rPr>
              <w:t xml:space="preserve"> C deficiency. </w:t>
            </w:r>
          </w:p>
          <w:p w14:paraId="7195F321" w14:textId="77777777" w:rsidR="00B46C9C" w:rsidRDefault="00AE205D">
            <w:pPr>
              <w:pStyle w:val="TblTextLeft"/>
              <w:keepNext/>
              <w:tabs>
                <w:tab w:val="left" w:pos="2325"/>
              </w:tabs>
            </w:pPr>
            <w:r>
              <w:rPr>
                <w:b/>
                <w:bCs/>
              </w:rPr>
              <w:t>Analyzed</w:t>
            </w:r>
            <w:r>
              <w:t xml:space="preserve">: </w:t>
            </w:r>
          </w:p>
          <w:p w14:paraId="493ACEE6" w14:textId="14EB27A4" w:rsidR="00B46C9C" w:rsidRPr="00DD3551" w:rsidRDefault="00AE205D">
            <w:pPr>
              <w:pStyle w:val="TblTextLeft"/>
              <w:keepNext/>
              <w:tabs>
                <w:tab w:val="left" w:pos="2325"/>
              </w:tabs>
            </w:pPr>
            <w:r>
              <w:t xml:space="preserve">Ninety-two patients were screened. A total of 59 participants in the primary population were randomized and treated (40 in the </w:t>
            </w:r>
            <w:proofErr w:type="spellStart"/>
            <w:r>
              <w:t>venglustat</w:t>
            </w:r>
            <w:proofErr w:type="spellEnd"/>
            <w:r>
              <w:t xml:space="preserve"> arm and 19 in the placebo arm), and 16 participants in the secondary population were treated in the study.</w:t>
            </w:r>
          </w:p>
        </w:tc>
      </w:tr>
      <w:tr w:rsidR="00DD3551" w14:paraId="2C8F1186" w14:textId="77777777">
        <w:trPr>
          <w:cantSplit/>
        </w:trPr>
        <w:tc>
          <w:tcPr>
            <w:tcW w:w="9702" w:type="dxa"/>
            <w:gridSpan w:val="2"/>
            <w:tcBorders>
              <w:bottom w:val="nil"/>
            </w:tcBorders>
          </w:tcPr>
          <w:p w14:paraId="2E77713F" w14:textId="77777777" w:rsidR="003F79D1" w:rsidRDefault="003F79D1" w:rsidP="003F79D1">
            <w:pPr>
              <w:pStyle w:val="TblTextLeft"/>
              <w:tabs>
                <w:tab w:val="left" w:pos="2925"/>
              </w:tabs>
              <w:ind w:left="-18" w:firstLine="18"/>
              <w:rPr>
                <w:b/>
                <w:lang w:val="en-GB"/>
              </w:rPr>
            </w:pPr>
            <w:r>
              <w:rPr>
                <w:b/>
                <w:lang w:val="en-GB"/>
              </w:rPr>
              <w:t>Diagnosis and criteria for inclusion:</w:t>
            </w:r>
            <w:r>
              <w:rPr>
                <w:b/>
                <w:lang w:val="en-GB"/>
              </w:rPr>
              <w:tab/>
            </w:r>
          </w:p>
          <w:p w14:paraId="38757835" w14:textId="77777777" w:rsidR="002B3476" w:rsidRDefault="002B3476" w:rsidP="002B3476">
            <w:pPr>
              <w:pStyle w:val="TblTextLeft"/>
              <w:tabs>
                <w:tab w:val="left" w:pos="2925"/>
              </w:tabs>
              <w:ind w:left="-18" w:firstLine="18"/>
              <w:rPr>
                <w:lang w:val="en-GB"/>
              </w:rPr>
            </w:pPr>
            <w:r>
              <w:rPr>
                <w:lang w:val="en-GB"/>
              </w:rPr>
              <w:t xml:space="preserve">Participants were eligible to be included in the study only if </w:t>
            </w:r>
            <w:proofErr w:type="gramStart"/>
            <w:r>
              <w:rPr>
                <w:lang w:val="en-GB"/>
              </w:rPr>
              <w:t>all of</w:t>
            </w:r>
            <w:proofErr w:type="gramEnd"/>
            <w:r>
              <w:rPr>
                <w:lang w:val="en-GB"/>
              </w:rPr>
              <w:t xml:space="preserve"> the following criteria apply: </w:t>
            </w:r>
          </w:p>
          <w:p w14:paraId="0D9153A9" w14:textId="77777777" w:rsidR="002B3476" w:rsidRDefault="002B3476" w:rsidP="002B3476">
            <w:pPr>
              <w:pStyle w:val="TblTextLeft"/>
              <w:tabs>
                <w:tab w:val="left" w:pos="2925"/>
              </w:tabs>
              <w:ind w:left="-18" w:firstLine="18"/>
              <w:rPr>
                <w:b/>
                <w:bCs/>
                <w:lang w:val="en-GB"/>
              </w:rPr>
            </w:pPr>
            <w:r>
              <w:rPr>
                <w:b/>
                <w:bCs/>
                <w:lang w:val="en-GB"/>
              </w:rPr>
              <w:t>Age</w:t>
            </w:r>
          </w:p>
          <w:p w14:paraId="1B433C09" w14:textId="1504CFC7" w:rsidR="002B3476" w:rsidRDefault="002B3476" w:rsidP="002B3476">
            <w:pPr>
              <w:pStyle w:val="TblTextLeft"/>
              <w:tabs>
                <w:tab w:val="left" w:pos="2925"/>
              </w:tabs>
              <w:ind w:left="415" w:hanging="415"/>
              <w:rPr>
                <w:lang w:val="en-GB"/>
              </w:rPr>
            </w:pPr>
            <w:r>
              <w:rPr>
                <w:lang w:val="en-GB"/>
              </w:rPr>
              <w:t xml:space="preserve">I 01.  Participant must be at least 18 years of age at the time of signing the informed consent for the primary population and adult secondary population. Participant must be ≥2 to &lt;18 years of age at the time of signing the informed consents (participant and parent/guardian) for the juvenile and adolescent secondary population. </w:t>
            </w:r>
          </w:p>
          <w:p w14:paraId="39959555" w14:textId="77777777" w:rsidR="002B3476" w:rsidRDefault="002B3476" w:rsidP="002B3476">
            <w:pPr>
              <w:pStyle w:val="TblTextLeft"/>
              <w:tabs>
                <w:tab w:val="left" w:pos="2925"/>
              </w:tabs>
              <w:ind w:left="-18" w:firstLine="18"/>
              <w:rPr>
                <w:b/>
                <w:bCs/>
                <w:lang w:val="en-GB"/>
              </w:rPr>
            </w:pPr>
            <w:r>
              <w:rPr>
                <w:b/>
                <w:bCs/>
                <w:lang w:val="en-GB"/>
              </w:rPr>
              <w:t>Type of participant and disease characteristics</w:t>
            </w:r>
          </w:p>
          <w:p w14:paraId="3A8EBF83" w14:textId="77777777" w:rsidR="002B3476" w:rsidRDefault="002B3476" w:rsidP="002B3476">
            <w:pPr>
              <w:pStyle w:val="TblTextLeft"/>
              <w:tabs>
                <w:tab w:val="left" w:pos="2925"/>
              </w:tabs>
              <w:ind w:left="415" w:hanging="415"/>
              <w:rPr>
                <w:lang w:val="en-GB"/>
              </w:rPr>
            </w:pPr>
            <w:r>
              <w:rPr>
                <w:lang w:val="en-GB"/>
              </w:rPr>
              <w:t xml:space="preserve">I 02. The participant has a clinical diagnosis of late-onset GM2 gangliosidosis (Tay-Sachs disease and </w:t>
            </w:r>
            <w:proofErr w:type="spellStart"/>
            <w:r>
              <w:rPr>
                <w:lang w:val="en-GB"/>
              </w:rPr>
              <w:t>Sandhoff</w:t>
            </w:r>
            <w:proofErr w:type="spellEnd"/>
            <w:r>
              <w:rPr>
                <w:lang w:val="en-GB"/>
              </w:rPr>
              <w:t xml:space="preserve"> disease) and documented respective enzyme deficiency (for the primary population only). The documented enzyme deficiency should support a genetically confirmed diagnosis of GM2-gangliosidosis caused by β-hexosaminidase deficiency resulting from mutations in the </w:t>
            </w:r>
            <w:r w:rsidRPr="00E73B1B">
              <w:rPr>
                <w:i/>
                <w:iCs/>
                <w:lang w:val="en-GB"/>
              </w:rPr>
              <w:t>HEXA</w:t>
            </w:r>
            <w:r>
              <w:rPr>
                <w:lang w:val="en-GB"/>
              </w:rPr>
              <w:t xml:space="preserve"> or </w:t>
            </w:r>
            <w:r w:rsidRPr="00E73B1B">
              <w:rPr>
                <w:i/>
                <w:iCs/>
                <w:lang w:val="en-GB"/>
              </w:rPr>
              <w:t>HEXB</w:t>
            </w:r>
            <w:r>
              <w:rPr>
                <w:lang w:val="en-GB"/>
              </w:rPr>
              <w:t xml:space="preserve"> genes.</w:t>
            </w:r>
          </w:p>
          <w:p w14:paraId="1155D212" w14:textId="7A4ECDD3" w:rsidR="002B3476" w:rsidRDefault="002B3476" w:rsidP="002B3476">
            <w:pPr>
              <w:pStyle w:val="TblTextLeft"/>
              <w:tabs>
                <w:tab w:val="left" w:pos="2925"/>
              </w:tabs>
              <w:ind w:left="415" w:firstLine="18"/>
              <w:rPr>
                <w:lang w:val="en-GB"/>
              </w:rPr>
            </w:pPr>
            <w:r>
              <w:rPr>
                <w:lang w:val="en-GB"/>
              </w:rPr>
              <w:t xml:space="preserve">Note: The study may also </w:t>
            </w:r>
            <w:proofErr w:type="spellStart"/>
            <w:r>
              <w:rPr>
                <w:lang w:val="en-GB"/>
              </w:rPr>
              <w:t>enroll</w:t>
            </w:r>
            <w:proofErr w:type="spellEnd"/>
            <w:r>
              <w:rPr>
                <w:lang w:val="en-GB"/>
              </w:rPr>
              <w:t xml:space="preserve"> participants with a clinical diagnosis of juvenile/adolescent late-onset GM2 gangliosidosis, GM1 gangliosidosis, </w:t>
            </w:r>
            <w:proofErr w:type="spellStart"/>
            <w:r>
              <w:rPr>
                <w:lang w:val="en-GB"/>
              </w:rPr>
              <w:t>Saposin</w:t>
            </w:r>
            <w:proofErr w:type="spellEnd"/>
            <w:r>
              <w:rPr>
                <w:lang w:val="en-GB"/>
              </w:rPr>
              <w:t xml:space="preserve"> C deficiency, </w:t>
            </w:r>
            <w:proofErr w:type="spellStart"/>
            <w:r>
              <w:rPr>
                <w:lang w:val="en-GB"/>
              </w:rPr>
              <w:t>Sialidosis</w:t>
            </w:r>
            <w:proofErr w:type="spellEnd"/>
            <w:r>
              <w:rPr>
                <w:lang w:val="en-GB"/>
              </w:rPr>
              <w:t xml:space="preserve"> type 1, or juvenile/adult </w:t>
            </w:r>
            <w:proofErr w:type="spellStart"/>
            <w:r>
              <w:rPr>
                <w:lang w:val="en-GB"/>
              </w:rPr>
              <w:t>galactosialidosis</w:t>
            </w:r>
            <w:proofErr w:type="spellEnd"/>
            <w:r>
              <w:rPr>
                <w:lang w:val="en-GB"/>
              </w:rPr>
              <w:t xml:space="preserve"> if any of the sites have such participants meeting the other inclusion and none of the exclusion criteria (secondary population). </w:t>
            </w:r>
          </w:p>
          <w:p w14:paraId="2468A8F9" w14:textId="77777777" w:rsidR="002B3476" w:rsidRDefault="002B3476" w:rsidP="002B3476">
            <w:pPr>
              <w:pStyle w:val="TblTextLeft"/>
              <w:tabs>
                <w:tab w:val="left" w:pos="2925"/>
              </w:tabs>
              <w:ind w:left="415" w:hanging="415"/>
              <w:rPr>
                <w:lang w:val="en-GB"/>
              </w:rPr>
            </w:pPr>
            <w:r>
              <w:rPr>
                <w:lang w:val="en-GB"/>
              </w:rPr>
              <w:t xml:space="preserve">I 03.  The participant </w:t>
            </w:r>
            <w:proofErr w:type="gramStart"/>
            <w:r>
              <w:rPr>
                <w:lang w:val="en-GB"/>
              </w:rPr>
              <w:t>has the ability to</w:t>
            </w:r>
            <w:proofErr w:type="gramEnd"/>
            <w:r>
              <w:rPr>
                <w:lang w:val="en-GB"/>
              </w:rPr>
              <w:t xml:space="preserve"> perform the 9-HPT at the screening visit in ≤240 seconds for the 2 consecutive trials of the dominant hands and the 2 consecutive trials of the nondominant hand. (Note: the participant must have bilateral antigravity ability in upper extremities.)</w:t>
            </w:r>
          </w:p>
          <w:p w14:paraId="5E272748" w14:textId="1652067A" w:rsidR="002B3476" w:rsidRDefault="002B3476" w:rsidP="002B3476">
            <w:pPr>
              <w:pStyle w:val="TblTextLeft"/>
              <w:tabs>
                <w:tab w:val="left" w:pos="2925"/>
              </w:tabs>
              <w:ind w:left="415" w:hanging="395"/>
              <w:rPr>
                <w:lang w:val="en-GB"/>
              </w:rPr>
            </w:pPr>
            <w:r>
              <w:rPr>
                <w:lang w:val="en-GB"/>
              </w:rPr>
              <w:t xml:space="preserve">I 04.   If the participant has a history of seizures, they are well controlled under appropriate medication not identified as a strong </w:t>
            </w:r>
            <w:r w:rsidR="00FD1162">
              <w:rPr>
                <w:lang w:val="en-GB"/>
              </w:rPr>
              <w:t>or moderate</w:t>
            </w:r>
            <w:r>
              <w:rPr>
                <w:lang w:val="en-GB"/>
              </w:rPr>
              <w:t xml:space="preserve"> inducer or inhibitor of CYP3A4. </w:t>
            </w:r>
          </w:p>
          <w:p w14:paraId="1F1AD24B" w14:textId="77777777" w:rsidR="002B3476" w:rsidRDefault="002B3476" w:rsidP="002B3476">
            <w:pPr>
              <w:pStyle w:val="TblTextLeft"/>
              <w:tabs>
                <w:tab w:val="left" w:pos="2925"/>
              </w:tabs>
              <w:ind w:left="415" w:hanging="415"/>
              <w:rPr>
                <w:lang w:val="en-GB"/>
              </w:rPr>
            </w:pPr>
            <w:r>
              <w:rPr>
                <w:lang w:val="en-GB"/>
              </w:rPr>
              <w:t>I 05.  The participant is cooperative, able to ingest or chew and swallow oral medication, willing to travel to a study site (if applicable), and able to comply with all aspects of the study, including all assessments, according to the Investigator’s judgment.</w:t>
            </w:r>
          </w:p>
          <w:p w14:paraId="3A48F6FE" w14:textId="77777777" w:rsidR="002B3476" w:rsidRDefault="002B3476" w:rsidP="002B3476">
            <w:pPr>
              <w:pStyle w:val="TblTextLeft"/>
              <w:tabs>
                <w:tab w:val="left" w:pos="2925"/>
              </w:tabs>
              <w:ind w:left="-18" w:firstLine="18"/>
              <w:rPr>
                <w:b/>
                <w:bCs/>
                <w:lang w:val="en-GB"/>
              </w:rPr>
            </w:pPr>
            <w:r>
              <w:rPr>
                <w:b/>
                <w:bCs/>
                <w:lang w:val="en-GB"/>
              </w:rPr>
              <w:t>Weight</w:t>
            </w:r>
          </w:p>
          <w:p w14:paraId="25B5050A" w14:textId="1FFBAC55" w:rsidR="00DD3551" w:rsidRPr="00445C8A" w:rsidRDefault="002B3476" w:rsidP="00445C8A">
            <w:pPr>
              <w:pStyle w:val="TblTextLeft"/>
              <w:tabs>
                <w:tab w:val="left" w:pos="2925"/>
              </w:tabs>
              <w:ind w:left="415" w:hanging="415"/>
              <w:rPr>
                <w:lang w:val="en-GB"/>
              </w:rPr>
            </w:pPr>
            <w:r>
              <w:rPr>
                <w:lang w:val="en-GB"/>
              </w:rPr>
              <w:t xml:space="preserve">I 06.  For the juvenile and adolescent secondary population, participant must have body weight ≥10 kg at the time of signing </w:t>
            </w:r>
            <w:r w:rsidR="00FD1162">
              <w:rPr>
                <w:lang w:val="en-GB"/>
              </w:rPr>
              <w:t>the informed</w:t>
            </w:r>
            <w:r>
              <w:rPr>
                <w:lang w:val="en-GB"/>
              </w:rPr>
              <w:t xml:space="preserve"> consent.</w:t>
            </w:r>
          </w:p>
        </w:tc>
      </w:tr>
      <w:tr w:rsidR="00B46C9C" w14:paraId="3F191CEC" w14:textId="77777777">
        <w:trPr>
          <w:cantSplit/>
        </w:trPr>
        <w:tc>
          <w:tcPr>
            <w:tcW w:w="9702" w:type="dxa"/>
            <w:gridSpan w:val="2"/>
            <w:tcBorders>
              <w:bottom w:val="single" w:sz="4" w:space="0" w:color="auto"/>
            </w:tcBorders>
          </w:tcPr>
          <w:p w14:paraId="39C4E893" w14:textId="77777777" w:rsidR="00B46C9C" w:rsidRDefault="00AE205D">
            <w:pPr>
              <w:pStyle w:val="TblTextLeft"/>
              <w:tabs>
                <w:tab w:val="left" w:pos="2925"/>
              </w:tabs>
              <w:ind w:left="-18" w:firstLine="18"/>
              <w:rPr>
                <w:b/>
                <w:bCs/>
              </w:rPr>
            </w:pPr>
            <w:r>
              <w:rPr>
                <w:b/>
                <w:bCs/>
              </w:rPr>
              <w:lastRenderedPageBreak/>
              <w:t>Sex</w:t>
            </w:r>
          </w:p>
          <w:p w14:paraId="521B2F03" w14:textId="77777777" w:rsidR="00B46C9C" w:rsidRDefault="00AE205D">
            <w:pPr>
              <w:pStyle w:val="TblTextLeft"/>
              <w:tabs>
                <w:tab w:val="left" w:pos="2925"/>
              </w:tabs>
              <w:ind w:left="-18" w:firstLine="18"/>
              <w:rPr>
                <w:lang w:val="en-GB"/>
              </w:rPr>
            </w:pPr>
            <w:r>
              <w:rPr>
                <w:lang w:val="en-GB"/>
              </w:rPr>
              <w:t>I 07.   Male or Female</w:t>
            </w:r>
          </w:p>
          <w:p w14:paraId="77E7573C" w14:textId="77777777" w:rsidR="00B46C9C" w:rsidRDefault="00AE205D">
            <w:pPr>
              <w:pStyle w:val="TblTextLeft"/>
              <w:tabs>
                <w:tab w:val="left" w:pos="2925"/>
              </w:tabs>
              <w:ind w:left="-18" w:firstLine="18"/>
              <w:rPr>
                <w:lang w:val="en-GB"/>
              </w:rPr>
            </w:pPr>
            <w:r>
              <w:rPr>
                <w:lang w:val="en-GB"/>
              </w:rPr>
              <w:t>Contraceptive use by men or women should be consistent with local regulations regarding the methods of contraception for those participating in clinical studies.</w:t>
            </w:r>
          </w:p>
          <w:p w14:paraId="010A8E24" w14:textId="77777777" w:rsidR="00B46C9C" w:rsidRDefault="00AE205D">
            <w:pPr>
              <w:pStyle w:val="TblTextLeft"/>
              <w:numPr>
                <w:ilvl w:val="0"/>
                <w:numId w:val="20"/>
              </w:numPr>
              <w:tabs>
                <w:tab w:val="left" w:pos="2925"/>
              </w:tabs>
            </w:pPr>
            <w:r>
              <w:t>Sexually active male participants</w:t>
            </w:r>
          </w:p>
          <w:p w14:paraId="0CFB9994" w14:textId="6684A377" w:rsidR="00B46C9C" w:rsidRDefault="00AE205D">
            <w:pPr>
              <w:pStyle w:val="TblTextLeft"/>
              <w:tabs>
                <w:tab w:val="left" w:pos="2925"/>
              </w:tabs>
              <w:ind w:left="720"/>
            </w:pPr>
            <w:r>
              <w:t>A male participant must agree to use contraception for the duration of the study and 90 days following their last dose of study intervention.</w:t>
            </w:r>
          </w:p>
          <w:p w14:paraId="2B3F7379" w14:textId="77777777" w:rsidR="00B46C9C" w:rsidRDefault="00AE205D">
            <w:pPr>
              <w:pStyle w:val="TblTextLeft"/>
              <w:numPr>
                <w:ilvl w:val="0"/>
                <w:numId w:val="20"/>
              </w:numPr>
              <w:tabs>
                <w:tab w:val="left" w:pos="2925"/>
              </w:tabs>
            </w:pPr>
            <w:r>
              <w:t>Female participants</w:t>
            </w:r>
          </w:p>
          <w:p w14:paraId="3C3DAA7B" w14:textId="71EEA182" w:rsidR="00B46C9C" w:rsidRDefault="00AE205D">
            <w:pPr>
              <w:pStyle w:val="TblTextLeft"/>
              <w:tabs>
                <w:tab w:val="left" w:pos="2925"/>
              </w:tabs>
              <w:ind w:left="720"/>
            </w:pPr>
            <w:r>
              <w:t>A female participant is eligible to participate if she is not pregnant, not breastfeeding, and at least one of the following conditions applies:</w:t>
            </w:r>
          </w:p>
          <w:p w14:paraId="24C217C0" w14:textId="6AB6E47F" w:rsidR="00B46C9C" w:rsidRDefault="00AE205D">
            <w:pPr>
              <w:pStyle w:val="TblTextLeft"/>
              <w:numPr>
                <w:ilvl w:val="0"/>
                <w:numId w:val="21"/>
              </w:numPr>
              <w:tabs>
                <w:tab w:val="left" w:pos="2925"/>
              </w:tabs>
            </w:pPr>
            <w:r>
              <w:t>Not a woman of childbearing potential (WOCBP).</w:t>
            </w:r>
          </w:p>
          <w:p w14:paraId="4515E17D" w14:textId="77777777" w:rsidR="00B46C9C" w:rsidRDefault="00AE205D">
            <w:pPr>
              <w:pStyle w:val="TblTextLeft"/>
              <w:tabs>
                <w:tab w:val="left" w:pos="2925"/>
              </w:tabs>
              <w:ind w:left="1080"/>
            </w:pPr>
            <w:r>
              <w:t>OR</w:t>
            </w:r>
          </w:p>
          <w:p w14:paraId="73784FD9" w14:textId="0568C81D" w:rsidR="00B46C9C" w:rsidRDefault="00AE205D">
            <w:pPr>
              <w:pStyle w:val="TblTextLeft"/>
              <w:numPr>
                <w:ilvl w:val="0"/>
                <w:numId w:val="21"/>
              </w:numPr>
              <w:tabs>
                <w:tab w:val="left" w:pos="2925"/>
              </w:tabs>
            </w:pPr>
            <w:r>
              <w:t>A WOCBP who agrees to follow the contraceptive guidance for the duration of the study and for at least 6 weeks after the last dose of study intervention.</w:t>
            </w:r>
          </w:p>
          <w:p w14:paraId="699C370F" w14:textId="77777777" w:rsidR="00B46C9C" w:rsidRDefault="00AE205D">
            <w:pPr>
              <w:pStyle w:val="TblTextLeft"/>
              <w:tabs>
                <w:tab w:val="left" w:pos="2925"/>
              </w:tabs>
              <w:rPr>
                <w:b/>
                <w:bCs/>
              </w:rPr>
            </w:pPr>
            <w:r>
              <w:rPr>
                <w:b/>
                <w:bCs/>
              </w:rPr>
              <w:t>Informed Consent</w:t>
            </w:r>
          </w:p>
          <w:p w14:paraId="7904901A" w14:textId="1FD1AA33" w:rsidR="00B46C9C" w:rsidRPr="00C672CB" w:rsidRDefault="00AE205D" w:rsidP="00C672CB">
            <w:pPr>
              <w:pStyle w:val="TblTextLeft"/>
              <w:tabs>
                <w:tab w:val="left" w:pos="2925"/>
              </w:tabs>
              <w:ind w:left="505" w:hanging="450"/>
              <w:rPr>
                <w:rStyle w:val="InstructionsTextChar"/>
                <w:rFonts w:eastAsia="MS Gothic"/>
                <w:color w:val="auto"/>
                <w:sz w:val="20"/>
                <w:szCs w:val="20"/>
                <w:shd w:val="clear" w:color="auto" w:fill="auto"/>
              </w:rPr>
            </w:pPr>
            <w:r>
              <w:t>I 08.   The participant or if appropriate parent(s) or legal guardian(s) must provide written informed assent/consent prior to any    study-related procedures being performed.</w:t>
            </w:r>
          </w:p>
        </w:tc>
      </w:tr>
      <w:tr w:rsidR="00C672CB" w14:paraId="6CD1636B" w14:textId="77777777">
        <w:trPr>
          <w:cantSplit/>
        </w:trPr>
        <w:tc>
          <w:tcPr>
            <w:tcW w:w="9702" w:type="dxa"/>
            <w:gridSpan w:val="2"/>
            <w:tcBorders>
              <w:bottom w:val="single" w:sz="4" w:space="0" w:color="auto"/>
            </w:tcBorders>
          </w:tcPr>
          <w:p w14:paraId="6479DD02" w14:textId="32163B84" w:rsidR="00FC3E9C" w:rsidRPr="00FC3E9C" w:rsidRDefault="00DD0FC8" w:rsidP="00FC3E9C">
            <w:pPr>
              <w:pStyle w:val="TblTextLeft"/>
              <w:tabs>
                <w:tab w:val="left" w:pos="2925"/>
              </w:tabs>
              <w:ind w:left="-18" w:firstLine="18"/>
              <w:rPr>
                <w:b/>
                <w:bCs/>
              </w:rPr>
            </w:pPr>
            <w:r>
              <w:rPr>
                <w:b/>
                <w:bCs/>
              </w:rPr>
              <w:t>Study produc</w:t>
            </w:r>
            <w:r w:rsidR="00FC3E9C">
              <w:rPr>
                <w:b/>
                <w:bCs/>
              </w:rPr>
              <w:t>ts</w:t>
            </w:r>
          </w:p>
          <w:p w14:paraId="32207C28" w14:textId="77777777" w:rsidR="00FC3E9C" w:rsidRPr="00FC3E9C" w:rsidRDefault="00FC3E9C" w:rsidP="00FC3E9C">
            <w:pPr>
              <w:pStyle w:val="TblTextLeft"/>
              <w:tabs>
                <w:tab w:val="left" w:pos="2925"/>
              </w:tabs>
              <w:ind w:left="-18" w:firstLine="18"/>
              <w:rPr>
                <w:b/>
                <w:bCs/>
              </w:rPr>
            </w:pPr>
            <w:r w:rsidRPr="00FC3E9C">
              <w:rPr>
                <w:b/>
                <w:bCs/>
              </w:rPr>
              <w:t xml:space="preserve">Investigational medicinal product(s): </w:t>
            </w:r>
          </w:p>
          <w:p w14:paraId="2347C99F" w14:textId="77777777" w:rsidR="00FC3E9C" w:rsidRPr="009B5857" w:rsidRDefault="00FC3E9C" w:rsidP="00FC3E9C">
            <w:pPr>
              <w:pStyle w:val="TblTextLeft"/>
              <w:tabs>
                <w:tab w:val="left" w:pos="2925"/>
              </w:tabs>
              <w:ind w:left="-18" w:firstLine="18"/>
            </w:pPr>
            <w:r w:rsidRPr="009B5857">
              <w:t xml:space="preserve">Formulation/Form &amp; composition: </w:t>
            </w:r>
            <w:proofErr w:type="spellStart"/>
            <w:r w:rsidRPr="009B5857">
              <w:t>Venglustat</w:t>
            </w:r>
            <w:proofErr w:type="spellEnd"/>
            <w:r w:rsidRPr="009B5857">
              <w:t xml:space="preserve"> or placebo</w:t>
            </w:r>
          </w:p>
          <w:p w14:paraId="7872F296" w14:textId="3F422477" w:rsidR="00DD0FC8" w:rsidRDefault="00FC3E9C" w:rsidP="009B5857">
            <w:pPr>
              <w:pStyle w:val="TblTextLeft"/>
              <w:tabs>
                <w:tab w:val="left" w:pos="2925"/>
              </w:tabs>
              <w:ind w:left="-18" w:firstLine="18"/>
              <w:rPr>
                <w:b/>
                <w:bCs/>
              </w:rPr>
            </w:pPr>
            <w:r w:rsidRPr="009B5857">
              <w:t>Route(s) of administration: oral</w:t>
            </w:r>
          </w:p>
        </w:tc>
      </w:tr>
      <w:tr w:rsidR="0088336C" w14:paraId="4598B408" w14:textId="77777777">
        <w:trPr>
          <w:cantSplit/>
        </w:trPr>
        <w:tc>
          <w:tcPr>
            <w:tcW w:w="9702" w:type="dxa"/>
            <w:gridSpan w:val="2"/>
            <w:tcBorders>
              <w:bottom w:val="single" w:sz="4" w:space="0" w:color="auto"/>
            </w:tcBorders>
          </w:tcPr>
          <w:p w14:paraId="6025733B" w14:textId="77777777" w:rsidR="0088336C" w:rsidRDefault="0088336C" w:rsidP="00FC3E9C">
            <w:pPr>
              <w:pStyle w:val="TblTextLeft"/>
              <w:tabs>
                <w:tab w:val="left" w:pos="2925"/>
              </w:tabs>
              <w:ind w:left="-18" w:firstLine="18"/>
              <w:rPr>
                <w:b/>
                <w:bCs/>
              </w:rPr>
            </w:pPr>
            <w:r>
              <w:rPr>
                <w:b/>
                <w:bCs/>
              </w:rPr>
              <w:t>Duration of treatment/participation:</w:t>
            </w:r>
          </w:p>
          <w:p w14:paraId="7675E220" w14:textId="77777777" w:rsidR="0088336C" w:rsidRDefault="0088336C" w:rsidP="0088336C">
            <w:pPr>
              <w:pStyle w:val="TblTextLeft"/>
              <w:keepNext/>
              <w:tabs>
                <w:tab w:val="left" w:pos="1845"/>
              </w:tabs>
              <w:rPr>
                <w:iCs/>
                <w:color w:val="000000" w:themeColor="text1"/>
                <w:lang w:val="en-GB"/>
              </w:rPr>
            </w:pPr>
            <w:r>
              <w:rPr>
                <w:rFonts w:cs="Arial Narrow"/>
                <w:color w:val="000000"/>
              </w:rPr>
              <w:t>Primary Analysis Period:104 weeks</w:t>
            </w:r>
          </w:p>
          <w:p w14:paraId="25082C50" w14:textId="260234EA" w:rsidR="0088336C" w:rsidRDefault="0088336C" w:rsidP="00E23C92">
            <w:pPr>
              <w:pStyle w:val="TblTextLeft"/>
              <w:tabs>
                <w:tab w:val="left" w:pos="2925"/>
              </w:tabs>
              <w:ind w:left="-18" w:firstLine="18"/>
              <w:rPr>
                <w:b/>
                <w:bCs/>
              </w:rPr>
            </w:pPr>
            <w:r>
              <w:rPr>
                <w:rFonts w:cs="Arial Narrow"/>
                <w:color w:val="000000"/>
              </w:rPr>
              <w:t>Open-label Extension Period: 104 weeks</w:t>
            </w:r>
            <w:r>
              <w:t xml:space="preserve"> </w:t>
            </w:r>
          </w:p>
        </w:tc>
      </w:tr>
      <w:tr w:rsidR="00B46C9C" w14:paraId="6A0D3BE1" w14:textId="77777777" w:rsidTr="001B54CC">
        <w:trPr>
          <w:cantSplit/>
        </w:trPr>
        <w:tc>
          <w:tcPr>
            <w:tcW w:w="9702" w:type="dxa"/>
            <w:gridSpan w:val="2"/>
            <w:tcBorders>
              <w:bottom w:val="nil"/>
            </w:tcBorders>
          </w:tcPr>
          <w:p w14:paraId="5550947A" w14:textId="77777777" w:rsidR="00B46C9C" w:rsidRDefault="00AE205D">
            <w:pPr>
              <w:pStyle w:val="TblTextLeft"/>
              <w:keepNext/>
              <w:rPr>
                <w:rFonts w:cs="Arial Narrow"/>
                <w:i/>
                <w:color w:val="FF0000"/>
                <w:lang w:val="en-GB"/>
              </w:rPr>
            </w:pPr>
            <w:r>
              <w:rPr>
                <w:rFonts w:cs="Arial Narrow"/>
                <w:b/>
                <w:lang w:val="en-GB"/>
              </w:rPr>
              <w:lastRenderedPageBreak/>
              <w:t xml:space="preserve">Criteria for evaluation: </w:t>
            </w:r>
          </w:p>
          <w:p w14:paraId="0F5CDFA5" w14:textId="77777777" w:rsidR="00B46C9C" w:rsidRDefault="00AE205D">
            <w:pPr>
              <w:pStyle w:val="TblTextLeft"/>
              <w:keepNext/>
              <w:rPr>
                <w:rFonts w:cs="Arial Narrow"/>
                <w:b/>
                <w:bCs/>
                <w:iCs/>
                <w:color w:val="000000" w:themeColor="text1"/>
                <w:lang w:val="en-GB"/>
              </w:rPr>
            </w:pPr>
            <w:r>
              <w:rPr>
                <w:rFonts w:cs="Arial Narrow"/>
                <w:b/>
                <w:bCs/>
                <w:iCs/>
                <w:color w:val="000000" w:themeColor="text1"/>
                <w:lang w:val="en-GB"/>
              </w:rPr>
              <w:t>Co-primary endpoints:</w:t>
            </w:r>
          </w:p>
          <w:p w14:paraId="78FC6FD1" w14:textId="77777777" w:rsidR="00B46C9C" w:rsidRDefault="00AE205D">
            <w:pPr>
              <w:pStyle w:val="TblTextLeft"/>
              <w:keepNext/>
              <w:rPr>
                <w:rFonts w:cs="Arial Narrow"/>
                <w:iCs/>
                <w:color w:val="000000" w:themeColor="text1"/>
                <w:lang w:val="en-GB"/>
              </w:rPr>
            </w:pPr>
            <w:r>
              <w:rPr>
                <w:rFonts w:cs="Arial Narrow"/>
                <w:iCs/>
                <w:color w:val="000000" w:themeColor="text1"/>
                <w:lang w:val="en-GB"/>
              </w:rPr>
              <w:t>Primary population:</w:t>
            </w:r>
          </w:p>
          <w:p w14:paraId="075A8B95" w14:textId="77777777" w:rsidR="00B46C9C" w:rsidRDefault="00AE205D">
            <w:pPr>
              <w:pStyle w:val="TblTextLeft"/>
              <w:keepNext/>
              <w:numPr>
                <w:ilvl w:val="0"/>
                <w:numId w:val="22"/>
              </w:numPr>
              <w:rPr>
                <w:iCs/>
                <w:lang w:val="en-GB"/>
              </w:rPr>
            </w:pPr>
            <w:r>
              <w:rPr>
                <w:iCs/>
                <w:lang w:val="en-GB"/>
              </w:rPr>
              <w:t>Percent change in cerebrospinal fluid (CSF) GM2 biomarker from baseline to Week 104.</w:t>
            </w:r>
          </w:p>
          <w:p w14:paraId="37A980E9" w14:textId="77777777" w:rsidR="00B46C9C" w:rsidRDefault="00AE205D">
            <w:pPr>
              <w:pStyle w:val="TblTextLeft"/>
              <w:keepNext/>
              <w:numPr>
                <w:ilvl w:val="0"/>
                <w:numId w:val="22"/>
              </w:numPr>
              <w:rPr>
                <w:iCs/>
                <w:lang w:val="en-GB"/>
              </w:rPr>
            </w:pPr>
            <w:r>
              <w:rPr>
                <w:iCs/>
                <w:lang w:val="en-GB"/>
              </w:rPr>
              <w:t>Annualized rate of change in the 9-hole peg test (9-HPT) from baseline to Week 104.</w:t>
            </w:r>
          </w:p>
          <w:p w14:paraId="7CC343CE" w14:textId="77777777" w:rsidR="00B46C9C" w:rsidRDefault="00AE205D">
            <w:pPr>
              <w:pStyle w:val="TblTextLeft"/>
              <w:keepNext/>
              <w:rPr>
                <w:iCs/>
                <w:lang w:val="en-GB"/>
              </w:rPr>
            </w:pPr>
            <w:r>
              <w:rPr>
                <w:iCs/>
                <w:lang w:val="en-GB"/>
              </w:rPr>
              <w:t>Secondary population:</w:t>
            </w:r>
          </w:p>
        </w:tc>
      </w:tr>
      <w:tr w:rsidR="00B46C9C" w14:paraId="7F52E1DE" w14:textId="77777777" w:rsidTr="001B54CC">
        <w:trPr>
          <w:cantSplit/>
        </w:trPr>
        <w:tc>
          <w:tcPr>
            <w:tcW w:w="9702" w:type="dxa"/>
            <w:gridSpan w:val="2"/>
            <w:tcBorders>
              <w:top w:val="nil"/>
              <w:bottom w:val="single" w:sz="4" w:space="0" w:color="auto"/>
            </w:tcBorders>
          </w:tcPr>
          <w:p w14:paraId="18BF254B" w14:textId="7C5C535B" w:rsidR="00B46C9C" w:rsidRDefault="00AE205D">
            <w:pPr>
              <w:pStyle w:val="TblTextLeft"/>
              <w:keepNext/>
              <w:numPr>
                <w:ilvl w:val="0"/>
                <w:numId w:val="22"/>
              </w:numPr>
              <w:rPr>
                <w:iCs/>
                <w:lang w:val="en-GB"/>
              </w:rPr>
            </w:pPr>
            <w:r>
              <w:rPr>
                <w:rFonts w:cs="Arial Narrow"/>
              </w:rPr>
              <w:t xml:space="preserve">Plasma and CSF GL-1 biomarker and pathway specific biomarker(s) as follows: </w:t>
            </w:r>
          </w:p>
          <w:p w14:paraId="78068011" w14:textId="77777777" w:rsidR="00B46C9C" w:rsidRDefault="00B46C9C">
            <w:pPr>
              <w:pStyle w:val="TblTextLeft"/>
              <w:keepNext/>
              <w:rPr>
                <w:iCs/>
                <w:lang w:val="en-GB"/>
              </w:rPr>
            </w:pPr>
          </w:p>
          <w:tbl>
            <w:tblPr>
              <w:tblStyle w:val="TableGrid"/>
              <w:tblpPr w:leftFromText="180" w:rightFromText="180" w:vertAnchor="page" w:horzAnchor="page" w:tblpX="1315" w:tblpY="581"/>
              <w:tblOverlap w:val="never"/>
              <w:tblW w:w="5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2570"/>
            </w:tblGrid>
            <w:tr w:rsidR="00B46C9C" w14:paraId="19DE6E35" w14:textId="77777777">
              <w:tc>
                <w:tcPr>
                  <w:tcW w:w="4731" w:type="dxa"/>
                  <w:tcBorders>
                    <w:top w:val="single" w:sz="4" w:space="0" w:color="auto"/>
                    <w:bottom w:val="single" w:sz="4" w:space="0" w:color="auto"/>
                  </w:tcBorders>
                </w:tcPr>
                <w:p w14:paraId="2C6BF381" w14:textId="77777777" w:rsidR="00B46C9C" w:rsidRDefault="00AE205D">
                  <w:pPr>
                    <w:pStyle w:val="TblTextLeft"/>
                    <w:keepNext/>
                    <w:rPr>
                      <w:iCs/>
                      <w:lang w:val="en-GB"/>
                    </w:rPr>
                  </w:pPr>
                  <w:r>
                    <w:rPr>
                      <w:iCs/>
                      <w:lang w:val="en-GB"/>
                    </w:rPr>
                    <w:t>Disease</w:t>
                  </w:r>
                </w:p>
              </w:tc>
              <w:tc>
                <w:tcPr>
                  <w:tcW w:w="4731" w:type="dxa"/>
                  <w:tcBorders>
                    <w:top w:val="single" w:sz="4" w:space="0" w:color="auto"/>
                    <w:bottom w:val="single" w:sz="4" w:space="0" w:color="auto"/>
                  </w:tcBorders>
                </w:tcPr>
                <w:p w14:paraId="446961EC" w14:textId="77777777" w:rsidR="00B46C9C" w:rsidRDefault="00AE205D">
                  <w:pPr>
                    <w:pStyle w:val="TblTextLeft"/>
                    <w:keepNext/>
                    <w:rPr>
                      <w:iCs/>
                      <w:lang w:val="en-GB"/>
                    </w:rPr>
                  </w:pPr>
                  <w:r>
                    <w:rPr>
                      <w:iCs/>
                      <w:lang w:val="en-GB"/>
                    </w:rPr>
                    <w:t>Biomarker</w:t>
                  </w:r>
                </w:p>
              </w:tc>
            </w:tr>
            <w:tr w:rsidR="00B46C9C" w14:paraId="036AB93D" w14:textId="77777777">
              <w:tc>
                <w:tcPr>
                  <w:tcW w:w="4731" w:type="dxa"/>
                  <w:tcBorders>
                    <w:top w:val="single" w:sz="4" w:space="0" w:color="auto"/>
                  </w:tcBorders>
                </w:tcPr>
                <w:p w14:paraId="0536A812" w14:textId="77777777" w:rsidR="00B46C9C" w:rsidRDefault="00AE205D">
                  <w:pPr>
                    <w:pStyle w:val="TblTextLeft"/>
                    <w:keepNext/>
                    <w:rPr>
                      <w:iCs/>
                      <w:lang w:val="en-GB"/>
                    </w:rPr>
                  </w:pPr>
                  <w:r>
                    <w:rPr>
                      <w:iCs/>
                      <w:lang w:val="en-GB"/>
                    </w:rPr>
                    <w:t>GM2 gangliosidosis</w:t>
                  </w:r>
                </w:p>
              </w:tc>
              <w:tc>
                <w:tcPr>
                  <w:tcW w:w="4731" w:type="dxa"/>
                  <w:tcBorders>
                    <w:top w:val="single" w:sz="4" w:space="0" w:color="auto"/>
                  </w:tcBorders>
                </w:tcPr>
                <w:p w14:paraId="1CDA7297" w14:textId="77777777" w:rsidR="00B46C9C" w:rsidRDefault="00AE205D">
                  <w:pPr>
                    <w:pStyle w:val="TblTextLeft"/>
                    <w:keepNext/>
                    <w:rPr>
                      <w:iCs/>
                      <w:lang w:val="en-GB"/>
                    </w:rPr>
                  </w:pPr>
                  <w:r>
                    <w:rPr>
                      <w:iCs/>
                      <w:lang w:val="en-GB"/>
                    </w:rPr>
                    <w:t xml:space="preserve">GL-1, GM2 </w:t>
                  </w:r>
                </w:p>
              </w:tc>
            </w:tr>
            <w:tr w:rsidR="00B46C9C" w14:paraId="47BF0D79" w14:textId="77777777">
              <w:tc>
                <w:tcPr>
                  <w:tcW w:w="4731" w:type="dxa"/>
                </w:tcPr>
                <w:p w14:paraId="30511D59" w14:textId="77777777" w:rsidR="00B46C9C" w:rsidRDefault="00AE205D">
                  <w:pPr>
                    <w:pStyle w:val="TblTextLeft"/>
                    <w:keepNext/>
                    <w:rPr>
                      <w:iCs/>
                      <w:lang w:val="en-GB"/>
                    </w:rPr>
                  </w:pPr>
                  <w:r>
                    <w:rPr>
                      <w:iCs/>
                      <w:lang w:val="en-GB"/>
                    </w:rPr>
                    <w:t>GM1 gangliosidosis</w:t>
                  </w:r>
                </w:p>
              </w:tc>
              <w:tc>
                <w:tcPr>
                  <w:tcW w:w="4731" w:type="dxa"/>
                </w:tcPr>
                <w:p w14:paraId="32DF9E0C" w14:textId="77777777" w:rsidR="00B46C9C" w:rsidRDefault="00AE205D">
                  <w:pPr>
                    <w:pStyle w:val="TblTextLeft"/>
                    <w:keepNext/>
                    <w:rPr>
                      <w:iCs/>
                      <w:lang w:val="en-GB"/>
                    </w:rPr>
                  </w:pPr>
                  <w:r>
                    <w:rPr>
                      <w:iCs/>
                      <w:lang w:val="en-GB"/>
                    </w:rPr>
                    <w:t xml:space="preserve">GL-1, GM1 </w:t>
                  </w:r>
                </w:p>
              </w:tc>
            </w:tr>
            <w:tr w:rsidR="00B46C9C" w14:paraId="288AA40C" w14:textId="77777777">
              <w:tc>
                <w:tcPr>
                  <w:tcW w:w="4731" w:type="dxa"/>
                </w:tcPr>
                <w:p w14:paraId="0774B001" w14:textId="77777777" w:rsidR="00B46C9C" w:rsidRDefault="00AE205D">
                  <w:pPr>
                    <w:pStyle w:val="TblTextLeft"/>
                    <w:keepNext/>
                    <w:rPr>
                      <w:iCs/>
                      <w:lang w:val="en-GB"/>
                    </w:rPr>
                  </w:pPr>
                  <w:proofErr w:type="spellStart"/>
                  <w:r>
                    <w:rPr>
                      <w:iCs/>
                      <w:lang w:val="en-GB"/>
                    </w:rPr>
                    <w:t>Sialidosis</w:t>
                  </w:r>
                  <w:proofErr w:type="spellEnd"/>
                </w:p>
              </w:tc>
              <w:tc>
                <w:tcPr>
                  <w:tcW w:w="4731" w:type="dxa"/>
                </w:tcPr>
                <w:p w14:paraId="2290D00F" w14:textId="77777777" w:rsidR="00B46C9C" w:rsidRDefault="00AE205D">
                  <w:pPr>
                    <w:pStyle w:val="TblTextLeft"/>
                    <w:keepNext/>
                    <w:rPr>
                      <w:iCs/>
                      <w:lang w:val="en-GB"/>
                    </w:rPr>
                  </w:pPr>
                  <w:r>
                    <w:rPr>
                      <w:iCs/>
                      <w:lang w:val="en-GB"/>
                    </w:rPr>
                    <w:t xml:space="preserve">GL-1, GM2, GM3 </w:t>
                  </w:r>
                </w:p>
              </w:tc>
            </w:tr>
            <w:tr w:rsidR="00B46C9C" w14:paraId="0E446BDB" w14:textId="77777777">
              <w:tc>
                <w:tcPr>
                  <w:tcW w:w="4731" w:type="dxa"/>
                </w:tcPr>
                <w:p w14:paraId="69C4169B" w14:textId="77777777" w:rsidR="00B46C9C" w:rsidRDefault="00AE205D">
                  <w:pPr>
                    <w:pStyle w:val="TblTextLeft"/>
                    <w:keepNext/>
                    <w:rPr>
                      <w:iCs/>
                      <w:lang w:val="en-GB"/>
                    </w:rPr>
                  </w:pPr>
                  <w:proofErr w:type="spellStart"/>
                  <w:r>
                    <w:rPr>
                      <w:iCs/>
                      <w:lang w:val="en-GB"/>
                    </w:rPr>
                    <w:t>Galactosialidosis</w:t>
                  </w:r>
                  <w:proofErr w:type="spellEnd"/>
                </w:p>
              </w:tc>
              <w:tc>
                <w:tcPr>
                  <w:tcW w:w="4731" w:type="dxa"/>
                </w:tcPr>
                <w:p w14:paraId="22A425A2" w14:textId="77777777" w:rsidR="00B46C9C" w:rsidRDefault="00AE205D">
                  <w:pPr>
                    <w:pStyle w:val="TblTextLeft"/>
                    <w:keepNext/>
                    <w:rPr>
                      <w:iCs/>
                      <w:lang w:val="en-GB"/>
                    </w:rPr>
                  </w:pPr>
                  <w:r>
                    <w:rPr>
                      <w:iCs/>
                      <w:lang w:val="en-GB"/>
                    </w:rPr>
                    <w:t xml:space="preserve">GL-1, GM1, GM3 </w:t>
                  </w:r>
                </w:p>
              </w:tc>
            </w:tr>
            <w:tr w:rsidR="00B46C9C" w14:paraId="0EAF25AA" w14:textId="77777777">
              <w:tc>
                <w:tcPr>
                  <w:tcW w:w="4731" w:type="dxa"/>
                  <w:tcBorders>
                    <w:bottom w:val="single" w:sz="4" w:space="0" w:color="auto"/>
                  </w:tcBorders>
                </w:tcPr>
                <w:p w14:paraId="71EA6648" w14:textId="77777777" w:rsidR="00B46C9C" w:rsidRDefault="00AE205D">
                  <w:pPr>
                    <w:pStyle w:val="TblTextLeft"/>
                    <w:keepNext/>
                    <w:rPr>
                      <w:iCs/>
                      <w:lang w:val="en-GB"/>
                    </w:rPr>
                  </w:pPr>
                  <w:proofErr w:type="spellStart"/>
                  <w:r>
                    <w:rPr>
                      <w:iCs/>
                      <w:lang w:val="en-GB"/>
                    </w:rPr>
                    <w:t>Saposin</w:t>
                  </w:r>
                  <w:proofErr w:type="spellEnd"/>
                  <w:r>
                    <w:rPr>
                      <w:iCs/>
                      <w:lang w:val="en-GB"/>
                    </w:rPr>
                    <w:t xml:space="preserve"> C Deficiency</w:t>
                  </w:r>
                </w:p>
              </w:tc>
              <w:tc>
                <w:tcPr>
                  <w:tcW w:w="4731" w:type="dxa"/>
                  <w:tcBorders>
                    <w:bottom w:val="single" w:sz="4" w:space="0" w:color="auto"/>
                  </w:tcBorders>
                </w:tcPr>
                <w:p w14:paraId="4862BB10" w14:textId="77777777" w:rsidR="00B46C9C" w:rsidRDefault="00AE205D">
                  <w:pPr>
                    <w:pStyle w:val="TblTextLeft"/>
                    <w:keepNext/>
                    <w:rPr>
                      <w:iCs/>
                      <w:lang w:val="en-GB"/>
                    </w:rPr>
                  </w:pPr>
                  <w:r>
                    <w:rPr>
                      <w:iCs/>
                      <w:lang w:val="en-GB"/>
                    </w:rPr>
                    <w:t xml:space="preserve">GL-1 only </w:t>
                  </w:r>
                </w:p>
              </w:tc>
            </w:tr>
          </w:tbl>
          <w:p w14:paraId="70449DDB" w14:textId="77777777" w:rsidR="00B46C9C" w:rsidRDefault="00B46C9C">
            <w:pPr>
              <w:pStyle w:val="TblTextLeft"/>
              <w:keepNext/>
              <w:rPr>
                <w:iCs/>
                <w:lang w:val="en-GB"/>
              </w:rPr>
            </w:pPr>
          </w:p>
          <w:p w14:paraId="1368D61E" w14:textId="77777777" w:rsidR="00B46C9C" w:rsidRDefault="00B46C9C">
            <w:pPr>
              <w:pStyle w:val="TblTextLeft"/>
              <w:keepNext/>
              <w:rPr>
                <w:iCs/>
                <w:lang w:val="en-GB"/>
              </w:rPr>
            </w:pPr>
          </w:p>
          <w:p w14:paraId="37EB049B" w14:textId="77777777" w:rsidR="00B46C9C" w:rsidRDefault="00B46C9C">
            <w:pPr>
              <w:pStyle w:val="TblTextLeft"/>
              <w:keepNext/>
              <w:rPr>
                <w:iCs/>
                <w:lang w:val="en-GB"/>
              </w:rPr>
            </w:pPr>
          </w:p>
          <w:p w14:paraId="4E1C81A1" w14:textId="77777777" w:rsidR="00B46C9C" w:rsidRDefault="00B46C9C">
            <w:pPr>
              <w:pStyle w:val="TblTextLeft"/>
              <w:keepNext/>
              <w:rPr>
                <w:iCs/>
                <w:lang w:val="en-GB"/>
              </w:rPr>
            </w:pPr>
          </w:p>
          <w:p w14:paraId="36A5D6BB" w14:textId="77777777" w:rsidR="00B46C9C" w:rsidRDefault="00B46C9C">
            <w:pPr>
              <w:pStyle w:val="TblTextLeft"/>
              <w:keepNext/>
              <w:rPr>
                <w:iCs/>
                <w:lang w:val="en-GB"/>
              </w:rPr>
            </w:pPr>
          </w:p>
          <w:p w14:paraId="132B843A" w14:textId="77777777" w:rsidR="00B46C9C" w:rsidRDefault="00B46C9C">
            <w:pPr>
              <w:pStyle w:val="TblTextLeft"/>
              <w:keepNext/>
              <w:rPr>
                <w:iCs/>
                <w:lang w:val="en-GB"/>
              </w:rPr>
            </w:pPr>
          </w:p>
          <w:p w14:paraId="477D8E9E" w14:textId="77777777" w:rsidR="00B46C9C" w:rsidRDefault="00AE205D">
            <w:pPr>
              <w:pStyle w:val="TblTextLeft"/>
              <w:keepNext/>
              <w:rPr>
                <w:b/>
                <w:bCs/>
              </w:rPr>
            </w:pPr>
            <w:r>
              <w:rPr>
                <w:b/>
                <w:bCs/>
              </w:rPr>
              <w:t>Secondary endpoints:</w:t>
            </w:r>
          </w:p>
          <w:p w14:paraId="36D52B53" w14:textId="77777777" w:rsidR="00B46C9C" w:rsidRDefault="00AE205D">
            <w:pPr>
              <w:pStyle w:val="TblTextLeft"/>
              <w:keepNext/>
            </w:pPr>
            <w:r>
              <w:t>Primary population:</w:t>
            </w:r>
          </w:p>
          <w:p w14:paraId="2AEBE685" w14:textId="77777777" w:rsidR="00B46C9C" w:rsidRDefault="00AE205D">
            <w:pPr>
              <w:pStyle w:val="TblTextLeft"/>
              <w:numPr>
                <w:ilvl w:val="0"/>
                <w:numId w:val="22"/>
              </w:numPr>
              <w:rPr>
                <w:iCs/>
                <w:lang w:val="en-GB"/>
              </w:rPr>
            </w:pPr>
            <w:r>
              <w:rPr>
                <w:iCs/>
                <w:lang w:val="en-GB"/>
              </w:rPr>
              <w:t>Absolute change in CSF GM2 biomarker from baseline to Week 104.</w:t>
            </w:r>
          </w:p>
          <w:p w14:paraId="751092F4" w14:textId="77777777" w:rsidR="00B46C9C" w:rsidRDefault="00AE205D" w:rsidP="0088336C">
            <w:pPr>
              <w:pStyle w:val="TblTextLeft"/>
              <w:numPr>
                <w:ilvl w:val="0"/>
                <w:numId w:val="22"/>
              </w:numPr>
              <w:rPr>
                <w:iCs/>
                <w:lang w:val="en-GB"/>
              </w:rPr>
            </w:pPr>
            <w:r>
              <w:rPr>
                <w:iCs/>
                <w:lang w:val="en-GB"/>
              </w:rPr>
              <w:t>Change in 25-foot walk test (25FWT) from baseline to Week 104 (in participants able to walk at baseline).</w:t>
            </w:r>
          </w:p>
          <w:p w14:paraId="61830220" w14:textId="77777777" w:rsidR="002814E3" w:rsidRPr="002814E3" w:rsidRDefault="002814E3" w:rsidP="002814E3">
            <w:pPr>
              <w:pStyle w:val="ListParagraph"/>
              <w:numPr>
                <w:ilvl w:val="0"/>
                <w:numId w:val="22"/>
              </w:numPr>
              <w:rPr>
                <w:rStyle w:val="InstructionsTextChar"/>
                <w:rFonts w:ascii="Arial Narrow" w:eastAsia="MS Gothic" w:hAnsi="Arial Narrow"/>
                <w:iCs/>
                <w:color w:val="auto"/>
                <w:sz w:val="20"/>
                <w:szCs w:val="20"/>
                <w:shd w:val="clear" w:color="auto" w:fill="auto"/>
                <w:lang w:val="en-GB"/>
              </w:rPr>
            </w:pPr>
            <w:r w:rsidRPr="002814E3">
              <w:rPr>
                <w:rStyle w:val="InstructionsTextChar"/>
                <w:rFonts w:ascii="Arial Narrow" w:eastAsia="MS Gothic" w:hAnsi="Arial Narrow"/>
                <w:iCs/>
                <w:color w:val="auto"/>
                <w:sz w:val="20"/>
                <w:szCs w:val="20"/>
                <w:shd w:val="clear" w:color="auto" w:fill="auto"/>
                <w:lang w:val="en-GB"/>
              </w:rPr>
              <w:t>Change in the neurological examination of the Friedreich’s Ataxia Rating Scale (FARS) from baseline to Week 104.</w:t>
            </w:r>
          </w:p>
          <w:p w14:paraId="3F70656C" w14:textId="77777777" w:rsidR="002814E3" w:rsidRDefault="002814E3" w:rsidP="002814E3">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Changes from baseline to Week 104 in the following:</w:t>
            </w:r>
          </w:p>
          <w:p w14:paraId="55EFC77C" w14:textId="77777777" w:rsidR="002814E3" w:rsidRDefault="002814E3" w:rsidP="002814E3">
            <w:pPr>
              <w:pStyle w:val="TblTextLeft"/>
              <w:numPr>
                <w:ilvl w:val="1"/>
                <w:numId w:val="21"/>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Assessment of adverse events (AEs) and concomitant medication</w:t>
            </w:r>
          </w:p>
          <w:p w14:paraId="6AC4C56C" w14:textId="77777777" w:rsidR="002814E3" w:rsidRDefault="002814E3" w:rsidP="002814E3">
            <w:pPr>
              <w:pStyle w:val="TblTextLeft"/>
              <w:numPr>
                <w:ilvl w:val="1"/>
                <w:numId w:val="21"/>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Neurological examination</w:t>
            </w:r>
          </w:p>
          <w:p w14:paraId="19D6B739" w14:textId="77777777" w:rsidR="002814E3" w:rsidRDefault="002814E3" w:rsidP="002814E3">
            <w:pPr>
              <w:pStyle w:val="TblTextLeft"/>
              <w:numPr>
                <w:ilvl w:val="1"/>
                <w:numId w:val="21"/>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Ophthalmological examination</w:t>
            </w:r>
          </w:p>
          <w:p w14:paraId="5D3FCA44" w14:textId="77777777" w:rsidR="002814E3" w:rsidRDefault="002814E3" w:rsidP="002814E3">
            <w:pPr>
              <w:pStyle w:val="TblTextLeft"/>
              <w:numPr>
                <w:ilvl w:val="1"/>
                <w:numId w:val="21"/>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Vital signs</w:t>
            </w:r>
          </w:p>
          <w:p w14:paraId="733F7442" w14:textId="77777777" w:rsidR="002814E3" w:rsidRDefault="002814E3" w:rsidP="002814E3">
            <w:pPr>
              <w:pStyle w:val="TblTextLeft"/>
              <w:numPr>
                <w:ilvl w:val="1"/>
                <w:numId w:val="21"/>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 xml:space="preserve">Clinical laboratory evaluations including </w:t>
            </w:r>
            <w:proofErr w:type="spellStart"/>
            <w:r>
              <w:rPr>
                <w:rStyle w:val="InstructionsTextChar"/>
                <w:rFonts w:eastAsia="MS Gothic"/>
                <w:iCs/>
                <w:color w:val="auto"/>
                <w:sz w:val="20"/>
                <w:szCs w:val="20"/>
                <w:shd w:val="clear" w:color="auto" w:fill="auto"/>
                <w:lang w:val="en-GB"/>
              </w:rPr>
              <w:t>hematology</w:t>
            </w:r>
            <w:proofErr w:type="spellEnd"/>
            <w:r>
              <w:rPr>
                <w:rStyle w:val="InstructionsTextChar"/>
                <w:rFonts w:eastAsia="MS Gothic"/>
                <w:iCs/>
                <w:color w:val="auto"/>
                <w:sz w:val="20"/>
                <w:szCs w:val="20"/>
                <w:shd w:val="clear" w:color="auto" w:fill="auto"/>
                <w:lang w:val="en-GB"/>
              </w:rPr>
              <w:t>, biochemistry, urinalysis, and serology</w:t>
            </w:r>
          </w:p>
          <w:p w14:paraId="645BF4D8" w14:textId="77777777" w:rsidR="002814E3" w:rsidRDefault="002814E3" w:rsidP="002814E3">
            <w:pPr>
              <w:pStyle w:val="TblTextLeft"/>
              <w:numPr>
                <w:ilvl w:val="1"/>
                <w:numId w:val="21"/>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Electrocardiogram (ECG)</w:t>
            </w:r>
          </w:p>
          <w:p w14:paraId="48805BE9" w14:textId="606DA1DC" w:rsidR="002814E3" w:rsidRPr="002814E3" w:rsidRDefault="002814E3" w:rsidP="002814E3">
            <w:pPr>
              <w:pStyle w:val="ListParagraph"/>
              <w:numPr>
                <w:ilvl w:val="0"/>
                <w:numId w:val="22"/>
              </w:numPr>
              <w:rPr>
                <w:rStyle w:val="InstructionsTextChar"/>
                <w:rFonts w:ascii="Arial Narrow" w:eastAsia="MS Gothic" w:hAnsi="Arial Narrow"/>
                <w:iCs/>
                <w:color w:val="auto"/>
                <w:sz w:val="20"/>
                <w:szCs w:val="20"/>
                <w:shd w:val="clear" w:color="auto" w:fill="auto"/>
                <w:lang w:val="en-GB"/>
              </w:rPr>
            </w:pPr>
            <w:r w:rsidRPr="002814E3">
              <w:rPr>
                <w:rStyle w:val="InstructionsTextChar"/>
                <w:rFonts w:ascii="Arial Narrow" w:eastAsia="MS Gothic" w:hAnsi="Arial Narrow"/>
                <w:iCs/>
                <w:color w:val="auto"/>
                <w:sz w:val="20"/>
                <w:szCs w:val="20"/>
                <w:shd w:val="clear" w:color="auto" w:fill="auto"/>
                <w:lang w:val="en-GB"/>
              </w:rPr>
              <w:t xml:space="preserve">Plasma and CSF </w:t>
            </w:r>
            <w:proofErr w:type="spellStart"/>
            <w:r w:rsidRPr="002814E3">
              <w:rPr>
                <w:rStyle w:val="InstructionsTextChar"/>
                <w:rFonts w:ascii="Arial Narrow" w:eastAsia="MS Gothic" w:hAnsi="Arial Narrow"/>
                <w:iCs/>
                <w:color w:val="auto"/>
                <w:sz w:val="20"/>
                <w:szCs w:val="20"/>
                <w:shd w:val="clear" w:color="auto" w:fill="auto"/>
                <w:lang w:val="en-GB"/>
              </w:rPr>
              <w:t>venglustat</w:t>
            </w:r>
            <w:proofErr w:type="spellEnd"/>
            <w:r w:rsidRPr="002814E3">
              <w:rPr>
                <w:rStyle w:val="InstructionsTextChar"/>
                <w:rFonts w:ascii="Arial Narrow" w:eastAsia="MS Gothic" w:hAnsi="Arial Narrow"/>
                <w:iCs/>
                <w:color w:val="auto"/>
                <w:sz w:val="20"/>
                <w:szCs w:val="20"/>
                <w:shd w:val="clear" w:color="auto" w:fill="auto"/>
                <w:lang w:val="en-GB"/>
              </w:rPr>
              <w:t xml:space="preserve"> concentrations at prespecified visits over the study duration and plasma PK parameters (when applicable) including maximum plasma concentration observed (</w:t>
            </w:r>
            <w:proofErr w:type="spellStart"/>
            <w:r w:rsidRPr="002814E3">
              <w:rPr>
                <w:rStyle w:val="InstructionsTextChar"/>
                <w:rFonts w:ascii="Arial Narrow" w:eastAsia="MS Gothic" w:hAnsi="Arial Narrow"/>
                <w:iCs/>
                <w:color w:val="auto"/>
                <w:sz w:val="20"/>
                <w:szCs w:val="20"/>
                <w:shd w:val="clear" w:color="auto" w:fill="auto"/>
                <w:lang w:val="en-GB"/>
              </w:rPr>
              <w:t>C</w:t>
            </w:r>
            <w:r w:rsidRPr="001B54CC">
              <w:rPr>
                <w:rStyle w:val="InstructionsTextChar"/>
                <w:rFonts w:ascii="Arial Narrow" w:eastAsia="MS Gothic" w:hAnsi="Arial Narrow"/>
                <w:iCs/>
                <w:color w:val="auto"/>
                <w:sz w:val="20"/>
                <w:szCs w:val="20"/>
                <w:shd w:val="clear" w:color="auto" w:fill="auto"/>
                <w:vertAlign w:val="subscript"/>
                <w:lang w:val="en-GB"/>
              </w:rPr>
              <w:t>max</w:t>
            </w:r>
            <w:proofErr w:type="spellEnd"/>
            <w:r w:rsidRPr="002814E3">
              <w:rPr>
                <w:rStyle w:val="InstructionsTextChar"/>
                <w:rFonts w:ascii="Arial Narrow" w:eastAsia="MS Gothic" w:hAnsi="Arial Narrow"/>
                <w:iCs/>
                <w:color w:val="auto"/>
                <w:sz w:val="20"/>
                <w:szCs w:val="20"/>
                <w:shd w:val="clear" w:color="auto" w:fill="auto"/>
                <w:lang w:val="en-GB"/>
              </w:rPr>
              <w:t xml:space="preserve">), </w:t>
            </w:r>
            <w:proofErr w:type="spellStart"/>
            <w:r w:rsidRPr="002814E3">
              <w:rPr>
                <w:rStyle w:val="InstructionsTextChar"/>
                <w:rFonts w:ascii="Arial Narrow" w:eastAsia="MS Gothic" w:hAnsi="Arial Narrow"/>
                <w:iCs/>
                <w:color w:val="auto"/>
                <w:sz w:val="20"/>
                <w:szCs w:val="20"/>
                <w:shd w:val="clear" w:color="auto" w:fill="auto"/>
                <w:lang w:val="en-GB"/>
              </w:rPr>
              <w:t>t</w:t>
            </w:r>
            <w:r w:rsidRPr="001B54CC">
              <w:rPr>
                <w:rStyle w:val="InstructionsTextChar"/>
                <w:rFonts w:ascii="Arial Narrow" w:eastAsia="MS Gothic" w:hAnsi="Arial Narrow"/>
                <w:iCs/>
                <w:color w:val="auto"/>
                <w:sz w:val="20"/>
                <w:szCs w:val="20"/>
                <w:shd w:val="clear" w:color="auto" w:fill="auto"/>
                <w:vertAlign w:val="subscript"/>
                <w:lang w:val="en-GB"/>
              </w:rPr>
              <w:t>max</w:t>
            </w:r>
            <w:proofErr w:type="spellEnd"/>
            <w:r w:rsidRPr="002814E3">
              <w:rPr>
                <w:rStyle w:val="InstructionsTextChar"/>
                <w:rFonts w:ascii="Arial Narrow" w:eastAsia="MS Gothic" w:hAnsi="Arial Narrow"/>
                <w:iCs/>
                <w:color w:val="auto"/>
                <w:sz w:val="20"/>
                <w:szCs w:val="20"/>
                <w:shd w:val="clear" w:color="auto" w:fill="auto"/>
                <w:lang w:val="en-GB"/>
              </w:rPr>
              <w:t xml:space="preserve">, and area under the plasma concentration versus time curve calculated using the trapezoidal method over a predefined </w:t>
            </w:r>
            <w:proofErr w:type="gramStart"/>
            <w:r w:rsidRPr="002814E3">
              <w:rPr>
                <w:rStyle w:val="InstructionsTextChar"/>
                <w:rFonts w:ascii="Arial Narrow" w:eastAsia="MS Gothic" w:hAnsi="Arial Narrow"/>
                <w:iCs/>
                <w:color w:val="auto"/>
                <w:sz w:val="20"/>
                <w:szCs w:val="20"/>
                <w:shd w:val="clear" w:color="auto" w:fill="auto"/>
                <w:lang w:val="en-GB"/>
              </w:rPr>
              <w:t>time period</w:t>
            </w:r>
            <w:proofErr w:type="gramEnd"/>
            <w:r w:rsidRPr="002814E3">
              <w:rPr>
                <w:rStyle w:val="InstructionsTextChar"/>
                <w:rFonts w:ascii="Arial Narrow" w:eastAsia="MS Gothic" w:hAnsi="Arial Narrow"/>
                <w:iCs/>
                <w:color w:val="auto"/>
                <w:sz w:val="20"/>
                <w:szCs w:val="20"/>
                <w:shd w:val="clear" w:color="auto" w:fill="auto"/>
                <w:lang w:val="en-GB"/>
              </w:rPr>
              <w:t xml:space="preserve"> (from time t=0 to 24 hours; AUC0-24).</w:t>
            </w:r>
          </w:p>
        </w:tc>
      </w:tr>
      <w:tr w:rsidR="00B46C9C" w14:paraId="1C3232B3" w14:textId="77777777" w:rsidTr="001B54CC">
        <w:trPr>
          <w:cantSplit/>
          <w:trHeight w:val="536"/>
        </w:trPr>
        <w:tc>
          <w:tcPr>
            <w:tcW w:w="9702" w:type="dxa"/>
            <w:gridSpan w:val="2"/>
            <w:tcBorders>
              <w:top w:val="single" w:sz="4" w:space="0" w:color="auto"/>
              <w:bottom w:val="single" w:sz="4" w:space="0" w:color="auto"/>
            </w:tcBorders>
            <w:shd w:val="clear" w:color="auto" w:fill="auto"/>
          </w:tcPr>
          <w:p w14:paraId="5DC41D40" w14:textId="77777777" w:rsidR="00B46C9C" w:rsidRDefault="00AE205D">
            <w:pPr>
              <w:pStyle w:val="TblTextLeft"/>
              <w:rPr>
                <w:iCs/>
                <w:lang w:val="en-GB"/>
              </w:rPr>
            </w:pPr>
            <w:r>
              <w:rPr>
                <w:lang w:val="en-GB"/>
              </w:rPr>
              <w:lastRenderedPageBreak/>
              <w:t>Secondary population:</w:t>
            </w:r>
          </w:p>
          <w:p w14:paraId="47A30E8B" w14:textId="77777777" w:rsidR="00B46C9C" w:rsidRDefault="00AE205D">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Annualized rate of change in the 9-HPT from baseline to Week 104.</w:t>
            </w:r>
          </w:p>
          <w:p w14:paraId="5571D2B8" w14:textId="77777777" w:rsidR="00B46C9C" w:rsidRDefault="00AE205D">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Change in 25FWT from baseline to Week 104 (in participants able to walk at baseline).</w:t>
            </w:r>
          </w:p>
          <w:p w14:paraId="0AADD016" w14:textId="77777777" w:rsidR="00B46C9C" w:rsidRDefault="00AE205D">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Change in the neurological examination of the FARS from baseline to Week 104.</w:t>
            </w:r>
          </w:p>
          <w:p w14:paraId="49149D68" w14:textId="77777777" w:rsidR="00B46C9C" w:rsidRDefault="00AE205D">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Changes from baseline to Week 104 in the following:</w:t>
            </w:r>
          </w:p>
          <w:p w14:paraId="36E76836" w14:textId="77777777" w:rsidR="00B46C9C" w:rsidRDefault="00AE205D">
            <w:pPr>
              <w:pStyle w:val="TblTextLeft"/>
              <w:numPr>
                <w:ilvl w:val="0"/>
                <w:numId w:val="24"/>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Assessment of AEs and concomitant medication</w:t>
            </w:r>
          </w:p>
          <w:p w14:paraId="6695B9C1" w14:textId="77777777" w:rsidR="00B46C9C" w:rsidRDefault="00AE205D">
            <w:pPr>
              <w:pStyle w:val="TblTextLeft"/>
              <w:numPr>
                <w:ilvl w:val="0"/>
                <w:numId w:val="24"/>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Neurological examination</w:t>
            </w:r>
          </w:p>
          <w:p w14:paraId="19040EA9" w14:textId="77777777" w:rsidR="00B46C9C" w:rsidRDefault="00AE205D">
            <w:pPr>
              <w:pStyle w:val="TblTextLeft"/>
              <w:numPr>
                <w:ilvl w:val="0"/>
                <w:numId w:val="24"/>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Ophthalmological examination</w:t>
            </w:r>
          </w:p>
          <w:p w14:paraId="4BB3324D" w14:textId="77777777" w:rsidR="00B46C9C" w:rsidRDefault="00AE205D">
            <w:pPr>
              <w:pStyle w:val="TblTextLeft"/>
              <w:numPr>
                <w:ilvl w:val="0"/>
                <w:numId w:val="24"/>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Vital signs</w:t>
            </w:r>
          </w:p>
          <w:p w14:paraId="349D83B3" w14:textId="77777777" w:rsidR="00B46C9C" w:rsidRDefault="00AE205D">
            <w:pPr>
              <w:pStyle w:val="TblTextLeft"/>
              <w:numPr>
                <w:ilvl w:val="0"/>
                <w:numId w:val="24"/>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 xml:space="preserve">Clinical laboratory evaluations including </w:t>
            </w:r>
            <w:proofErr w:type="spellStart"/>
            <w:r>
              <w:rPr>
                <w:rStyle w:val="InstructionsTextChar"/>
                <w:rFonts w:eastAsia="MS Gothic"/>
                <w:iCs/>
                <w:color w:val="auto"/>
                <w:sz w:val="20"/>
                <w:szCs w:val="20"/>
                <w:shd w:val="clear" w:color="auto" w:fill="auto"/>
                <w:lang w:val="en-GB"/>
              </w:rPr>
              <w:t>hematology</w:t>
            </w:r>
            <w:proofErr w:type="spellEnd"/>
            <w:r>
              <w:rPr>
                <w:rStyle w:val="InstructionsTextChar"/>
                <w:rFonts w:eastAsia="MS Gothic"/>
                <w:iCs/>
                <w:color w:val="auto"/>
                <w:sz w:val="20"/>
                <w:szCs w:val="20"/>
                <w:shd w:val="clear" w:color="auto" w:fill="auto"/>
                <w:lang w:val="en-GB"/>
              </w:rPr>
              <w:t>, biochemistry, urinalysis, and serology</w:t>
            </w:r>
          </w:p>
          <w:p w14:paraId="19D227B2" w14:textId="77777777" w:rsidR="00B46C9C" w:rsidRDefault="00AE205D">
            <w:pPr>
              <w:pStyle w:val="TblTextLeft"/>
              <w:numPr>
                <w:ilvl w:val="0"/>
                <w:numId w:val="24"/>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ECG</w:t>
            </w:r>
          </w:p>
          <w:p w14:paraId="2E499DF3" w14:textId="77777777" w:rsidR="00B46C9C" w:rsidRDefault="00AE205D">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 xml:space="preserve">Plasma and CSF </w:t>
            </w:r>
            <w:proofErr w:type="spellStart"/>
            <w:r>
              <w:rPr>
                <w:rStyle w:val="InstructionsTextChar"/>
                <w:rFonts w:eastAsia="MS Gothic"/>
                <w:iCs/>
                <w:color w:val="auto"/>
                <w:sz w:val="20"/>
                <w:szCs w:val="20"/>
                <w:shd w:val="clear" w:color="auto" w:fill="auto"/>
                <w:lang w:val="en-GB"/>
              </w:rPr>
              <w:t>venglustat</w:t>
            </w:r>
            <w:proofErr w:type="spellEnd"/>
            <w:r>
              <w:rPr>
                <w:rStyle w:val="InstructionsTextChar"/>
                <w:rFonts w:eastAsia="MS Gothic"/>
                <w:iCs/>
                <w:color w:val="auto"/>
                <w:sz w:val="20"/>
                <w:szCs w:val="20"/>
                <w:shd w:val="clear" w:color="auto" w:fill="auto"/>
                <w:lang w:val="en-GB"/>
              </w:rPr>
              <w:t xml:space="preserve"> concentrations over the study duration and plasma PK parameters (when applicable) including </w:t>
            </w:r>
            <w:proofErr w:type="spellStart"/>
            <w:r>
              <w:rPr>
                <w:rStyle w:val="InstructionsTextChar"/>
                <w:rFonts w:eastAsia="MS Gothic"/>
                <w:iCs/>
                <w:color w:val="auto"/>
                <w:sz w:val="20"/>
                <w:szCs w:val="20"/>
                <w:shd w:val="clear" w:color="auto" w:fill="auto"/>
                <w:lang w:val="en-GB"/>
              </w:rPr>
              <w:t>C</w:t>
            </w:r>
            <w:r w:rsidRPr="00391B8D">
              <w:rPr>
                <w:rStyle w:val="InstructionsTextChar"/>
                <w:rFonts w:eastAsia="MS Gothic"/>
                <w:iCs/>
                <w:color w:val="auto"/>
                <w:sz w:val="20"/>
                <w:szCs w:val="20"/>
                <w:shd w:val="clear" w:color="auto" w:fill="auto"/>
                <w:vertAlign w:val="subscript"/>
                <w:lang w:val="en-GB"/>
              </w:rPr>
              <w:t>max</w:t>
            </w:r>
            <w:proofErr w:type="spellEnd"/>
            <w:r>
              <w:rPr>
                <w:rStyle w:val="InstructionsTextChar"/>
                <w:rFonts w:eastAsia="MS Gothic"/>
                <w:iCs/>
                <w:color w:val="auto"/>
                <w:sz w:val="20"/>
                <w:szCs w:val="20"/>
                <w:shd w:val="clear" w:color="auto" w:fill="auto"/>
                <w:lang w:val="en-GB"/>
              </w:rPr>
              <w:t xml:space="preserve">, </w:t>
            </w:r>
            <w:proofErr w:type="spellStart"/>
            <w:r>
              <w:rPr>
                <w:rStyle w:val="InstructionsTextChar"/>
                <w:rFonts w:eastAsia="MS Gothic"/>
                <w:iCs/>
                <w:color w:val="auto"/>
                <w:sz w:val="20"/>
                <w:szCs w:val="20"/>
                <w:shd w:val="clear" w:color="auto" w:fill="auto"/>
                <w:lang w:val="en-GB"/>
              </w:rPr>
              <w:t>t</w:t>
            </w:r>
            <w:r w:rsidRPr="00391B8D">
              <w:rPr>
                <w:rStyle w:val="InstructionsTextChar"/>
                <w:rFonts w:eastAsia="MS Gothic"/>
                <w:iCs/>
                <w:color w:val="auto"/>
                <w:sz w:val="20"/>
                <w:szCs w:val="20"/>
                <w:shd w:val="clear" w:color="auto" w:fill="auto"/>
                <w:vertAlign w:val="subscript"/>
                <w:lang w:val="en-GB"/>
              </w:rPr>
              <w:t>max</w:t>
            </w:r>
            <w:proofErr w:type="spellEnd"/>
            <w:r>
              <w:rPr>
                <w:rStyle w:val="InstructionsTextChar"/>
                <w:rFonts w:eastAsia="MS Gothic"/>
                <w:iCs/>
                <w:color w:val="auto"/>
                <w:sz w:val="20"/>
                <w:szCs w:val="20"/>
                <w:shd w:val="clear" w:color="auto" w:fill="auto"/>
                <w:lang w:val="en-GB"/>
              </w:rPr>
              <w:t>, and AUC0-24 calculated using the trapezoidal method.</w:t>
            </w:r>
          </w:p>
          <w:p w14:paraId="593D354A" w14:textId="3DB4C1E2" w:rsidR="00B46C9C" w:rsidRDefault="00AE205D">
            <w:pPr>
              <w:pStyle w:val="TblTextLeft"/>
              <w:numPr>
                <w:ilvl w:val="0"/>
                <w:numId w:val="22"/>
              </w:numPr>
              <w:rPr>
                <w:rStyle w:val="InstructionsTextChar"/>
                <w:rFonts w:eastAsia="MS Gothic"/>
                <w:iCs/>
                <w:color w:val="auto"/>
                <w:sz w:val="20"/>
                <w:szCs w:val="20"/>
                <w:shd w:val="clear" w:color="auto" w:fill="auto"/>
                <w:lang w:val="en-GB"/>
              </w:rPr>
            </w:pPr>
            <w:r>
              <w:rPr>
                <w:rStyle w:val="InstructionsTextChar"/>
                <w:rFonts w:eastAsia="MS Gothic"/>
                <w:iCs/>
                <w:color w:val="auto"/>
                <w:sz w:val="20"/>
                <w:szCs w:val="20"/>
                <w:shd w:val="clear" w:color="auto" w:fill="auto"/>
                <w:lang w:val="en-GB"/>
              </w:rPr>
              <w:t>Acceptability and palatability assessments</w:t>
            </w:r>
            <w:r w:rsidR="00BC6478">
              <w:rPr>
                <w:rStyle w:val="InstructionsTextChar"/>
                <w:rFonts w:eastAsia="MS Gothic"/>
                <w:iCs/>
                <w:color w:val="auto"/>
                <w:sz w:val="20"/>
                <w:szCs w:val="20"/>
                <w:shd w:val="clear" w:color="auto" w:fill="auto"/>
                <w:lang w:val="en-GB"/>
              </w:rPr>
              <w:t>.</w:t>
            </w:r>
          </w:p>
        </w:tc>
      </w:tr>
      <w:tr w:rsidR="001B54CC" w14:paraId="2EDC143B" w14:textId="77777777" w:rsidTr="00A41351">
        <w:trPr>
          <w:cantSplit/>
          <w:trHeight w:val="536"/>
        </w:trPr>
        <w:tc>
          <w:tcPr>
            <w:tcW w:w="9702" w:type="dxa"/>
            <w:gridSpan w:val="2"/>
            <w:tcBorders>
              <w:top w:val="single" w:sz="4" w:space="0" w:color="auto"/>
              <w:bottom w:val="single" w:sz="4" w:space="0" w:color="auto"/>
            </w:tcBorders>
            <w:shd w:val="clear" w:color="auto" w:fill="auto"/>
          </w:tcPr>
          <w:p w14:paraId="57C80FF8" w14:textId="77777777" w:rsidR="001B54CC" w:rsidRDefault="001B54CC">
            <w:pPr>
              <w:pStyle w:val="TblTextLeft"/>
              <w:rPr>
                <w:b/>
                <w:bCs/>
                <w:lang w:val="en-GB"/>
              </w:rPr>
            </w:pPr>
            <w:r w:rsidRPr="001B54CC">
              <w:rPr>
                <w:b/>
                <w:bCs/>
                <w:lang w:val="en-GB"/>
              </w:rPr>
              <w:t>Statistical methods:</w:t>
            </w:r>
          </w:p>
          <w:p w14:paraId="721C4A31" w14:textId="77777777" w:rsidR="00B113CE" w:rsidRDefault="00B113CE" w:rsidP="001B54CC">
            <w:pPr>
              <w:pStyle w:val="TblTextLeft"/>
              <w:rPr>
                <w:bCs/>
                <w:iCs/>
              </w:rPr>
            </w:pPr>
            <w:r w:rsidRPr="00B113CE">
              <w:rPr>
                <w:bCs/>
                <w:iCs/>
              </w:rPr>
              <w:t xml:space="preserve">A detailed description of the planned statistical methods is provided in the statistical analysis plan. </w:t>
            </w:r>
          </w:p>
          <w:p w14:paraId="2C7E97DA" w14:textId="58A5F7B2" w:rsidR="001B54CC" w:rsidRDefault="001B54CC" w:rsidP="001B54CC">
            <w:pPr>
              <w:pStyle w:val="TblTextLeft"/>
              <w:rPr>
                <w:bCs/>
                <w:iCs/>
                <w:lang w:val="en-GB"/>
              </w:rPr>
            </w:pPr>
            <w:r>
              <w:rPr>
                <w:bCs/>
                <w:iCs/>
                <w:lang w:val="en-GB"/>
              </w:rPr>
              <w:t xml:space="preserve">In general, continuous data were summarized using the number of observations available, mean, standard deviation (SD), median, (Q1, Q3) minimum, and maximum. Categorical and ordinal data was summarized using the count and percentage of participants. </w:t>
            </w:r>
          </w:p>
          <w:p w14:paraId="0F9445E3" w14:textId="77777777" w:rsidR="001B54CC" w:rsidRDefault="001B54CC" w:rsidP="001B54CC">
            <w:pPr>
              <w:pStyle w:val="TblTextLeft"/>
              <w:rPr>
                <w:bCs/>
                <w:iCs/>
                <w:lang w:val="en-GB"/>
              </w:rPr>
            </w:pPr>
            <w:r>
              <w:rPr>
                <w:bCs/>
                <w:iCs/>
                <w:lang w:val="en-GB"/>
              </w:rPr>
              <w:t xml:space="preserve">The baseline value was defined as the last available value before or equal to the first dose of investigational medicinal product (IMP) date in the primary analysis period. For participants randomized but not exposed, the baseline value was defined as the last available value before or equal to the date of randomization. </w:t>
            </w:r>
          </w:p>
          <w:p w14:paraId="4649D813" w14:textId="1AD4221E" w:rsidR="001B54CC" w:rsidRDefault="001B54CC" w:rsidP="001B54CC">
            <w:pPr>
              <w:pStyle w:val="TblTextLeft"/>
              <w:rPr>
                <w:bCs/>
                <w:iCs/>
                <w:lang w:val="en-GB"/>
              </w:rPr>
            </w:pPr>
            <w:r>
              <w:rPr>
                <w:bCs/>
                <w:iCs/>
                <w:lang w:val="en-GB"/>
              </w:rPr>
              <w:t xml:space="preserve">Unless otherwise specified, analyses were performed by intervention group (and </w:t>
            </w:r>
            <w:r w:rsidR="00692BE3">
              <w:rPr>
                <w:bCs/>
                <w:iCs/>
                <w:lang w:val="en-GB"/>
              </w:rPr>
              <w:t>overall,</w:t>
            </w:r>
            <w:r>
              <w:rPr>
                <w:bCs/>
                <w:iCs/>
                <w:lang w:val="en-GB"/>
              </w:rPr>
              <w:t xml:space="preserve"> for baseline and demographics characteristics).</w:t>
            </w:r>
          </w:p>
          <w:p w14:paraId="5A823329" w14:textId="77777777" w:rsidR="001B54CC" w:rsidRDefault="001B54CC" w:rsidP="001B54CC">
            <w:pPr>
              <w:pStyle w:val="TblTextLeft"/>
              <w:rPr>
                <w:bCs/>
                <w:iCs/>
                <w:lang w:val="en-GB"/>
              </w:rPr>
            </w:pPr>
            <w:r>
              <w:rPr>
                <w:bCs/>
                <w:iCs/>
                <w:lang w:val="en-GB"/>
              </w:rPr>
              <w:t xml:space="preserve">The two analysis periods were: </w:t>
            </w:r>
          </w:p>
          <w:p w14:paraId="4FF19FF5" w14:textId="77777777" w:rsidR="001B54CC" w:rsidRDefault="001B54CC" w:rsidP="001B54CC">
            <w:pPr>
              <w:pStyle w:val="TblTextLeft"/>
              <w:numPr>
                <w:ilvl w:val="0"/>
                <w:numId w:val="27"/>
              </w:numPr>
              <w:rPr>
                <w:bCs/>
                <w:iCs/>
                <w:lang w:val="en-GB"/>
              </w:rPr>
            </w:pPr>
            <w:r>
              <w:rPr>
                <w:bCs/>
                <w:iCs/>
                <w:lang w:val="en-GB"/>
              </w:rPr>
              <w:t xml:space="preserve">The </w:t>
            </w:r>
            <w:r>
              <w:rPr>
                <w:b/>
                <w:iCs/>
                <w:u w:val="single"/>
                <w:lang w:val="en-GB"/>
              </w:rPr>
              <w:t>primary analysis period</w:t>
            </w:r>
            <w:r>
              <w:rPr>
                <w:bCs/>
                <w:iCs/>
                <w:lang w:val="en-GB"/>
              </w:rPr>
              <w:t xml:space="preserve"> was defined as the period starting at the date of signed informed consent, and ending at the end of Week 104 visit, or the day before the first IMP OLE administration (whichever came last). For participants not exposed to IMP in the OLE, the primary analysis period ended at the date of end of study. </w:t>
            </w:r>
          </w:p>
          <w:p w14:paraId="039261B5" w14:textId="77777777" w:rsidR="001B54CC" w:rsidRDefault="001B54CC" w:rsidP="001B54CC">
            <w:pPr>
              <w:pStyle w:val="TblTextLeft"/>
              <w:numPr>
                <w:ilvl w:val="0"/>
                <w:numId w:val="27"/>
              </w:numPr>
              <w:rPr>
                <w:bCs/>
                <w:iCs/>
                <w:lang w:val="en-GB"/>
              </w:rPr>
            </w:pPr>
            <w:r>
              <w:rPr>
                <w:bCs/>
                <w:iCs/>
                <w:lang w:val="en-GB"/>
              </w:rPr>
              <w:t xml:space="preserve">The </w:t>
            </w:r>
            <w:r>
              <w:rPr>
                <w:b/>
                <w:iCs/>
                <w:u w:val="single"/>
                <w:lang w:val="en-GB"/>
              </w:rPr>
              <w:t>OLE period</w:t>
            </w:r>
            <w:r>
              <w:rPr>
                <w:bCs/>
                <w:iCs/>
                <w:lang w:val="en-GB"/>
              </w:rPr>
              <w:t xml:space="preserve"> (only for participants exposed to IMP in the OLE) was defined as the period starting the day after the end of primary analysis period, until the end of the study.</w:t>
            </w:r>
          </w:p>
          <w:p w14:paraId="50D29B2B" w14:textId="45C1FE63" w:rsidR="001B54CC" w:rsidRDefault="00BC6478">
            <w:pPr>
              <w:pStyle w:val="TblTextLeft"/>
              <w:rPr>
                <w:bCs/>
                <w:iCs/>
                <w:lang w:val="en-GB"/>
              </w:rPr>
            </w:pPr>
            <w:r>
              <w:rPr>
                <w:bCs/>
                <w:iCs/>
                <w:lang w:val="en-GB"/>
              </w:rPr>
              <w:t>The on-study observation period was defined as the time from the first administration of the IMP until the end of the study (defined as the last scheduled visit for those who completed the study, and the end-of-study date collected on the electronic case report form [e-CRF] page “Completion of End of Study” for those who did not complete the study). If death was the end-of-study reason, date of death was used.</w:t>
            </w:r>
          </w:p>
          <w:p w14:paraId="45E9A141" w14:textId="4900D3EC" w:rsidR="00BC6478" w:rsidRPr="001B54CC" w:rsidRDefault="00BC6478">
            <w:pPr>
              <w:pStyle w:val="TblTextLeft"/>
              <w:rPr>
                <w:bCs/>
                <w:iCs/>
                <w:lang w:val="en-GB"/>
              </w:rPr>
            </w:pPr>
          </w:p>
        </w:tc>
      </w:tr>
      <w:tr w:rsidR="00B46C9C" w14:paraId="3FC5B77D" w14:textId="77777777" w:rsidTr="00A41351">
        <w:trPr>
          <w:cantSplit/>
          <w:trHeight w:val="665"/>
        </w:trPr>
        <w:tc>
          <w:tcPr>
            <w:tcW w:w="9702" w:type="dxa"/>
            <w:gridSpan w:val="2"/>
            <w:tcBorders>
              <w:bottom w:val="single" w:sz="4" w:space="0" w:color="auto"/>
            </w:tcBorders>
            <w:shd w:val="clear" w:color="auto" w:fill="auto"/>
          </w:tcPr>
          <w:p w14:paraId="609B70B8" w14:textId="77777777" w:rsidR="00B46C9C" w:rsidRDefault="00AE205D">
            <w:pPr>
              <w:pStyle w:val="TblTextLeft"/>
              <w:rPr>
                <w:b/>
                <w:iCs/>
                <w:lang w:val="en-GB"/>
              </w:rPr>
            </w:pPr>
            <w:r>
              <w:rPr>
                <w:b/>
                <w:iCs/>
                <w:lang w:val="en-GB"/>
              </w:rPr>
              <w:lastRenderedPageBreak/>
              <w:t>Efficacy analyses</w:t>
            </w:r>
          </w:p>
          <w:p w14:paraId="46403050" w14:textId="77777777" w:rsidR="00B46C9C" w:rsidRDefault="00AE205D">
            <w:pPr>
              <w:pStyle w:val="TblTextLeft"/>
              <w:rPr>
                <w:rStyle w:val="InstructionsTextChar"/>
                <w:lang w:val="en-GB"/>
              </w:rPr>
            </w:pPr>
            <w:r>
              <w:rPr>
                <w:bCs/>
                <w:iCs/>
                <w:lang w:val="en-GB"/>
              </w:rPr>
              <w:t>The efficacy analyses were as follows:</w:t>
            </w:r>
          </w:p>
          <w:tbl>
            <w:tblPr>
              <w:tblStyle w:val="TableGrid"/>
              <w:tblW w:w="0" w:type="auto"/>
              <w:tblLook w:val="04A0" w:firstRow="1" w:lastRow="0" w:firstColumn="1" w:lastColumn="0" w:noHBand="0" w:noVBand="1"/>
            </w:tblPr>
            <w:tblGrid>
              <w:gridCol w:w="1854"/>
              <w:gridCol w:w="7608"/>
            </w:tblGrid>
            <w:tr w:rsidR="00B46C9C" w14:paraId="042D9826" w14:textId="77777777">
              <w:tc>
                <w:tcPr>
                  <w:tcW w:w="1854" w:type="dxa"/>
                  <w:tcBorders>
                    <w:left w:val="nil"/>
                    <w:bottom w:val="single" w:sz="4" w:space="0" w:color="auto"/>
                    <w:right w:val="nil"/>
                  </w:tcBorders>
                </w:tcPr>
                <w:p w14:paraId="278A555D" w14:textId="77777777" w:rsidR="00B46C9C" w:rsidRDefault="00AE205D">
                  <w:pPr>
                    <w:pStyle w:val="TblTextLeft"/>
                    <w:rPr>
                      <w:b/>
                      <w:iCs/>
                      <w:lang w:val="en-GB"/>
                    </w:rPr>
                  </w:pPr>
                  <w:r>
                    <w:rPr>
                      <w:b/>
                      <w:iCs/>
                      <w:lang w:val="en-GB"/>
                    </w:rPr>
                    <w:t>Endpoint</w:t>
                  </w:r>
                </w:p>
              </w:tc>
              <w:tc>
                <w:tcPr>
                  <w:tcW w:w="7608" w:type="dxa"/>
                  <w:tcBorders>
                    <w:left w:val="nil"/>
                    <w:bottom w:val="single" w:sz="4" w:space="0" w:color="auto"/>
                    <w:right w:val="nil"/>
                  </w:tcBorders>
                </w:tcPr>
                <w:p w14:paraId="00F9A4A2" w14:textId="77777777" w:rsidR="00B46C9C" w:rsidRDefault="00AE205D">
                  <w:pPr>
                    <w:pStyle w:val="TblTextLeft"/>
                    <w:rPr>
                      <w:b/>
                      <w:iCs/>
                      <w:lang w:val="en-GB"/>
                    </w:rPr>
                  </w:pPr>
                  <w:r>
                    <w:rPr>
                      <w:b/>
                      <w:iCs/>
                      <w:lang w:val="en-GB"/>
                    </w:rPr>
                    <w:t>Statistical Analysis Methods</w:t>
                  </w:r>
                </w:p>
              </w:tc>
            </w:tr>
            <w:tr w:rsidR="00B46C9C" w14:paraId="318C8636" w14:textId="77777777">
              <w:tc>
                <w:tcPr>
                  <w:tcW w:w="1854" w:type="dxa"/>
                  <w:tcBorders>
                    <w:left w:val="nil"/>
                    <w:bottom w:val="single" w:sz="4" w:space="0" w:color="auto"/>
                    <w:right w:val="nil"/>
                  </w:tcBorders>
                </w:tcPr>
                <w:p w14:paraId="64328D3F" w14:textId="77777777" w:rsidR="00B46C9C" w:rsidRDefault="00AE205D">
                  <w:pPr>
                    <w:pStyle w:val="TblTextLeft"/>
                    <w:rPr>
                      <w:bCs/>
                      <w:iCs/>
                      <w:lang w:val="en-GB"/>
                    </w:rPr>
                  </w:pPr>
                  <w:r>
                    <w:rPr>
                      <w:bCs/>
                      <w:iCs/>
                      <w:lang w:val="en-GB"/>
                    </w:rPr>
                    <w:t>Primary</w:t>
                  </w:r>
                </w:p>
              </w:tc>
              <w:tc>
                <w:tcPr>
                  <w:tcW w:w="7608" w:type="dxa"/>
                  <w:tcBorders>
                    <w:left w:val="nil"/>
                    <w:bottom w:val="single" w:sz="4" w:space="0" w:color="auto"/>
                    <w:right w:val="nil"/>
                  </w:tcBorders>
                </w:tcPr>
                <w:p w14:paraId="02618C01" w14:textId="77777777" w:rsidR="00B46C9C" w:rsidRDefault="00AE205D">
                  <w:pPr>
                    <w:pStyle w:val="TblTextLeft"/>
                  </w:pPr>
                  <w:r>
                    <w:rPr>
                      <w:b/>
                      <w:iCs/>
                      <w:lang w:val="en-GB"/>
                    </w:rPr>
                    <w:t>Co-primary endpoint in the primary population:</w:t>
                  </w:r>
                  <w:r>
                    <w:t xml:space="preserve"> </w:t>
                  </w:r>
                </w:p>
                <w:p w14:paraId="7344BBFB" w14:textId="77777777" w:rsidR="00B46C9C" w:rsidRDefault="00AE205D">
                  <w:pPr>
                    <w:pStyle w:val="TblTextLeft"/>
                    <w:rPr>
                      <w:b/>
                      <w:iCs/>
                      <w:lang w:val="en-GB"/>
                    </w:rPr>
                  </w:pPr>
                  <w:r>
                    <w:rPr>
                      <w:b/>
                      <w:iCs/>
                      <w:lang w:val="en-GB"/>
                    </w:rPr>
                    <w:t xml:space="preserve">Percent change in CSF GM2 biomarker from baseline to Week 104 </w:t>
                  </w:r>
                </w:p>
                <w:p w14:paraId="2EEC802D" w14:textId="77777777" w:rsidR="00B46C9C" w:rsidRDefault="00AE205D">
                  <w:pPr>
                    <w:pStyle w:val="TblTextLeft"/>
                    <w:rPr>
                      <w:bCs/>
                      <w:iCs/>
                      <w:lang w:val="en-GB"/>
                    </w:rPr>
                  </w:pPr>
                  <w:r>
                    <w:rPr>
                      <w:bCs/>
                      <w:iCs/>
                      <w:lang w:val="en-GB"/>
                    </w:rPr>
                    <w:t xml:space="preserve">Percent change in CSF GM2 biomarker from baseline to Week 104 was </w:t>
                  </w:r>
                  <w:proofErr w:type="spellStart"/>
                  <w:r>
                    <w:rPr>
                      <w:bCs/>
                      <w:iCs/>
                      <w:lang w:val="en-GB"/>
                    </w:rPr>
                    <w:t>analyzed</w:t>
                  </w:r>
                  <w:proofErr w:type="spellEnd"/>
                  <w:r>
                    <w:rPr>
                      <w:bCs/>
                      <w:iCs/>
                      <w:lang w:val="en-GB"/>
                    </w:rPr>
                    <w:t xml:space="preserve"> using an ANCOVA including the fixed effect of treatment (</w:t>
                  </w:r>
                  <w:proofErr w:type="spellStart"/>
                  <w:r>
                    <w:rPr>
                      <w:bCs/>
                      <w:iCs/>
                      <w:lang w:val="en-GB"/>
                    </w:rPr>
                    <w:t>venglustat</w:t>
                  </w:r>
                  <w:proofErr w:type="spellEnd"/>
                  <w:r>
                    <w:rPr>
                      <w:bCs/>
                      <w:iCs/>
                      <w:lang w:val="en-GB"/>
                    </w:rPr>
                    <w:t xml:space="preserve"> vs placebo) and the continuous fixed covariate of baseline value.</w:t>
                  </w:r>
                </w:p>
                <w:p w14:paraId="41FE0FCB" w14:textId="77777777" w:rsidR="00B46C9C" w:rsidRDefault="00AE205D">
                  <w:pPr>
                    <w:pStyle w:val="TblTextLeft"/>
                    <w:rPr>
                      <w:b/>
                      <w:iCs/>
                      <w:lang w:val="en-GB"/>
                    </w:rPr>
                  </w:pPr>
                  <w:r>
                    <w:rPr>
                      <w:b/>
                      <w:iCs/>
                      <w:lang w:val="en-GB"/>
                    </w:rPr>
                    <w:t>Annualized rate of change in 9-HPT from baseline to Week 104</w:t>
                  </w:r>
                </w:p>
                <w:p w14:paraId="7D7DEB98" w14:textId="23A29516" w:rsidR="00B46C9C" w:rsidRDefault="00AE205D">
                  <w:pPr>
                    <w:pStyle w:val="TblTextLeft"/>
                    <w:rPr>
                      <w:bCs/>
                      <w:iCs/>
                      <w:lang w:val="en-GB"/>
                    </w:rPr>
                  </w:pPr>
                  <w:r>
                    <w:rPr>
                      <w:bCs/>
                      <w:iCs/>
                      <w:lang w:val="en-GB"/>
                    </w:rPr>
                    <w:t xml:space="preserve">Annualized rate of change in 9-HPT was compared between </w:t>
                  </w:r>
                  <w:proofErr w:type="spellStart"/>
                  <w:r>
                    <w:rPr>
                      <w:bCs/>
                      <w:iCs/>
                      <w:lang w:val="en-GB"/>
                    </w:rPr>
                    <w:t>venglustat</w:t>
                  </w:r>
                  <w:proofErr w:type="spellEnd"/>
                  <w:r>
                    <w:rPr>
                      <w:bCs/>
                      <w:iCs/>
                      <w:lang w:val="en-GB"/>
                    </w:rPr>
                    <w:t xml:space="preserve"> and placebo using a linear mixed-effect model.</w:t>
                  </w:r>
                </w:p>
                <w:p w14:paraId="73711ECC" w14:textId="46FE1CA0" w:rsidR="00B46C9C" w:rsidRDefault="00AE205D">
                  <w:pPr>
                    <w:pStyle w:val="TblTextLeft"/>
                    <w:rPr>
                      <w:bCs/>
                      <w:iCs/>
                      <w:lang w:val="en-GB"/>
                    </w:rPr>
                  </w:pPr>
                  <w:r>
                    <w:rPr>
                      <w:bCs/>
                      <w:iCs/>
                      <w:u w:val="single"/>
                      <w:lang w:val="en-GB"/>
                    </w:rPr>
                    <w:t>Multiplicity of primary endpoints</w:t>
                  </w:r>
                  <w:r>
                    <w:rPr>
                      <w:bCs/>
                      <w:iCs/>
                      <w:lang w:val="en-GB"/>
                    </w:rPr>
                    <w:t>: No adjustment for multiplicity was considered for the co-primary endpoints (percent change in CSF GM2 biomarker from baseline to Week 104 and annualized rate of change in 9-HPT) since it was necessary to demonstrate an effect on both co-primary endpoints to conclude to efficacy</w:t>
                  </w:r>
                  <w:r w:rsidR="009D326E">
                    <w:rPr>
                      <w:bCs/>
                      <w:iCs/>
                      <w:lang w:val="en-GB"/>
                    </w:rPr>
                    <w:t>.</w:t>
                  </w:r>
                </w:p>
                <w:p w14:paraId="55B76E45" w14:textId="77777777" w:rsidR="00B46C9C" w:rsidRDefault="00AE205D">
                  <w:pPr>
                    <w:pStyle w:val="TblTextLeft"/>
                    <w:rPr>
                      <w:bCs/>
                      <w:iCs/>
                      <w:lang w:val="en-GB"/>
                    </w:rPr>
                  </w:pPr>
                  <w:r>
                    <w:rPr>
                      <w:b/>
                      <w:iCs/>
                      <w:lang w:val="en-GB"/>
                    </w:rPr>
                    <w:t>Primary endpoints in the secondary population</w:t>
                  </w:r>
                  <w:r>
                    <w:rPr>
                      <w:bCs/>
                      <w:iCs/>
                      <w:lang w:val="en-GB"/>
                    </w:rPr>
                    <w:t xml:space="preserve">: </w:t>
                  </w:r>
                </w:p>
                <w:p w14:paraId="5FC52DDE" w14:textId="10C7C9B4" w:rsidR="009D326E" w:rsidRDefault="00AE205D">
                  <w:pPr>
                    <w:pStyle w:val="TblTextLeft"/>
                    <w:rPr>
                      <w:bCs/>
                      <w:iCs/>
                      <w:lang w:val="en-GB"/>
                    </w:rPr>
                  </w:pPr>
                  <w:r>
                    <w:rPr>
                      <w:bCs/>
                      <w:iCs/>
                      <w:lang w:val="en-GB"/>
                    </w:rPr>
                    <w:t>Plasma and CSF GL 1 biomarker and pathway specific biomarkers in the secondary population were summarized descriptively with individual plots and listings. No formal comparison was performed in the secondary population.</w:t>
                  </w:r>
                </w:p>
                <w:p w14:paraId="790E3823" w14:textId="77777777" w:rsidR="009D326E" w:rsidRDefault="009D326E">
                  <w:pPr>
                    <w:pStyle w:val="TblTextLeft"/>
                    <w:rPr>
                      <w:bCs/>
                      <w:iCs/>
                      <w:lang w:val="en-GB"/>
                    </w:rPr>
                  </w:pPr>
                </w:p>
              </w:tc>
            </w:tr>
            <w:tr w:rsidR="00B46C9C" w14:paraId="10252093" w14:textId="77777777">
              <w:tc>
                <w:tcPr>
                  <w:tcW w:w="1854" w:type="dxa"/>
                  <w:tcBorders>
                    <w:left w:val="nil"/>
                    <w:right w:val="nil"/>
                  </w:tcBorders>
                </w:tcPr>
                <w:p w14:paraId="770583E1" w14:textId="77777777" w:rsidR="00B46C9C" w:rsidRDefault="00AE205D">
                  <w:pPr>
                    <w:pStyle w:val="TblTextLeft"/>
                    <w:rPr>
                      <w:bCs/>
                      <w:iCs/>
                      <w:lang w:val="en-GB"/>
                    </w:rPr>
                  </w:pPr>
                  <w:r>
                    <w:rPr>
                      <w:bCs/>
                      <w:iCs/>
                      <w:lang w:val="en-GB"/>
                    </w:rPr>
                    <w:t>Secondary</w:t>
                  </w:r>
                </w:p>
              </w:tc>
              <w:tc>
                <w:tcPr>
                  <w:tcW w:w="7608" w:type="dxa"/>
                  <w:tcBorders>
                    <w:left w:val="nil"/>
                    <w:right w:val="nil"/>
                  </w:tcBorders>
                </w:tcPr>
                <w:p w14:paraId="29A14CC5" w14:textId="77777777" w:rsidR="00B46C9C" w:rsidRDefault="00AE205D">
                  <w:pPr>
                    <w:pStyle w:val="TblTextLeft"/>
                    <w:rPr>
                      <w:b/>
                      <w:iCs/>
                      <w:lang w:val="en-GB"/>
                    </w:rPr>
                  </w:pPr>
                  <w:r>
                    <w:rPr>
                      <w:b/>
                      <w:iCs/>
                      <w:lang w:val="en-GB"/>
                    </w:rPr>
                    <w:t>Change in the neurological examination of the FARS from baseline to Week 104</w:t>
                  </w:r>
                </w:p>
                <w:p w14:paraId="2C0AE920" w14:textId="77777777" w:rsidR="00B46C9C" w:rsidRDefault="00AE205D">
                  <w:pPr>
                    <w:pStyle w:val="TblTextLeft"/>
                    <w:rPr>
                      <w:bCs/>
                      <w:iCs/>
                      <w:lang w:val="en-GB"/>
                    </w:rPr>
                  </w:pPr>
                  <w:r>
                    <w:rPr>
                      <w:bCs/>
                      <w:iCs/>
                      <w:lang w:val="en-GB"/>
                    </w:rPr>
                    <w:t xml:space="preserve">Change in the neurological examination of the FARS was compared between </w:t>
                  </w:r>
                  <w:proofErr w:type="spellStart"/>
                  <w:r>
                    <w:rPr>
                      <w:bCs/>
                      <w:iCs/>
                      <w:lang w:val="en-GB"/>
                    </w:rPr>
                    <w:t>venglustat</w:t>
                  </w:r>
                  <w:proofErr w:type="spellEnd"/>
                  <w:r>
                    <w:rPr>
                      <w:bCs/>
                      <w:iCs/>
                      <w:lang w:val="en-GB"/>
                    </w:rPr>
                    <w:t xml:space="preserve"> and placebo using the same statistical model described for the primary analysis of 9-HPT. A noninformative prior information was used in this analysis.</w:t>
                  </w:r>
                </w:p>
                <w:p w14:paraId="65FE69E0" w14:textId="77777777" w:rsidR="0080226C" w:rsidRDefault="0080226C" w:rsidP="0080226C">
                  <w:pPr>
                    <w:pStyle w:val="TblTextLeft"/>
                    <w:rPr>
                      <w:b/>
                      <w:iCs/>
                      <w:lang w:val="en-GB"/>
                    </w:rPr>
                  </w:pPr>
                  <w:r>
                    <w:rPr>
                      <w:b/>
                      <w:iCs/>
                      <w:lang w:val="en-GB"/>
                    </w:rPr>
                    <w:t>Change in the neurological examination of the 25-FWT from baseline to Week 104</w:t>
                  </w:r>
                </w:p>
                <w:p w14:paraId="091DB94D" w14:textId="426E90FB" w:rsidR="0080226C" w:rsidRDefault="0080226C" w:rsidP="0080226C">
                  <w:pPr>
                    <w:pStyle w:val="TblTextLeft"/>
                    <w:rPr>
                      <w:lang w:val="en-GB"/>
                    </w:rPr>
                  </w:pPr>
                  <w:r w:rsidRPr="0080226C">
                    <w:rPr>
                      <w:lang w:val="en-GB"/>
                    </w:rPr>
                    <w:t xml:space="preserve">Change in 25FWT </w:t>
                  </w:r>
                  <w:r>
                    <w:rPr>
                      <w:lang w:val="en-GB"/>
                    </w:rPr>
                    <w:t>was</w:t>
                  </w:r>
                  <w:r w:rsidRPr="0080226C">
                    <w:rPr>
                      <w:lang w:val="en-GB"/>
                    </w:rPr>
                    <w:t xml:space="preserve"> </w:t>
                  </w:r>
                  <w:proofErr w:type="spellStart"/>
                  <w:r w:rsidRPr="0080226C">
                    <w:rPr>
                      <w:lang w:val="en-GB"/>
                    </w:rPr>
                    <w:t>analyzed</w:t>
                  </w:r>
                  <w:proofErr w:type="spellEnd"/>
                  <w:r w:rsidRPr="0080226C">
                    <w:rPr>
                      <w:lang w:val="en-GB"/>
                    </w:rPr>
                    <w:t xml:space="preserve"> only in participants able to walk at baseline. Participants</w:t>
                  </w:r>
                  <w:r>
                    <w:rPr>
                      <w:lang w:val="en-GB"/>
                    </w:rPr>
                    <w:t xml:space="preserve"> </w:t>
                  </w:r>
                  <w:r w:rsidRPr="0080226C">
                    <w:rPr>
                      <w:lang w:val="en-GB"/>
                    </w:rPr>
                    <w:t>unable to complete the 25FWT at baseline w</w:t>
                  </w:r>
                  <w:r>
                    <w:rPr>
                      <w:lang w:val="en-GB"/>
                    </w:rPr>
                    <w:t>ere</w:t>
                  </w:r>
                  <w:r w:rsidRPr="0080226C">
                    <w:rPr>
                      <w:lang w:val="en-GB"/>
                    </w:rPr>
                    <w:t xml:space="preserve"> excluded from this analysis. To ensure balanced</w:t>
                  </w:r>
                  <w:r>
                    <w:rPr>
                      <w:lang w:val="en-GB"/>
                    </w:rPr>
                    <w:t xml:space="preserve"> </w:t>
                  </w:r>
                  <w:r w:rsidRPr="0080226C">
                    <w:rPr>
                      <w:lang w:val="en-GB"/>
                    </w:rPr>
                    <w:t>randomization of subjects able to walk at baseline, the randomization w</w:t>
                  </w:r>
                  <w:r>
                    <w:rPr>
                      <w:lang w:val="en-GB"/>
                    </w:rPr>
                    <w:t>as</w:t>
                  </w:r>
                  <w:r w:rsidRPr="0080226C">
                    <w:rPr>
                      <w:lang w:val="en-GB"/>
                    </w:rPr>
                    <w:t xml:space="preserve"> stratified based on</w:t>
                  </w:r>
                  <w:r>
                    <w:rPr>
                      <w:lang w:val="en-GB"/>
                    </w:rPr>
                    <w:t xml:space="preserve"> </w:t>
                  </w:r>
                  <w:r w:rsidRPr="0080226C">
                    <w:rPr>
                      <w:lang w:val="en-GB"/>
                    </w:rPr>
                    <w:t>the participant’s ability to walk at the baseline visit.</w:t>
                  </w:r>
                </w:p>
                <w:p w14:paraId="438F607E" w14:textId="4351F908" w:rsidR="0080226C" w:rsidRPr="0080226C" w:rsidRDefault="0080226C" w:rsidP="0080226C">
                  <w:pPr>
                    <w:pStyle w:val="TblTextLeft"/>
                    <w:rPr>
                      <w:bCs/>
                      <w:iCs/>
                      <w:lang w:val="en-GB"/>
                    </w:rPr>
                  </w:pPr>
                  <w:r>
                    <w:rPr>
                      <w:bCs/>
                      <w:iCs/>
                      <w:lang w:val="en-GB"/>
                    </w:rPr>
                    <w:t xml:space="preserve">Change in the 25-FWT was compared between </w:t>
                  </w:r>
                  <w:proofErr w:type="spellStart"/>
                  <w:r>
                    <w:rPr>
                      <w:bCs/>
                      <w:iCs/>
                      <w:lang w:val="en-GB"/>
                    </w:rPr>
                    <w:t>venglustat</w:t>
                  </w:r>
                  <w:proofErr w:type="spellEnd"/>
                  <w:r>
                    <w:rPr>
                      <w:bCs/>
                      <w:iCs/>
                      <w:lang w:val="en-GB"/>
                    </w:rPr>
                    <w:t xml:space="preserve"> and placebo using the same statistical model described for the primary analysis of 9-HPT. A noninformative prior information was used in this analysis.</w:t>
                  </w:r>
                </w:p>
                <w:p w14:paraId="399E3602" w14:textId="77777777" w:rsidR="00B46C9C" w:rsidRDefault="00AE205D">
                  <w:pPr>
                    <w:pStyle w:val="TblTextLeft"/>
                    <w:rPr>
                      <w:bCs/>
                      <w:iCs/>
                      <w:lang w:val="en-GB"/>
                    </w:rPr>
                  </w:pPr>
                  <w:r>
                    <w:rPr>
                      <w:bCs/>
                      <w:iCs/>
                      <w:u w:val="single"/>
                      <w:lang w:val="en-GB"/>
                    </w:rPr>
                    <w:t>Multiplicity of secondary endpoints</w:t>
                  </w:r>
                  <w:r>
                    <w:rPr>
                      <w:bCs/>
                      <w:iCs/>
                      <w:lang w:val="en-GB"/>
                    </w:rPr>
                    <w:t xml:space="preserve">: </w:t>
                  </w:r>
                  <w:proofErr w:type="gramStart"/>
                  <w:r>
                    <w:rPr>
                      <w:bCs/>
                      <w:iCs/>
                      <w:lang w:val="en-GB"/>
                    </w:rPr>
                    <w:t>In order to</w:t>
                  </w:r>
                  <w:proofErr w:type="gramEnd"/>
                  <w:r>
                    <w:rPr>
                      <w:bCs/>
                      <w:iCs/>
                      <w:lang w:val="en-GB"/>
                    </w:rPr>
                    <w:t xml:space="preserve"> handle multiple secondary endpoints, the overall type-I error was controlled by the use of a hierarchical approach. Statistical significance of the two co-primary endpoint was required before drawing inferential conclusions about first secondary endpoint. Inferential conclusions about successive secondary endpoints required statistical significance of the prior one This fixed hierarchical approach ensured a strong control of the overall type-I error rate.</w:t>
                  </w:r>
                </w:p>
                <w:p w14:paraId="058ACC36" w14:textId="77777777" w:rsidR="00B46C9C" w:rsidRDefault="00AE205D">
                  <w:pPr>
                    <w:pStyle w:val="TblTextLeft"/>
                    <w:rPr>
                      <w:b/>
                      <w:iCs/>
                      <w:lang w:val="en-GB"/>
                    </w:rPr>
                  </w:pPr>
                  <w:r>
                    <w:rPr>
                      <w:b/>
                      <w:iCs/>
                      <w:lang w:val="en-GB"/>
                    </w:rPr>
                    <w:t xml:space="preserve">Secondary endpoints in the secondary population: </w:t>
                  </w:r>
                </w:p>
                <w:p w14:paraId="38C8F328" w14:textId="77777777" w:rsidR="00B46C9C" w:rsidRDefault="00AE205D">
                  <w:pPr>
                    <w:pStyle w:val="TblTextLeft"/>
                    <w:rPr>
                      <w:bCs/>
                      <w:iCs/>
                      <w:lang w:val="en-GB"/>
                    </w:rPr>
                  </w:pPr>
                  <w:r>
                    <w:rPr>
                      <w:bCs/>
                      <w:iCs/>
                      <w:lang w:val="en-GB"/>
                    </w:rPr>
                    <w:t>Secondary endpoints in the secondary population were summarized descriptively with individual plots and listings. No formal comparison was performed in the secondary population.</w:t>
                  </w:r>
                </w:p>
              </w:tc>
            </w:tr>
          </w:tbl>
          <w:p w14:paraId="7B5F4F1C" w14:textId="77777777" w:rsidR="00B46C9C" w:rsidRDefault="00B46C9C">
            <w:pPr>
              <w:pStyle w:val="TblTextLeft"/>
              <w:rPr>
                <w:b/>
                <w:lang w:val="en-GB"/>
              </w:rPr>
            </w:pPr>
          </w:p>
          <w:p w14:paraId="126AEFB8" w14:textId="77777777" w:rsidR="00B46C9C" w:rsidRDefault="00AE205D">
            <w:pPr>
              <w:pStyle w:val="TblTextLeft"/>
              <w:rPr>
                <w:b/>
                <w:lang w:val="en-GB"/>
              </w:rPr>
            </w:pPr>
            <w:r>
              <w:rPr>
                <w:b/>
                <w:lang w:val="en-GB"/>
              </w:rPr>
              <w:lastRenderedPageBreak/>
              <w:t>Safety analyses</w:t>
            </w:r>
          </w:p>
          <w:p w14:paraId="2B7B13C7" w14:textId="77777777" w:rsidR="00B46C9C" w:rsidRDefault="00AE205D">
            <w:pPr>
              <w:pStyle w:val="TblTextLeft"/>
              <w:rPr>
                <w:bCs/>
                <w:lang w:val="en-GB"/>
              </w:rPr>
            </w:pPr>
            <w:r>
              <w:rPr>
                <w:bCs/>
                <w:lang w:val="en-GB"/>
              </w:rPr>
              <w:t>Primary safety analyses were performed on the primary safety population.</w:t>
            </w:r>
          </w:p>
          <w:p w14:paraId="2BB27A08" w14:textId="77777777" w:rsidR="00B46C9C" w:rsidRDefault="00AE205D">
            <w:pPr>
              <w:pStyle w:val="TblTextLeft"/>
              <w:rPr>
                <w:b/>
                <w:lang w:val="en-GB"/>
              </w:rPr>
            </w:pPr>
            <w:r>
              <w:rPr>
                <w:b/>
                <w:lang w:val="en-GB"/>
              </w:rPr>
              <w:t>Pharmacokinetic analyses</w:t>
            </w:r>
          </w:p>
          <w:p w14:paraId="79BB6E1E" w14:textId="1BB5CDAD" w:rsidR="00A41351" w:rsidRDefault="00AE205D">
            <w:pPr>
              <w:pStyle w:val="TblTextLeft"/>
              <w:rPr>
                <w:bCs/>
                <w:lang w:val="en-GB"/>
              </w:rPr>
            </w:pPr>
            <w:r>
              <w:rPr>
                <w:bCs/>
                <w:lang w:val="en-GB"/>
              </w:rPr>
              <w:t xml:space="preserve">Plasma PK parameters were determined using noncompartmental methods (when data permits) and summarized using descriptive statistics. Plasma and CSF </w:t>
            </w:r>
            <w:proofErr w:type="spellStart"/>
            <w:r>
              <w:rPr>
                <w:bCs/>
                <w:lang w:val="en-GB"/>
              </w:rPr>
              <w:t>venglustat</w:t>
            </w:r>
            <w:proofErr w:type="spellEnd"/>
            <w:r>
              <w:rPr>
                <w:bCs/>
                <w:lang w:val="en-GB"/>
              </w:rPr>
              <w:t xml:space="preserve"> concentrations were summarized separately using descriptive stats, by visit, and are described in the statistical analysis plan. PK data are described separately in the primary and secondary population.</w:t>
            </w:r>
          </w:p>
          <w:p w14:paraId="24BE2B5F" w14:textId="77777777" w:rsidR="00BC6478" w:rsidRPr="00BC6478" w:rsidRDefault="00BC6478">
            <w:pPr>
              <w:pStyle w:val="TblTextLeft"/>
              <w:rPr>
                <w:bCs/>
                <w:lang w:val="en-GB"/>
              </w:rPr>
            </w:pPr>
          </w:p>
          <w:p w14:paraId="2F8C735C" w14:textId="06C61FB7" w:rsidR="00A41351" w:rsidRDefault="00A41351">
            <w:pPr>
              <w:pStyle w:val="TblTextLeft"/>
              <w:rPr>
                <w:b/>
                <w:lang w:val="en-GB"/>
              </w:rPr>
            </w:pPr>
            <w:r>
              <w:rPr>
                <w:b/>
                <w:lang w:val="en-GB"/>
              </w:rPr>
              <w:t>Summary Results:</w:t>
            </w:r>
          </w:p>
          <w:p w14:paraId="59C6A6CA" w14:textId="77777777" w:rsidR="00A41351" w:rsidRDefault="00A41351" w:rsidP="00A41351">
            <w:pPr>
              <w:pStyle w:val="TblTextLeft"/>
              <w:rPr>
                <w:b/>
                <w:bCs/>
                <w:lang w:val="en-GB"/>
              </w:rPr>
            </w:pPr>
            <w:r>
              <w:rPr>
                <w:b/>
                <w:bCs/>
                <w:lang w:val="en-GB"/>
              </w:rPr>
              <w:t>Demographic and other baseline characteristics:</w:t>
            </w:r>
          </w:p>
          <w:p w14:paraId="34F97F5B" w14:textId="77777777" w:rsidR="00A41351" w:rsidRDefault="00A41351" w:rsidP="00A41351">
            <w:pPr>
              <w:pStyle w:val="TblTextLeft"/>
              <w:rPr>
                <w:b/>
                <w:bCs/>
                <w:lang w:val="en-GB"/>
              </w:rPr>
            </w:pPr>
            <w:r>
              <w:rPr>
                <w:b/>
                <w:bCs/>
                <w:lang w:val="en-GB"/>
              </w:rPr>
              <w:t xml:space="preserve">Demographic data </w:t>
            </w:r>
          </w:p>
          <w:p w14:paraId="62979615" w14:textId="77777777" w:rsidR="00A41351" w:rsidRDefault="00A41351" w:rsidP="00A41351">
            <w:pPr>
              <w:pStyle w:val="TblTextLeft"/>
              <w:rPr>
                <w:i/>
                <w:iCs/>
                <w:lang w:val="en-GB"/>
              </w:rPr>
            </w:pPr>
            <w:r>
              <w:rPr>
                <w:i/>
                <w:iCs/>
                <w:lang w:val="en-GB"/>
              </w:rPr>
              <w:t>Primary population</w:t>
            </w:r>
          </w:p>
          <w:p w14:paraId="6C657D2A" w14:textId="77777777" w:rsidR="00A41351" w:rsidRDefault="00A41351" w:rsidP="00A41351">
            <w:pPr>
              <w:pStyle w:val="TblTextLeft"/>
              <w:rPr>
                <w:lang w:val="en-GB"/>
              </w:rPr>
            </w:pPr>
            <w:r>
              <w:rPr>
                <w:lang w:val="en-GB"/>
              </w:rPr>
              <w:t xml:space="preserve">The mean age of participants in the study was 37.8 (range 21, 72) years old in the placebo arm and 37.0 (range 18, 70) years old in the </w:t>
            </w:r>
            <w:proofErr w:type="spellStart"/>
            <w:r>
              <w:rPr>
                <w:lang w:val="en-GB"/>
              </w:rPr>
              <w:t>venglustat</w:t>
            </w:r>
            <w:proofErr w:type="spellEnd"/>
            <w:r>
              <w:rPr>
                <w:lang w:val="en-GB"/>
              </w:rPr>
              <w:t xml:space="preserve"> arm. </w:t>
            </w:r>
          </w:p>
          <w:p w14:paraId="0C7FB6C9" w14:textId="77777777" w:rsidR="00A41351" w:rsidRDefault="00A41351" w:rsidP="00A41351">
            <w:pPr>
              <w:pStyle w:val="TblTextLeft"/>
              <w:rPr>
                <w:lang w:val="en-GB"/>
              </w:rPr>
            </w:pPr>
            <w:r>
              <w:rPr>
                <w:lang w:val="en-GB"/>
              </w:rPr>
              <w:t xml:space="preserve">A total of 9 (47.4%) participants were male in the placebo arm and 21 (52.5%) were male in the </w:t>
            </w:r>
            <w:proofErr w:type="spellStart"/>
            <w:r>
              <w:rPr>
                <w:lang w:val="en-GB"/>
              </w:rPr>
              <w:t>venglustat</w:t>
            </w:r>
            <w:proofErr w:type="spellEnd"/>
            <w:r>
              <w:rPr>
                <w:lang w:val="en-GB"/>
              </w:rPr>
              <w:t xml:space="preserve"> arm. The ratio of male to female participants in the primary population overall was ~1.03. </w:t>
            </w:r>
          </w:p>
          <w:p w14:paraId="1A9400AF" w14:textId="77777777" w:rsidR="00A41351" w:rsidRDefault="00A41351" w:rsidP="00A41351">
            <w:pPr>
              <w:pStyle w:val="TblTextLeft"/>
              <w:rPr>
                <w:lang w:val="en-GB"/>
              </w:rPr>
            </w:pPr>
            <w:r>
              <w:rPr>
                <w:lang w:val="en-GB"/>
              </w:rPr>
              <w:t xml:space="preserve">A total of 17 (89.5%) participants were White, none were Asian, and 2 (10.5%) had not reported race in the placebo arm; 35 (87.5%) participants were White, 3 (7.5%) Asian, and 2 (5.0%) had not reported race in the </w:t>
            </w:r>
            <w:proofErr w:type="spellStart"/>
            <w:r>
              <w:rPr>
                <w:lang w:val="en-GB"/>
              </w:rPr>
              <w:t>venglustat</w:t>
            </w:r>
            <w:proofErr w:type="spellEnd"/>
            <w:r>
              <w:rPr>
                <w:lang w:val="en-GB"/>
              </w:rPr>
              <w:t xml:space="preserve"> arm.</w:t>
            </w:r>
          </w:p>
          <w:p w14:paraId="3AEAEDE0" w14:textId="77777777" w:rsidR="00A41351" w:rsidRDefault="00A41351" w:rsidP="00A41351">
            <w:pPr>
              <w:pStyle w:val="TblTextLeft"/>
              <w:rPr>
                <w:i/>
                <w:iCs/>
                <w:lang w:val="en-GB"/>
              </w:rPr>
            </w:pPr>
            <w:r>
              <w:rPr>
                <w:i/>
                <w:iCs/>
                <w:lang w:val="en-GB"/>
              </w:rPr>
              <w:t>Secondary population</w:t>
            </w:r>
          </w:p>
          <w:p w14:paraId="61B47BF8" w14:textId="77777777" w:rsidR="00A41351" w:rsidRDefault="00A41351" w:rsidP="00A41351">
            <w:pPr>
              <w:pStyle w:val="TblTextLeft"/>
              <w:rPr>
                <w:lang w:val="en-GB"/>
              </w:rPr>
            </w:pPr>
            <w:r>
              <w:rPr>
                <w:lang w:val="en-GB"/>
              </w:rPr>
              <w:t xml:space="preserve">Of the 16 participants in the secondary population, 13 were </w:t>
            </w:r>
            <w:proofErr w:type="spellStart"/>
            <w:r>
              <w:rPr>
                <w:lang w:val="en-GB"/>
              </w:rPr>
              <w:t>pediatric</w:t>
            </w:r>
            <w:proofErr w:type="spellEnd"/>
            <w:r>
              <w:rPr>
                <w:lang w:val="en-GB"/>
              </w:rPr>
              <w:t xml:space="preserve"> and 3 were adults. Ages of the </w:t>
            </w:r>
            <w:proofErr w:type="spellStart"/>
            <w:r>
              <w:rPr>
                <w:lang w:val="en-GB"/>
              </w:rPr>
              <w:t>pediatric</w:t>
            </w:r>
            <w:proofErr w:type="spellEnd"/>
            <w:r>
              <w:rPr>
                <w:lang w:val="en-GB"/>
              </w:rPr>
              <w:t xml:space="preserve"> participants spanned from 2 to 17 years old. The mean age of participants in the secondary population was 12.4 (range 2, 31) years old. </w:t>
            </w:r>
          </w:p>
          <w:p w14:paraId="6404D1E0" w14:textId="77777777" w:rsidR="00A41351" w:rsidRDefault="00A41351" w:rsidP="00A41351">
            <w:pPr>
              <w:pStyle w:val="TblTextLeft"/>
              <w:rPr>
                <w:lang w:val="en-GB"/>
              </w:rPr>
            </w:pPr>
            <w:r>
              <w:rPr>
                <w:lang w:val="en-GB"/>
              </w:rPr>
              <w:t>A total of 5 (31.3%) participants were male. The ratio of male to female participants was ~0.46.</w:t>
            </w:r>
          </w:p>
          <w:p w14:paraId="2FE53244" w14:textId="77777777" w:rsidR="00A41351" w:rsidRDefault="00A41351">
            <w:pPr>
              <w:pStyle w:val="TblTextLeft"/>
            </w:pPr>
          </w:p>
          <w:p w14:paraId="1DE39B33" w14:textId="53121DA0" w:rsidR="00A41351" w:rsidRDefault="00A41351">
            <w:pPr>
              <w:pStyle w:val="TblTextLeft"/>
              <w:rPr>
                <w:rStyle w:val="InstructionsTextChar"/>
                <w:rFonts w:eastAsia="MS Gothic"/>
                <w:bCs/>
                <w:color w:val="auto"/>
                <w:sz w:val="20"/>
                <w:szCs w:val="20"/>
                <w:shd w:val="clear" w:color="auto" w:fill="auto"/>
                <w:lang w:val="en-GB"/>
              </w:rPr>
            </w:pPr>
          </w:p>
        </w:tc>
      </w:tr>
      <w:tr w:rsidR="00B46C9C" w14:paraId="7FE6A17E" w14:textId="77777777" w:rsidTr="0000764B">
        <w:trPr>
          <w:cantSplit/>
        </w:trPr>
        <w:tc>
          <w:tcPr>
            <w:tcW w:w="9702" w:type="dxa"/>
            <w:gridSpan w:val="2"/>
            <w:tcBorders>
              <w:top w:val="nil"/>
              <w:bottom w:val="single" w:sz="4" w:space="0" w:color="auto"/>
            </w:tcBorders>
            <w:shd w:val="clear" w:color="auto" w:fill="auto"/>
          </w:tcPr>
          <w:p w14:paraId="247830C2" w14:textId="50017DA5" w:rsidR="00B46C9C" w:rsidRDefault="00B46C9C">
            <w:pPr>
              <w:pStyle w:val="TblTextLeft"/>
              <w:rPr>
                <w:b/>
                <w:bCs/>
                <w:lang w:val="en-GB"/>
              </w:rPr>
            </w:pPr>
          </w:p>
          <w:p w14:paraId="76057E3C"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Baseline disease characteristics</w:t>
            </w:r>
          </w:p>
          <w:p w14:paraId="4BC8A7AD" w14:textId="77777777" w:rsidR="00B46C9C" w:rsidRDefault="00AE205D">
            <w:pPr>
              <w:pStyle w:val="TblTextLeft"/>
              <w:rPr>
                <w:i/>
                <w:iCs/>
                <w:lang w:val="en-GB"/>
              </w:rPr>
            </w:pPr>
            <w:r>
              <w:rPr>
                <w:i/>
                <w:iCs/>
                <w:lang w:val="en-GB"/>
              </w:rPr>
              <w:t>Primary population</w:t>
            </w:r>
          </w:p>
          <w:p w14:paraId="6BD576A1"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The following indications are categorized by number of participants who had each diagnosis:</w:t>
            </w:r>
          </w:p>
          <w:p w14:paraId="7734F612"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 Tay-Sachs disease: 44 (74.6%) </w:t>
            </w:r>
          </w:p>
          <w:p w14:paraId="2AA87EE8"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 </w:t>
            </w:r>
            <w:proofErr w:type="spellStart"/>
            <w:r>
              <w:rPr>
                <w:rStyle w:val="InstructionsTextChar"/>
                <w:rFonts w:eastAsia="MS Gothic"/>
                <w:color w:val="auto"/>
                <w:sz w:val="20"/>
                <w:szCs w:val="20"/>
                <w:shd w:val="clear" w:color="auto" w:fill="auto"/>
                <w:lang w:val="en-GB"/>
              </w:rPr>
              <w:t>Sandhoff</w:t>
            </w:r>
            <w:proofErr w:type="spellEnd"/>
            <w:r>
              <w:rPr>
                <w:rStyle w:val="InstructionsTextChar"/>
                <w:rFonts w:eastAsia="MS Gothic"/>
                <w:color w:val="auto"/>
                <w:sz w:val="20"/>
                <w:szCs w:val="20"/>
                <w:shd w:val="clear" w:color="auto" w:fill="auto"/>
                <w:lang w:val="en-GB"/>
              </w:rPr>
              <w:t xml:space="preserve"> disease: 15 (25.4%)</w:t>
            </w:r>
          </w:p>
          <w:p w14:paraId="3B2AA2F9" w14:textId="77777777" w:rsidR="005E09B9" w:rsidRDefault="005E09B9">
            <w:pPr>
              <w:pStyle w:val="TblTextLeft"/>
              <w:rPr>
                <w:rStyle w:val="InstructionsTextChar"/>
                <w:rFonts w:eastAsia="MS Gothic"/>
                <w:color w:val="auto"/>
                <w:sz w:val="20"/>
                <w:szCs w:val="20"/>
                <w:shd w:val="clear" w:color="auto" w:fill="auto"/>
                <w:lang w:val="en-GB"/>
              </w:rPr>
            </w:pPr>
            <w:r w:rsidRPr="005E09B9">
              <w:rPr>
                <w:rStyle w:val="InstructionsTextChar"/>
                <w:rFonts w:eastAsia="MS Gothic"/>
                <w:color w:val="auto"/>
                <w:sz w:val="20"/>
                <w:szCs w:val="20"/>
                <w:shd w:val="clear" w:color="auto" w:fill="auto"/>
                <w:lang w:val="en-GB"/>
              </w:rPr>
              <w:t xml:space="preserve">The randomization of primary population was stratified on the participant’s ability to walk at the baseline visit (yes/no). In the primary population, 17 (89.5%) of participants in the placebo arm and 34 (85.0%) of the participants in the </w:t>
            </w:r>
            <w:proofErr w:type="spellStart"/>
            <w:r w:rsidRPr="005E09B9">
              <w:rPr>
                <w:rStyle w:val="InstructionsTextChar"/>
                <w:rFonts w:eastAsia="MS Gothic"/>
                <w:color w:val="auto"/>
                <w:sz w:val="20"/>
                <w:szCs w:val="20"/>
                <w:shd w:val="clear" w:color="auto" w:fill="auto"/>
                <w:lang w:val="en-GB"/>
              </w:rPr>
              <w:t>venglustat</w:t>
            </w:r>
            <w:proofErr w:type="spellEnd"/>
            <w:r w:rsidRPr="005E09B9">
              <w:rPr>
                <w:rStyle w:val="InstructionsTextChar"/>
                <w:rFonts w:eastAsia="MS Gothic"/>
                <w:color w:val="auto"/>
                <w:sz w:val="20"/>
                <w:szCs w:val="20"/>
                <w:shd w:val="clear" w:color="auto" w:fill="auto"/>
                <w:lang w:val="en-GB"/>
              </w:rPr>
              <w:t xml:space="preserve"> arm had the ability to walk at baseline according to randomization. By error, one participant who could not walk at baseline in the </w:t>
            </w:r>
            <w:proofErr w:type="spellStart"/>
            <w:r w:rsidRPr="005E09B9">
              <w:rPr>
                <w:rStyle w:val="InstructionsTextChar"/>
                <w:rFonts w:eastAsia="MS Gothic"/>
                <w:color w:val="auto"/>
                <w:sz w:val="20"/>
                <w:szCs w:val="20"/>
                <w:shd w:val="clear" w:color="auto" w:fill="auto"/>
                <w:lang w:val="en-GB"/>
              </w:rPr>
              <w:t>venglustat</w:t>
            </w:r>
            <w:proofErr w:type="spellEnd"/>
            <w:r w:rsidRPr="005E09B9">
              <w:rPr>
                <w:rStyle w:val="InstructionsTextChar"/>
                <w:rFonts w:eastAsia="MS Gothic"/>
                <w:color w:val="auto"/>
                <w:sz w:val="20"/>
                <w:szCs w:val="20"/>
                <w:shd w:val="clear" w:color="auto" w:fill="auto"/>
                <w:lang w:val="en-GB"/>
              </w:rPr>
              <w:t xml:space="preserve"> arm was randomized as able to walk.</w:t>
            </w:r>
          </w:p>
          <w:p w14:paraId="6E8706FE" w14:textId="77777777" w:rsidR="005E09B9" w:rsidRDefault="005E09B9" w:rsidP="005E09B9">
            <w:pPr>
              <w:pStyle w:val="TblTextLeft"/>
              <w:rPr>
                <w:i/>
                <w:iCs/>
                <w:lang w:val="en-GB"/>
              </w:rPr>
            </w:pPr>
            <w:r>
              <w:rPr>
                <w:i/>
                <w:iCs/>
                <w:lang w:val="en-GB"/>
              </w:rPr>
              <w:t>Secondary population</w:t>
            </w:r>
          </w:p>
          <w:p w14:paraId="4D243C4E" w14:textId="77777777" w:rsidR="005E09B9" w:rsidRDefault="005E09B9" w:rsidP="005E09B9">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following indications were categorized by number of participants who had each diagnosis: </w:t>
            </w:r>
          </w:p>
          <w:p w14:paraId="022A5AD3" w14:textId="77777777" w:rsidR="005E09B9" w:rsidRPr="00E73B1B" w:rsidRDefault="005E09B9" w:rsidP="005E09B9">
            <w:pPr>
              <w:pStyle w:val="TblTextLeft"/>
              <w:rPr>
                <w:rStyle w:val="InstructionsTextChar"/>
                <w:rFonts w:eastAsia="MS Gothic"/>
                <w:color w:val="auto"/>
                <w:sz w:val="20"/>
                <w:szCs w:val="20"/>
                <w:shd w:val="clear" w:color="auto" w:fill="auto"/>
                <w:lang w:val="pt-BR"/>
              </w:rPr>
            </w:pPr>
            <w:r w:rsidRPr="00E73B1B">
              <w:rPr>
                <w:rStyle w:val="InstructionsTextChar"/>
                <w:rFonts w:eastAsia="MS Gothic"/>
                <w:color w:val="auto"/>
                <w:sz w:val="20"/>
                <w:szCs w:val="20"/>
                <w:shd w:val="clear" w:color="auto" w:fill="auto"/>
                <w:lang w:val="pt-BR"/>
              </w:rPr>
              <w:t xml:space="preserve">• Juvenile/adolescent GM2 gangliosidosis: 7 (43.8%) </w:t>
            </w:r>
          </w:p>
          <w:p w14:paraId="2DEB0601" w14:textId="77777777" w:rsidR="005E09B9" w:rsidRPr="00E73B1B" w:rsidRDefault="005E09B9" w:rsidP="005E09B9">
            <w:pPr>
              <w:pStyle w:val="TblTextLeft"/>
              <w:rPr>
                <w:rStyle w:val="InstructionsTextChar"/>
                <w:rFonts w:eastAsia="MS Gothic"/>
                <w:color w:val="auto"/>
                <w:sz w:val="20"/>
                <w:szCs w:val="20"/>
                <w:shd w:val="clear" w:color="auto" w:fill="auto"/>
                <w:lang w:val="pt-BR"/>
              </w:rPr>
            </w:pPr>
            <w:r w:rsidRPr="00E73B1B">
              <w:rPr>
                <w:rStyle w:val="InstructionsTextChar"/>
                <w:rFonts w:eastAsia="MS Gothic"/>
                <w:color w:val="auto"/>
                <w:sz w:val="20"/>
                <w:szCs w:val="20"/>
                <w:shd w:val="clear" w:color="auto" w:fill="auto"/>
                <w:lang w:val="pt-BR"/>
              </w:rPr>
              <w:t xml:space="preserve">• GM1 gangliosidosis: 7 (43.8%) </w:t>
            </w:r>
          </w:p>
          <w:p w14:paraId="2C52146E" w14:textId="77777777" w:rsidR="005E09B9" w:rsidRDefault="005E09B9" w:rsidP="005E09B9">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 </w:t>
            </w:r>
            <w:proofErr w:type="spellStart"/>
            <w:r>
              <w:rPr>
                <w:rStyle w:val="InstructionsTextChar"/>
                <w:rFonts w:eastAsia="MS Gothic"/>
                <w:color w:val="auto"/>
                <w:sz w:val="20"/>
                <w:szCs w:val="20"/>
                <w:shd w:val="clear" w:color="auto" w:fill="auto"/>
                <w:lang w:val="en-GB"/>
              </w:rPr>
              <w:t>Sialidosis</w:t>
            </w:r>
            <w:proofErr w:type="spellEnd"/>
            <w:r>
              <w:rPr>
                <w:rStyle w:val="InstructionsTextChar"/>
                <w:rFonts w:eastAsia="MS Gothic"/>
                <w:color w:val="auto"/>
                <w:sz w:val="20"/>
                <w:szCs w:val="20"/>
                <w:shd w:val="clear" w:color="auto" w:fill="auto"/>
                <w:lang w:val="en-GB"/>
              </w:rPr>
              <w:t xml:space="preserve"> type 1: 1 (6.3%) </w:t>
            </w:r>
          </w:p>
          <w:p w14:paraId="5B11E8F5" w14:textId="2A1510D0" w:rsidR="00A41351" w:rsidRDefault="005E09B9">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 Juvenile </w:t>
            </w:r>
            <w:proofErr w:type="spellStart"/>
            <w:r>
              <w:rPr>
                <w:rStyle w:val="InstructionsTextChar"/>
                <w:rFonts w:eastAsia="MS Gothic"/>
                <w:color w:val="auto"/>
                <w:sz w:val="20"/>
                <w:szCs w:val="20"/>
                <w:shd w:val="clear" w:color="auto" w:fill="auto"/>
                <w:lang w:val="en-GB"/>
              </w:rPr>
              <w:t>galactosialidosis</w:t>
            </w:r>
            <w:proofErr w:type="spellEnd"/>
            <w:r>
              <w:rPr>
                <w:rStyle w:val="InstructionsTextChar"/>
                <w:rFonts w:eastAsia="MS Gothic"/>
                <w:color w:val="auto"/>
                <w:sz w:val="20"/>
                <w:szCs w:val="20"/>
                <w:shd w:val="clear" w:color="auto" w:fill="auto"/>
                <w:lang w:val="en-GB"/>
              </w:rPr>
              <w:t>: 1 (6.3%)</w:t>
            </w:r>
          </w:p>
          <w:p w14:paraId="09D8861A" w14:textId="77777777" w:rsidR="00A41351" w:rsidRDefault="00A41351">
            <w:pPr>
              <w:pStyle w:val="TblTextLeft"/>
              <w:rPr>
                <w:rStyle w:val="InstructionsTextChar"/>
                <w:rFonts w:eastAsia="MS Gothic"/>
                <w:color w:val="auto"/>
                <w:sz w:val="20"/>
                <w:szCs w:val="20"/>
                <w:shd w:val="clear" w:color="auto" w:fill="auto"/>
                <w:lang w:val="en-GB"/>
              </w:rPr>
            </w:pPr>
          </w:p>
          <w:p w14:paraId="2F2ABBAB" w14:textId="77777777" w:rsidR="00A41351" w:rsidRDefault="00A41351" w:rsidP="00A41351">
            <w:pPr>
              <w:pStyle w:val="TblTextLeft"/>
              <w:keepNext/>
              <w:rPr>
                <w:b/>
                <w:bCs/>
                <w:lang w:val="en-GB"/>
              </w:rPr>
            </w:pPr>
            <w:r>
              <w:rPr>
                <w:b/>
                <w:bCs/>
                <w:lang w:val="en-GB"/>
              </w:rPr>
              <w:t>Exposure:</w:t>
            </w:r>
          </w:p>
          <w:p w14:paraId="156E4BE4" w14:textId="77777777" w:rsidR="00A41351" w:rsidRDefault="00A41351" w:rsidP="00A41351">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Primary population</w:t>
            </w:r>
          </w:p>
          <w:p w14:paraId="43622938" w14:textId="77777777" w:rsidR="00A41351" w:rsidRDefault="00A41351" w:rsidP="00A41351">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cumulative exposure to treatment (in participant years) was 34.6 for the placebo arm and 69.5 for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during the PAP. The mean (SD) exposure to study intervention was 95.1 (27.5) weeks; and 90.7 (33.5) weeks, respectively. </w:t>
            </w:r>
          </w:p>
          <w:p w14:paraId="27D41672" w14:textId="77777777" w:rsidR="00A41351" w:rsidRDefault="00A41351" w:rsidP="00A41351">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During the OLE period, the cumulative exposure to treatment (in participant years) was 38.9 for participants in the primary population. The mean (SD) duration of IMP exposure was 40.6 (20.5) weeks.</w:t>
            </w:r>
          </w:p>
          <w:p w14:paraId="0E6DE9BC" w14:textId="77777777" w:rsidR="00A41351" w:rsidRDefault="00A41351" w:rsidP="00A41351">
            <w:pPr>
              <w:pStyle w:val="TblTextLeft"/>
              <w:rPr>
                <w:i/>
                <w:iCs/>
                <w:lang w:val="en-GB"/>
              </w:rPr>
            </w:pPr>
            <w:r>
              <w:rPr>
                <w:i/>
                <w:iCs/>
                <w:lang w:val="en-GB"/>
              </w:rPr>
              <w:t>Secondary population</w:t>
            </w:r>
          </w:p>
          <w:p w14:paraId="29AC8E5D" w14:textId="77777777" w:rsidR="00A41351" w:rsidRDefault="00A41351" w:rsidP="00A41351">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cumulative exposure to treatment (in participant years) was 30.5 years for participants in the secondary population during the PAP. The mean (SD) exposure to study intervention in the secondary population was 99.6 (19.6) weeks. </w:t>
            </w:r>
          </w:p>
          <w:p w14:paraId="5BDE610C" w14:textId="77777777" w:rsidR="00A41351" w:rsidRDefault="00A41351" w:rsidP="00A41351">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The cumulative exposure to treatment (in participant years) was 15.6 years for participants in the secondary population during the OLE period. The mean (SD) exposure to study intervention was 58.1 (13.0) weeks.</w:t>
            </w:r>
          </w:p>
          <w:p w14:paraId="5D3FB1A0" w14:textId="77777777" w:rsidR="00A41351" w:rsidRDefault="00A41351">
            <w:pPr>
              <w:pStyle w:val="TblTextLeft"/>
              <w:rPr>
                <w:rStyle w:val="InstructionsTextChar"/>
                <w:rFonts w:eastAsia="MS Gothic"/>
                <w:color w:val="auto"/>
                <w:sz w:val="20"/>
                <w:szCs w:val="20"/>
                <w:shd w:val="clear" w:color="auto" w:fill="auto"/>
                <w:lang w:val="en-GB"/>
              </w:rPr>
            </w:pPr>
          </w:p>
          <w:p w14:paraId="45D10CD8" w14:textId="02B69342" w:rsidR="00A41351" w:rsidRDefault="00A41351">
            <w:pPr>
              <w:pStyle w:val="TblTextLeft"/>
              <w:rPr>
                <w:rStyle w:val="InstructionsTextChar"/>
                <w:rFonts w:eastAsia="MS Gothic"/>
                <w:color w:val="auto"/>
                <w:sz w:val="20"/>
                <w:szCs w:val="20"/>
                <w:shd w:val="clear" w:color="auto" w:fill="auto"/>
                <w:lang w:val="en-GB"/>
              </w:rPr>
            </w:pPr>
          </w:p>
        </w:tc>
      </w:tr>
      <w:tr w:rsidR="00B46C9C" w14:paraId="03A9D941" w14:textId="77777777" w:rsidTr="0000764B">
        <w:trPr>
          <w:cantSplit/>
          <w:trHeight w:val="140"/>
        </w:trPr>
        <w:tc>
          <w:tcPr>
            <w:tcW w:w="9702" w:type="dxa"/>
            <w:gridSpan w:val="2"/>
            <w:tcBorders>
              <w:top w:val="single" w:sz="4" w:space="0" w:color="auto"/>
            </w:tcBorders>
          </w:tcPr>
          <w:p w14:paraId="78A7F239"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lastRenderedPageBreak/>
              <w:t>Efficacy:</w:t>
            </w:r>
          </w:p>
          <w:p w14:paraId="6CF475BB"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efficacy population included all participants of the primary population, 19 participants in the placebo arm and 40 participants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and 16 participants in the secondary population.</w:t>
            </w:r>
          </w:p>
          <w:p w14:paraId="7955717A"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Primary efficacy endpoints (Primary Population)</w:t>
            </w:r>
          </w:p>
          <w:p w14:paraId="4365B3C5" w14:textId="77777777" w:rsidR="00B46C9C"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 xml:space="preserve">Percent change of CSF GM2 biomarker </w:t>
            </w:r>
          </w:p>
          <w:p w14:paraId="2FAE6056" w14:textId="7F5AFC49"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percent change (standard error [SE]) in the CSF GM2 biomarker decreased from baseline to Week 104 by 11.33% (4.23) in the placebo arm </w:t>
            </w:r>
            <w:r w:rsidR="002A364F">
              <w:rPr>
                <w:rStyle w:val="InstructionsTextChar"/>
                <w:rFonts w:eastAsia="MS Gothic"/>
                <w:color w:val="auto"/>
                <w:sz w:val="20"/>
                <w:szCs w:val="20"/>
                <w:shd w:val="clear" w:color="auto" w:fill="auto"/>
                <w:lang w:val="en-GB"/>
              </w:rPr>
              <w:t>(n=</w:t>
            </w:r>
            <w:r w:rsidR="000579E6">
              <w:rPr>
                <w:rStyle w:val="InstructionsTextChar"/>
                <w:rFonts w:eastAsia="MS Gothic"/>
                <w:color w:val="auto"/>
                <w:sz w:val="20"/>
                <w:szCs w:val="20"/>
                <w:shd w:val="clear" w:color="auto" w:fill="auto"/>
                <w:lang w:val="en-GB"/>
              </w:rPr>
              <w:t>16</w:t>
            </w:r>
            <w:r w:rsidR="002A364F">
              <w:rPr>
                <w:rStyle w:val="InstructionsTextChar"/>
                <w:rFonts w:eastAsia="MS Gothic"/>
                <w:color w:val="auto"/>
                <w:sz w:val="20"/>
                <w:szCs w:val="20"/>
                <w:shd w:val="clear" w:color="auto" w:fill="auto"/>
                <w:lang w:val="en-GB"/>
              </w:rPr>
              <w:t xml:space="preserve">) </w:t>
            </w:r>
            <w:r>
              <w:rPr>
                <w:rStyle w:val="InstructionsTextChar"/>
                <w:rFonts w:eastAsia="MS Gothic"/>
                <w:color w:val="auto"/>
                <w:sz w:val="20"/>
                <w:szCs w:val="20"/>
                <w:shd w:val="clear" w:color="auto" w:fill="auto"/>
                <w:lang w:val="en-GB"/>
              </w:rPr>
              <w:t xml:space="preserve">and 47.57% (3.04)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w:t>
            </w:r>
            <w:r w:rsidR="002A364F">
              <w:rPr>
                <w:rStyle w:val="InstructionsTextChar"/>
                <w:rFonts w:eastAsia="MS Gothic"/>
                <w:color w:val="auto"/>
                <w:sz w:val="20"/>
                <w:szCs w:val="20"/>
                <w:shd w:val="clear" w:color="auto" w:fill="auto"/>
                <w:lang w:val="en-GB"/>
              </w:rPr>
              <w:t xml:space="preserve"> (n=</w:t>
            </w:r>
            <w:r w:rsidR="000579E6">
              <w:rPr>
                <w:rStyle w:val="InstructionsTextChar"/>
                <w:rFonts w:eastAsia="MS Gothic"/>
                <w:color w:val="auto"/>
                <w:sz w:val="20"/>
                <w:szCs w:val="20"/>
                <w:shd w:val="clear" w:color="auto" w:fill="auto"/>
                <w:lang w:val="en-GB"/>
              </w:rPr>
              <w:t>31</w:t>
            </w:r>
            <w:r w:rsidR="002A364F">
              <w:rPr>
                <w:rStyle w:val="InstructionsTextChar"/>
                <w:rFonts w:eastAsia="MS Gothic"/>
                <w:color w:val="auto"/>
                <w:sz w:val="20"/>
                <w:szCs w:val="20"/>
                <w:shd w:val="clear" w:color="auto" w:fill="auto"/>
                <w:lang w:val="en-GB"/>
              </w:rPr>
              <w:t>)</w:t>
            </w:r>
            <w:r>
              <w:rPr>
                <w:rStyle w:val="InstructionsTextChar"/>
                <w:rFonts w:eastAsia="MS Gothic"/>
                <w:color w:val="auto"/>
                <w:sz w:val="20"/>
                <w:szCs w:val="20"/>
                <w:shd w:val="clear" w:color="auto" w:fill="auto"/>
                <w:lang w:val="en-GB"/>
              </w:rPr>
              <w:t xml:space="preserve">. The estimated difference between arms of 36.24% (SE: 5.20; 90% confidence interval (CI): [-44.80 to -27.68]; p&lt;0.0001) is statistically significant. </w:t>
            </w:r>
          </w:p>
          <w:p w14:paraId="12AE3B64" w14:textId="77777777" w:rsidR="00B46C9C"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Annualized rate of change in 9-HPT</w:t>
            </w:r>
          </w:p>
          <w:p w14:paraId="41291B35"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annualized rate of change in 9-HPT was 0.95% per year (SE: 1.92; 90% CI: -2.16 to 4.15) and 2.49% per year (SE: 1.35; 90% CI: 0.28 to 4.74) in the placebo arm and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respectively. The difference between the two arms, 1.54 (SE: 2.35; 90% CI: [-2.33 to 5.39]; p=0.7435), is not statistically significant.</w:t>
            </w:r>
          </w:p>
          <w:p w14:paraId="61059CB7"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 xml:space="preserve">Efficacy in Secondary Population </w:t>
            </w:r>
          </w:p>
          <w:p w14:paraId="2F59F7DE" w14:textId="77777777" w:rsidR="00B46C9C"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Primary efficacy endpoints (Secondary Population)</w:t>
            </w:r>
          </w:p>
          <w:p w14:paraId="30E2F52B" w14:textId="77777777" w:rsidR="00B46C9C"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 xml:space="preserve">Plasma and CSF GL-1 biomarker and a pathway specific biomarker </w:t>
            </w:r>
          </w:p>
          <w:p w14:paraId="0DE43636" w14:textId="3774C130" w:rsidR="00B46C9C" w:rsidRDefault="009A1DA9">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M</w:t>
            </w:r>
            <w:r w:rsidR="00AE205D">
              <w:rPr>
                <w:rStyle w:val="InstructionsTextChar"/>
                <w:rFonts w:eastAsia="MS Gothic"/>
                <w:color w:val="auto"/>
                <w:sz w:val="20"/>
                <w:szCs w:val="20"/>
                <w:shd w:val="clear" w:color="auto" w:fill="auto"/>
                <w:lang w:val="en-GB"/>
              </w:rPr>
              <w:t xml:space="preserve">edian (min, max) </w:t>
            </w:r>
            <w:r w:rsidR="000579E6">
              <w:rPr>
                <w:rStyle w:val="InstructionsTextChar"/>
                <w:rFonts w:eastAsia="MS Gothic"/>
                <w:color w:val="auto"/>
                <w:sz w:val="20"/>
                <w:szCs w:val="20"/>
                <w:shd w:val="clear" w:color="auto" w:fill="auto"/>
                <w:lang w:val="en-GB"/>
              </w:rPr>
              <w:t xml:space="preserve">plasma GL-1 </w:t>
            </w:r>
            <w:r w:rsidR="00AE205D">
              <w:rPr>
                <w:rStyle w:val="InstructionsTextChar"/>
                <w:rFonts w:eastAsia="MS Gothic"/>
                <w:color w:val="auto"/>
                <w:sz w:val="20"/>
                <w:szCs w:val="20"/>
                <w:shd w:val="clear" w:color="auto" w:fill="auto"/>
                <w:lang w:val="en-GB"/>
              </w:rPr>
              <w:t>decreased by 4.47 µg/mL (-5.7, -2.5), or 80.99% (-88.4, -69.4), from baseline to Week 104</w:t>
            </w:r>
            <w:r w:rsidR="000579E6">
              <w:rPr>
                <w:rStyle w:val="InstructionsTextChar"/>
                <w:rFonts w:eastAsia="MS Gothic"/>
                <w:color w:val="auto"/>
                <w:sz w:val="20"/>
                <w:szCs w:val="20"/>
                <w:shd w:val="clear" w:color="auto" w:fill="auto"/>
                <w:lang w:val="en-GB"/>
              </w:rPr>
              <w:t xml:space="preserve"> (n=14)</w:t>
            </w:r>
            <w:r w:rsidR="00AE205D">
              <w:rPr>
                <w:rStyle w:val="InstructionsTextChar"/>
                <w:rFonts w:eastAsia="MS Gothic"/>
                <w:color w:val="auto"/>
                <w:sz w:val="20"/>
                <w:szCs w:val="20"/>
                <w:shd w:val="clear" w:color="auto" w:fill="auto"/>
                <w:lang w:val="en-GB"/>
              </w:rPr>
              <w:t>. At Week 104, median (min, max) GL-1 levels in CSF decreased by 6.16 µg/mL (-20.1, 14.9), or 84.27% (-91.3, 299.6), from baseline</w:t>
            </w:r>
            <w:r w:rsidR="000579E6">
              <w:rPr>
                <w:rStyle w:val="InstructionsTextChar"/>
                <w:rFonts w:eastAsia="MS Gothic"/>
                <w:color w:val="auto"/>
                <w:sz w:val="20"/>
                <w:szCs w:val="20"/>
                <w:shd w:val="clear" w:color="auto" w:fill="auto"/>
                <w:lang w:val="en-GB"/>
              </w:rPr>
              <w:t xml:space="preserve"> (n=12)</w:t>
            </w:r>
            <w:r w:rsidR="00AE205D">
              <w:rPr>
                <w:rStyle w:val="InstructionsTextChar"/>
                <w:rFonts w:eastAsia="MS Gothic"/>
                <w:color w:val="auto"/>
                <w:sz w:val="20"/>
                <w:szCs w:val="20"/>
                <w:shd w:val="clear" w:color="auto" w:fill="auto"/>
                <w:lang w:val="en-GB"/>
              </w:rPr>
              <w:t>.</w:t>
            </w:r>
          </w:p>
          <w:p w14:paraId="79E047E2" w14:textId="77777777" w:rsidR="0048736E" w:rsidRDefault="0048736E" w:rsidP="0048736E">
            <w:pPr>
              <w:pStyle w:val="TblTextLeft"/>
              <w:rPr>
                <w:rStyle w:val="InstructionsTextChar"/>
                <w:rFonts w:eastAsia="MS Gothic"/>
                <w:color w:val="auto"/>
                <w:sz w:val="20"/>
                <w:szCs w:val="20"/>
                <w:shd w:val="clear" w:color="auto" w:fill="auto"/>
                <w:lang w:val="en-GB"/>
              </w:rPr>
            </w:pPr>
            <w:r w:rsidRPr="00E73B1B">
              <w:rPr>
                <w:rFonts w:cs="Arial Narrow"/>
              </w:rPr>
              <w:t xml:space="preserve">Data for the one participant with </w:t>
            </w:r>
            <w:proofErr w:type="spellStart"/>
            <w:r w:rsidRPr="00E73B1B">
              <w:rPr>
                <w:rFonts w:cs="Arial Narrow"/>
              </w:rPr>
              <w:t>sialidosis</w:t>
            </w:r>
            <w:proofErr w:type="spellEnd"/>
            <w:r w:rsidRPr="00E73B1B">
              <w:rPr>
                <w:rFonts w:cs="Arial Narrow"/>
              </w:rPr>
              <w:t xml:space="preserve"> type 1 and the one participant with </w:t>
            </w:r>
            <w:proofErr w:type="spellStart"/>
            <w:r w:rsidRPr="00E73B1B">
              <w:rPr>
                <w:rFonts w:cs="Arial Narrow"/>
              </w:rPr>
              <w:t>galactosialidosis</w:t>
            </w:r>
            <w:proofErr w:type="spellEnd"/>
            <w:r w:rsidRPr="00E73B1B">
              <w:rPr>
                <w:rFonts w:cs="Arial Narrow"/>
              </w:rPr>
              <w:t xml:space="preserve"> is not being presented due to the possibility of participant identification.</w:t>
            </w:r>
          </w:p>
          <w:p w14:paraId="3117DDAF" w14:textId="16A403E3" w:rsidR="00B46C9C" w:rsidRDefault="00AE205D">
            <w:pPr>
              <w:pStyle w:val="TblTextLeft"/>
              <w:rPr>
                <w:rStyle w:val="InstructionsTextChar"/>
                <w:rFonts w:eastAsia="MS Gothic"/>
                <w:color w:val="auto"/>
                <w:sz w:val="20"/>
                <w:szCs w:val="20"/>
                <w:shd w:val="clear" w:color="auto" w:fill="auto"/>
                <w:lang w:val="en-GB"/>
              </w:rPr>
            </w:pPr>
            <w:r w:rsidRPr="00E73B1B">
              <w:rPr>
                <w:rStyle w:val="InstructionsTextChar"/>
                <w:rFonts w:eastAsia="MS Gothic"/>
                <w:color w:val="auto"/>
                <w:sz w:val="20"/>
                <w:szCs w:val="20"/>
                <w:u w:val="single"/>
                <w:shd w:val="clear" w:color="auto" w:fill="auto"/>
                <w:lang w:val="pt-BR"/>
              </w:rPr>
              <w:t>Juvenile/Adolescent GM2 gangliosidosis</w:t>
            </w:r>
            <w:r w:rsidR="009A1DA9" w:rsidRPr="00E73B1B">
              <w:rPr>
                <w:rStyle w:val="InstructionsTextChar"/>
                <w:rFonts w:eastAsia="MS Gothic"/>
                <w:color w:val="auto"/>
                <w:sz w:val="20"/>
                <w:szCs w:val="20"/>
                <w:shd w:val="clear" w:color="auto" w:fill="auto"/>
                <w:lang w:val="pt-BR"/>
              </w:rPr>
              <w:t>:</w:t>
            </w:r>
            <w:r w:rsidRPr="00E73B1B">
              <w:rPr>
                <w:rStyle w:val="InstructionsTextChar"/>
                <w:rFonts w:eastAsia="MS Gothic"/>
                <w:color w:val="auto"/>
                <w:sz w:val="20"/>
                <w:szCs w:val="20"/>
                <w:shd w:val="clear" w:color="auto" w:fill="auto"/>
                <w:lang w:val="pt-BR"/>
              </w:rPr>
              <w:t xml:space="preserve"> </w:t>
            </w:r>
            <w:r w:rsidR="009A1DA9" w:rsidRPr="00E73B1B">
              <w:rPr>
                <w:rStyle w:val="InstructionsTextChar"/>
                <w:rFonts w:eastAsia="MS Gothic"/>
                <w:color w:val="auto"/>
                <w:sz w:val="20"/>
                <w:szCs w:val="20"/>
                <w:shd w:val="clear" w:color="auto" w:fill="auto"/>
                <w:lang w:val="pt-BR"/>
              </w:rPr>
              <w:t>M</w:t>
            </w:r>
            <w:proofErr w:type="spellStart"/>
            <w:r>
              <w:rPr>
                <w:rStyle w:val="InstructionsTextChar"/>
                <w:rFonts w:eastAsia="MS Gothic"/>
                <w:color w:val="auto"/>
                <w:sz w:val="20"/>
                <w:szCs w:val="20"/>
                <w:shd w:val="clear" w:color="auto" w:fill="auto"/>
                <w:lang w:val="en-GB"/>
              </w:rPr>
              <w:t>edian</w:t>
            </w:r>
            <w:proofErr w:type="spellEnd"/>
            <w:r>
              <w:rPr>
                <w:rStyle w:val="InstructionsTextChar"/>
                <w:rFonts w:eastAsia="MS Gothic"/>
                <w:color w:val="auto"/>
                <w:sz w:val="20"/>
                <w:szCs w:val="20"/>
                <w:shd w:val="clear" w:color="auto" w:fill="auto"/>
                <w:lang w:val="en-GB"/>
              </w:rPr>
              <w:t xml:space="preserve"> (min, max) GL-1 in both the plasma and CSF in participants with juvenile/adolescent GM2 gangliosidosis (n=7) decreased from baseline to Week 104 by 4.37 µg/mL (-5.7, -2.5) or 80.89% (-82.0,</w:t>
            </w:r>
            <w:r w:rsidR="00265A9F">
              <w:rPr>
                <w:rStyle w:val="InstructionsTextChar"/>
                <w:rFonts w:eastAsia="MS Gothic"/>
                <w:color w:val="auto"/>
                <w:sz w:val="20"/>
                <w:szCs w:val="20"/>
                <w:shd w:val="clear" w:color="auto" w:fill="auto"/>
                <w:lang w:val="en-GB"/>
              </w:rPr>
              <w:t xml:space="preserve"> </w:t>
            </w:r>
            <w:r w:rsidR="00E94E3F">
              <w:rPr>
                <w:rStyle w:val="InstructionsTextChar"/>
                <w:rFonts w:eastAsia="MS Gothic"/>
                <w:color w:val="auto"/>
                <w:sz w:val="20"/>
                <w:szCs w:val="20"/>
                <w:shd w:val="clear" w:color="auto" w:fill="auto"/>
                <w:lang w:val="en-GB"/>
              </w:rPr>
              <w:t xml:space="preserve"> </w:t>
            </w:r>
            <w:r>
              <w:rPr>
                <w:rStyle w:val="InstructionsTextChar"/>
                <w:rFonts w:eastAsia="MS Gothic"/>
                <w:color w:val="auto"/>
                <w:sz w:val="20"/>
                <w:szCs w:val="20"/>
                <w:shd w:val="clear" w:color="auto" w:fill="auto"/>
                <w:lang w:val="en-GB"/>
              </w:rPr>
              <w:t xml:space="preserve">-75.8) and 6.88 µg/mL (-10.5, -3.5) or 87.31% (-91.3, -62.4), respectively. Median (min, max) GM2 levels in both the plasma and CSF also decreased by Week 104 by 400.00 ng/mL (-744.0, -193.0) or 56.42% (-75.9, -36.9) and 92.80 ng/mL (-262.0, 1.3) or 51.38% (-61.9, 4.0), respectively. </w:t>
            </w:r>
          </w:p>
          <w:p w14:paraId="7B7971F8" w14:textId="4FDF5365" w:rsidR="00B46C9C" w:rsidRDefault="00AE205D">
            <w:pPr>
              <w:pStyle w:val="TblTextLeft"/>
              <w:rPr>
                <w:rFonts w:cs="Arial Narrow"/>
              </w:rPr>
            </w:pPr>
            <w:r>
              <w:rPr>
                <w:rStyle w:val="InstructionsTextChar"/>
                <w:rFonts w:eastAsia="MS Gothic"/>
                <w:color w:val="auto"/>
                <w:sz w:val="20"/>
                <w:szCs w:val="20"/>
                <w:u w:val="single"/>
                <w:shd w:val="clear" w:color="auto" w:fill="auto"/>
                <w:lang w:val="en-GB"/>
              </w:rPr>
              <w:t>GM1 gangliosidosis</w:t>
            </w:r>
            <w:r w:rsidR="009A1DA9">
              <w:rPr>
                <w:rStyle w:val="InstructionsTextChar"/>
                <w:rFonts w:eastAsia="MS Gothic"/>
                <w:color w:val="auto"/>
                <w:sz w:val="20"/>
                <w:szCs w:val="20"/>
                <w:shd w:val="clear" w:color="auto" w:fill="auto"/>
                <w:lang w:val="en-GB"/>
              </w:rPr>
              <w:t>:</w:t>
            </w:r>
            <w:r>
              <w:rPr>
                <w:rStyle w:val="InstructionsTextChar"/>
                <w:rFonts w:eastAsia="MS Gothic"/>
                <w:color w:val="auto"/>
                <w:sz w:val="20"/>
                <w:szCs w:val="20"/>
                <w:u w:val="single"/>
                <w:shd w:val="clear" w:color="auto" w:fill="auto"/>
                <w:lang w:val="en-GB"/>
              </w:rPr>
              <w:t xml:space="preserve"> </w:t>
            </w:r>
            <w:r>
              <w:rPr>
                <w:rStyle w:val="InstructionsTextChar"/>
                <w:rFonts w:eastAsia="MS Gothic"/>
                <w:color w:val="auto"/>
                <w:sz w:val="20"/>
                <w:szCs w:val="20"/>
                <w:shd w:val="clear" w:color="auto" w:fill="auto"/>
                <w:lang w:val="en-GB"/>
              </w:rPr>
              <w:t xml:space="preserve">Median (min, max) GL-1 in plasma decreased from baseline to Week 104 by 4.32 µg/mL (-5.6, -2.6) or 82.87% (-88.4, -69.4) in participants with GM1 gangliosidosis (n=6), and 2.53 µg/mL (-8.5, 14.9), or 70.23% (-89.5, 299.6) in CSF. </w:t>
            </w:r>
            <w:r w:rsidR="009A1DA9">
              <w:rPr>
                <w:rFonts w:cs="Arial Narrow"/>
              </w:rPr>
              <w:t xml:space="preserve"> </w:t>
            </w:r>
            <w:r>
              <w:rPr>
                <w:rFonts w:cs="Arial Narrow"/>
              </w:rPr>
              <w:t xml:space="preserve">Median (min, max) GM1 decreased from baseline to Week 104 in both plasma and CSF by 98.05 ng/mL (-257.2, -30.4) or 52.95% (-78.2, -26.9) and 16.75 ng/mL (-32.4, -8.3) or 29.08% (-56.0, -15.3), respectively. </w:t>
            </w:r>
          </w:p>
          <w:p w14:paraId="560A57F9"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Secondary efficacy endpoint(s) (Secondary Population)</w:t>
            </w:r>
          </w:p>
          <w:p w14:paraId="3D984187" w14:textId="3E010C31" w:rsidR="00224526" w:rsidRPr="00224526"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i/>
                <w:iCs/>
                <w:color w:val="auto"/>
                <w:sz w:val="20"/>
                <w:szCs w:val="20"/>
                <w:shd w:val="clear" w:color="auto" w:fill="auto"/>
                <w:lang w:val="en-GB"/>
              </w:rPr>
              <w:t>Annualized rate of change in 9-HPT</w:t>
            </w:r>
          </w:p>
          <w:p w14:paraId="082F67FA" w14:textId="77777777" w:rsidR="00AC3595" w:rsidRDefault="00AE205D">
            <w:pPr>
              <w:pStyle w:val="TblTextLeft"/>
              <w:rPr>
                <w:rFonts w:cs="Arial Narrow"/>
              </w:rPr>
            </w:pPr>
            <w:r>
              <w:rPr>
                <w:rStyle w:val="InstructionsTextChar"/>
                <w:rFonts w:eastAsia="MS Gothic"/>
                <w:color w:val="auto"/>
                <w:sz w:val="20"/>
                <w:szCs w:val="20"/>
                <w:u w:val="single"/>
                <w:shd w:val="clear" w:color="auto" w:fill="auto"/>
                <w:lang w:val="en-GB"/>
              </w:rPr>
              <w:t>Juvenile/adolescent GM2 gangliosidosis</w:t>
            </w:r>
            <w:r w:rsidR="009A1DA9">
              <w:rPr>
                <w:rStyle w:val="InstructionsTextChar"/>
                <w:rFonts w:eastAsia="MS Gothic"/>
                <w:color w:val="auto"/>
                <w:sz w:val="20"/>
                <w:szCs w:val="20"/>
                <w:shd w:val="clear" w:color="auto" w:fill="auto"/>
                <w:lang w:val="en-GB"/>
              </w:rPr>
              <w:t xml:space="preserve">: </w:t>
            </w:r>
            <w:r>
              <w:rPr>
                <w:rFonts w:cs="Arial Narrow"/>
              </w:rPr>
              <w:t>The median (min, max) of percent change in the 9-HPT from baseline to Week 104 was</w:t>
            </w:r>
          </w:p>
          <w:p w14:paraId="1605E311" w14:textId="4948C80D" w:rsidR="00B46C9C" w:rsidRDefault="00AE205D">
            <w:pPr>
              <w:pStyle w:val="TblTextLeft"/>
              <w:rPr>
                <w:rStyle w:val="InstructionsTextChar"/>
                <w:rFonts w:eastAsia="MS Gothic"/>
                <w:color w:val="auto"/>
                <w:sz w:val="20"/>
                <w:szCs w:val="20"/>
                <w:shd w:val="clear" w:color="auto" w:fill="auto"/>
                <w:lang w:val="en-GB"/>
              </w:rPr>
            </w:pPr>
            <w:r>
              <w:rPr>
                <w:rFonts w:cs="Arial Narrow"/>
              </w:rPr>
              <w:t xml:space="preserve"> -10 (-20, 35)</w:t>
            </w:r>
            <w:r w:rsidR="0048736E">
              <w:rPr>
                <w:rFonts w:cs="Arial Narrow"/>
              </w:rPr>
              <w:t xml:space="preserve"> (n=4)</w:t>
            </w:r>
            <w:r>
              <w:rPr>
                <w:rFonts w:cs="Arial Narrow"/>
              </w:rPr>
              <w:t>.</w:t>
            </w:r>
          </w:p>
          <w:p w14:paraId="1BAF46B3" w14:textId="6E5F243A" w:rsidR="0000764B" w:rsidRPr="0000764B" w:rsidRDefault="00AE205D">
            <w:pPr>
              <w:pStyle w:val="TblTextLeft"/>
              <w:rPr>
                <w:rStyle w:val="InstructionsTextChar"/>
                <w:rFonts w:eastAsia="MS Gothic" w:cs="Arial Narrow"/>
                <w:color w:val="auto"/>
                <w:sz w:val="20"/>
                <w:szCs w:val="20"/>
                <w:shd w:val="clear" w:color="auto" w:fill="auto"/>
              </w:rPr>
            </w:pPr>
            <w:r>
              <w:rPr>
                <w:rStyle w:val="InstructionsTextChar"/>
                <w:rFonts w:eastAsia="MS Gothic"/>
                <w:color w:val="auto"/>
                <w:sz w:val="20"/>
                <w:szCs w:val="20"/>
                <w:u w:val="single"/>
                <w:shd w:val="clear" w:color="auto" w:fill="auto"/>
                <w:lang w:val="en-GB"/>
              </w:rPr>
              <w:t>GM1 gangliosidosis</w:t>
            </w:r>
            <w:r w:rsidR="009A1DA9">
              <w:rPr>
                <w:rFonts w:cs="Arial Narrow"/>
              </w:rPr>
              <w:t xml:space="preserve">: </w:t>
            </w:r>
            <w:r>
              <w:rPr>
                <w:rFonts w:cs="Arial Narrow"/>
              </w:rPr>
              <w:t>The median (min, max) of percent change in the 9-HPT from baseline to Week 104 was -3.1 (-14, 78)</w:t>
            </w:r>
            <w:r w:rsidR="0048736E">
              <w:rPr>
                <w:rFonts w:cs="Arial Narrow"/>
              </w:rPr>
              <w:t xml:space="preserve"> (n=6)</w:t>
            </w:r>
            <w:r>
              <w:rPr>
                <w:rFonts w:cs="Arial Narrow"/>
              </w:rPr>
              <w:t>.</w:t>
            </w:r>
          </w:p>
          <w:p w14:paraId="1B498B5C" w14:textId="458F1C43" w:rsidR="00B46C9C" w:rsidRPr="0000764B"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Change in 25 FWT</w:t>
            </w:r>
          </w:p>
          <w:p w14:paraId="071B7D8C" w14:textId="7DAB4B2D"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u w:val="single"/>
                <w:shd w:val="clear" w:color="auto" w:fill="auto"/>
                <w:lang w:val="en-GB"/>
              </w:rPr>
              <w:t>Juvenile/adolescent GM2 gangliosidosis</w:t>
            </w:r>
            <w:r w:rsidR="009A1DA9">
              <w:rPr>
                <w:rStyle w:val="InstructionsTextChar"/>
                <w:rFonts w:eastAsia="MS Gothic"/>
                <w:color w:val="auto"/>
                <w:sz w:val="20"/>
                <w:szCs w:val="20"/>
                <w:u w:val="single"/>
                <w:shd w:val="clear" w:color="auto" w:fill="auto"/>
                <w:lang w:val="en-GB"/>
              </w:rPr>
              <w:t xml:space="preserve">: </w:t>
            </w:r>
            <w:r>
              <w:rPr>
                <w:rFonts w:cs="Arial Narrow"/>
              </w:rPr>
              <w:t>Over the 104-week PAP, the median (min, max) of percent change from baseline in the 25 FWT was 5.0 (-11, 471)</w:t>
            </w:r>
            <w:r w:rsidR="0048736E">
              <w:rPr>
                <w:rFonts w:cs="Arial Narrow"/>
              </w:rPr>
              <w:t xml:space="preserve"> (n=5)</w:t>
            </w:r>
            <w:r>
              <w:rPr>
                <w:rFonts w:cs="Arial Narrow"/>
              </w:rPr>
              <w:t>.</w:t>
            </w:r>
          </w:p>
          <w:p w14:paraId="438CDB07" w14:textId="18897802" w:rsidR="00B46C9C" w:rsidRDefault="00AE205D">
            <w:pPr>
              <w:pStyle w:val="TblTextLeft"/>
              <w:rPr>
                <w:rFonts w:cs="Arial Narrow"/>
              </w:rPr>
            </w:pPr>
            <w:r>
              <w:rPr>
                <w:rStyle w:val="InstructionsTextChar"/>
                <w:rFonts w:eastAsia="MS Gothic"/>
                <w:color w:val="auto"/>
                <w:sz w:val="20"/>
                <w:szCs w:val="20"/>
                <w:u w:val="single"/>
                <w:shd w:val="clear" w:color="auto" w:fill="auto"/>
                <w:lang w:val="en-GB"/>
              </w:rPr>
              <w:t>GM1 gangliosidosis</w:t>
            </w:r>
            <w:r w:rsidR="009A1DA9">
              <w:rPr>
                <w:rStyle w:val="InstructionsTextChar"/>
                <w:rFonts w:eastAsia="MS Gothic"/>
                <w:color w:val="auto"/>
                <w:sz w:val="20"/>
                <w:szCs w:val="20"/>
                <w:u w:val="single"/>
                <w:shd w:val="clear" w:color="auto" w:fill="auto"/>
                <w:lang w:val="en-GB"/>
              </w:rPr>
              <w:t>:</w:t>
            </w:r>
            <w:r>
              <w:rPr>
                <w:rStyle w:val="InstructionsTextChar"/>
                <w:rFonts w:eastAsia="MS Gothic"/>
                <w:color w:val="auto"/>
                <w:sz w:val="20"/>
                <w:szCs w:val="20"/>
                <w:u w:val="single"/>
                <w:shd w:val="clear" w:color="auto" w:fill="auto"/>
                <w:lang w:val="en-GB"/>
              </w:rPr>
              <w:t xml:space="preserve"> </w:t>
            </w:r>
            <w:r>
              <w:rPr>
                <w:rFonts w:cs="Arial Narrow"/>
              </w:rPr>
              <w:t>Over the 104-week PAP, the median (min, max) percent change was 8.0 (-12, 16)</w:t>
            </w:r>
            <w:r w:rsidR="0048736E">
              <w:rPr>
                <w:rFonts w:cs="Arial Narrow"/>
              </w:rPr>
              <w:t xml:space="preserve"> (n=6)</w:t>
            </w:r>
            <w:r>
              <w:rPr>
                <w:rFonts w:cs="Arial Narrow"/>
              </w:rPr>
              <w:t xml:space="preserve">. </w:t>
            </w:r>
          </w:p>
          <w:p w14:paraId="1EEBEAAB" w14:textId="77777777" w:rsidR="00A41351" w:rsidRDefault="00A41351">
            <w:pPr>
              <w:pStyle w:val="TblTextLeft"/>
              <w:rPr>
                <w:rFonts w:cs="Arial Narrow"/>
              </w:rPr>
            </w:pPr>
          </w:p>
          <w:p w14:paraId="35B9EE14" w14:textId="77777777" w:rsidR="00A41351" w:rsidRDefault="00A41351">
            <w:pPr>
              <w:pStyle w:val="TblTextLeft"/>
              <w:rPr>
                <w:rStyle w:val="InstructionsTextChar"/>
                <w:rFonts w:eastAsia="MS Gothic"/>
                <w:color w:val="auto"/>
                <w:sz w:val="20"/>
                <w:szCs w:val="20"/>
                <w:shd w:val="clear" w:color="auto" w:fill="auto"/>
                <w:lang w:val="en-GB"/>
              </w:rPr>
            </w:pPr>
          </w:p>
          <w:p w14:paraId="475CCD9D" w14:textId="1BFDC3EE" w:rsidR="00224526" w:rsidRPr="0000764B"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Change in Neurological examination of the FARS from baseline to Week</w:t>
            </w:r>
            <w:r w:rsidR="00F93217">
              <w:rPr>
                <w:rStyle w:val="InstructionsTextChar"/>
                <w:rFonts w:eastAsia="MS Gothic"/>
                <w:i/>
                <w:iCs/>
                <w:color w:val="auto"/>
                <w:sz w:val="20"/>
                <w:szCs w:val="20"/>
                <w:shd w:val="clear" w:color="auto" w:fill="auto"/>
                <w:lang w:val="en-GB"/>
              </w:rPr>
              <w:t xml:space="preserve"> 104</w:t>
            </w:r>
            <w:r>
              <w:rPr>
                <w:rStyle w:val="InstructionsTextChar"/>
                <w:rFonts w:eastAsia="MS Gothic"/>
                <w:i/>
                <w:iCs/>
                <w:color w:val="auto"/>
                <w:sz w:val="20"/>
                <w:szCs w:val="20"/>
                <w:shd w:val="clear" w:color="auto" w:fill="auto"/>
                <w:lang w:val="en-GB"/>
              </w:rPr>
              <w:t xml:space="preserve"> </w:t>
            </w:r>
          </w:p>
          <w:p w14:paraId="7D6396E0" w14:textId="738A6DF0"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u w:val="single"/>
                <w:shd w:val="clear" w:color="auto" w:fill="auto"/>
                <w:lang w:val="en-GB"/>
              </w:rPr>
              <w:t>Juvenile/adolescent GM2 gangliosidosis</w:t>
            </w:r>
            <w:r w:rsidR="009A1DA9">
              <w:rPr>
                <w:rStyle w:val="InstructionsTextChar"/>
                <w:rFonts w:eastAsia="MS Gothic"/>
                <w:color w:val="auto"/>
                <w:sz w:val="20"/>
                <w:szCs w:val="20"/>
                <w:shd w:val="clear" w:color="auto" w:fill="auto"/>
                <w:lang w:val="en-GB"/>
              </w:rPr>
              <w:t xml:space="preserve">: </w:t>
            </w:r>
            <w:r>
              <w:rPr>
                <w:rStyle w:val="InstructionsTextChar"/>
                <w:rFonts w:eastAsia="MS Gothic"/>
                <w:color w:val="auto"/>
                <w:sz w:val="20"/>
                <w:szCs w:val="20"/>
                <w:shd w:val="clear" w:color="auto" w:fill="auto"/>
                <w:lang w:val="en-GB"/>
              </w:rPr>
              <w:t xml:space="preserve">The median (min, max) change from baseline to Week 104 was -3.2 (-5, 18) </w:t>
            </w:r>
            <w:r w:rsidR="009A1DA9">
              <w:rPr>
                <w:rStyle w:val="InstructionsTextChar"/>
                <w:rFonts w:eastAsia="MS Gothic"/>
                <w:color w:val="auto"/>
                <w:sz w:val="20"/>
                <w:szCs w:val="20"/>
                <w:shd w:val="clear" w:color="auto" w:fill="auto"/>
                <w:lang w:val="en-GB"/>
              </w:rPr>
              <w:t xml:space="preserve">(n=6). </w:t>
            </w:r>
          </w:p>
          <w:p w14:paraId="384E714E" w14:textId="0F642540" w:rsidR="009A1DA9"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u w:val="single"/>
                <w:shd w:val="clear" w:color="auto" w:fill="auto"/>
                <w:lang w:val="en-GB"/>
              </w:rPr>
              <w:t>GM1</w:t>
            </w:r>
            <w:r w:rsidR="00BC6478">
              <w:rPr>
                <w:rStyle w:val="InstructionsTextChar"/>
                <w:rFonts w:eastAsia="MS Gothic"/>
                <w:color w:val="auto"/>
                <w:sz w:val="20"/>
                <w:szCs w:val="20"/>
                <w:u w:val="single"/>
                <w:shd w:val="clear" w:color="auto" w:fill="auto"/>
                <w:lang w:val="en-GB"/>
              </w:rPr>
              <w:t>gangliosidosis</w:t>
            </w:r>
            <w:r w:rsidR="00BC6478">
              <w:rPr>
                <w:rStyle w:val="InstructionsTextChar"/>
                <w:rFonts w:eastAsia="MS Gothic"/>
                <w:color w:val="auto"/>
                <w:sz w:val="20"/>
                <w:szCs w:val="20"/>
                <w:shd w:val="clear" w:color="auto" w:fill="auto"/>
                <w:lang w:val="en-GB"/>
              </w:rPr>
              <w:t>: The</w:t>
            </w:r>
            <w:r>
              <w:rPr>
                <w:rStyle w:val="InstructionsTextChar"/>
                <w:rFonts w:eastAsia="MS Gothic"/>
                <w:color w:val="auto"/>
                <w:sz w:val="20"/>
                <w:szCs w:val="20"/>
                <w:shd w:val="clear" w:color="auto" w:fill="auto"/>
                <w:lang w:val="en-GB"/>
              </w:rPr>
              <w:t xml:space="preserve"> median (min, max) change from baseline to Week 104 was -1.5 (-32, 16)</w:t>
            </w:r>
            <w:r w:rsidR="009A1DA9">
              <w:rPr>
                <w:rStyle w:val="InstructionsTextChar"/>
                <w:rFonts w:eastAsia="MS Gothic"/>
                <w:color w:val="auto"/>
                <w:sz w:val="20"/>
                <w:szCs w:val="20"/>
                <w:shd w:val="clear" w:color="auto" w:fill="auto"/>
                <w:lang w:val="en-GB"/>
              </w:rPr>
              <w:t xml:space="preserve"> (n=6)</w:t>
            </w:r>
            <w:r>
              <w:rPr>
                <w:rStyle w:val="InstructionsTextChar"/>
                <w:rFonts w:eastAsia="MS Gothic"/>
                <w:color w:val="auto"/>
                <w:sz w:val="20"/>
                <w:szCs w:val="20"/>
                <w:shd w:val="clear" w:color="auto" w:fill="auto"/>
                <w:lang w:val="en-GB"/>
              </w:rPr>
              <w:t xml:space="preserve">. </w:t>
            </w:r>
          </w:p>
          <w:p w14:paraId="34C5325E" w14:textId="77777777" w:rsidR="0000764B" w:rsidRDefault="0000764B">
            <w:pPr>
              <w:pStyle w:val="TblTextLeft"/>
              <w:rPr>
                <w:rStyle w:val="InstructionsTextChar"/>
                <w:rFonts w:eastAsia="MS Gothic"/>
                <w:color w:val="auto"/>
                <w:sz w:val="20"/>
                <w:szCs w:val="20"/>
                <w:shd w:val="clear" w:color="auto" w:fill="auto"/>
                <w:lang w:val="en-GB"/>
              </w:rPr>
            </w:pPr>
          </w:p>
          <w:p w14:paraId="356D7C07"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Safety results:</w:t>
            </w:r>
          </w:p>
          <w:p w14:paraId="443BDE3A"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 xml:space="preserve">Safety Summary </w:t>
            </w:r>
          </w:p>
          <w:p w14:paraId="47C92E10"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Primary analysis period</w:t>
            </w:r>
          </w:p>
          <w:p w14:paraId="0BF8F13C" w14:textId="77777777" w:rsidR="00B46C9C"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Primary Population</w:t>
            </w:r>
          </w:p>
          <w:p w14:paraId="684B40F8"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Overall, 19 (100%) participants in the placebo arm and 40 participants (100%)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experienced at least 1 treatment-emergent adverse event (TEAE). Majority of TEAEs in both placebo and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arms were of mild or moderate intensity. The incidence of severe TEAEs (&gt; Grade 3) was lower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compared to the placebo arm (2 [5.0%] participants and 4 [21.1%]) participants, respectively). The percentage of participants who experienced TEAEs that were considered by the Investigator related to IMP was higher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compared with the placebo arm (12 (30.0%) participants and 4 (21.1%) participants, respectively).</w:t>
            </w:r>
          </w:p>
          <w:p w14:paraId="2A085073"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No fatal TEAEs were reported in the primary population during the PAP. </w:t>
            </w:r>
          </w:p>
          <w:p w14:paraId="1C0303E7"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Treatment-emergent serious adverse events (SAEs) occurred in a similar percentage of participants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and placebo arms (8 [20.0%] participants and 4 [21.1%] participants). No SAE was considered treatment-related by the Investigator.</w:t>
            </w:r>
          </w:p>
          <w:p w14:paraId="3AB96A44"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One participant (2.5%) in the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arm discontinued treatment due to a TEAE compared with none in the placebo arm.</w:t>
            </w:r>
          </w:p>
          <w:p w14:paraId="762E9921" w14:textId="77777777" w:rsidR="00B46C9C" w:rsidRDefault="00AE205D">
            <w:pPr>
              <w:pStyle w:val="TblTextLeft"/>
              <w:rPr>
                <w:rStyle w:val="InstructionsTextChar"/>
                <w:rFonts w:eastAsia="MS Gothic"/>
                <w:i/>
                <w:iCs/>
                <w:color w:val="auto"/>
                <w:sz w:val="20"/>
                <w:szCs w:val="20"/>
                <w:shd w:val="clear" w:color="auto" w:fill="auto"/>
                <w:lang w:val="en-GB"/>
              </w:rPr>
            </w:pPr>
            <w:r>
              <w:rPr>
                <w:rStyle w:val="InstructionsTextChar"/>
                <w:rFonts w:eastAsia="MS Gothic"/>
                <w:i/>
                <w:iCs/>
                <w:color w:val="auto"/>
                <w:sz w:val="20"/>
                <w:szCs w:val="20"/>
                <w:shd w:val="clear" w:color="auto" w:fill="auto"/>
                <w:lang w:val="en-GB"/>
              </w:rPr>
              <w:t>Secondary Population</w:t>
            </w:r>
          </w:p>
          <w:p w14:paraId="74B56C70" w14:textId="651AE0AE"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A total of 14 (87.5%) participants experienced </w:t>
            </w:r>
            <w:r w:rsidR="007B1436">
              <w:rPr>
                <w:rStyle w:val="InstructionsTextChar"/>
                <w:rFonts w:eastAsia="MS Gothic"/>
                <w:color w:val="auto"/>
                <w:sz w:val="20"/>
                <w:szCs w:val="20"/>
                <w:shd w:val="clear" w:color="auto" w:fill="auto"/>
                <w:lang w:val="en-GB"/>
              </w:rPr>
              <w:t>TEAEs</w:t>
            </w:r>
            <w:r>
              <w:rPr>
                <w:rStyle w:val="InstructionsTextChar"/>
                <w:rFonts w:eastAsia="MS Gothic"/>
                <w:color w:val="auto"/>
                <w:sz w:val="20"/>
                <w:szCs w:val="20"/>
                <w:shd w:val="clear" w:color="auto" w:fill="auto"/>
                <w:lang w:val="en-GB"/>
              </w:rPr>
              <w:t xml:space="preserve">. </w:t>
            </w:r>
          </w:p>
          <w:p w14:paraId="078DF433" w14:textId="0CE9DF2A" w:rsidR="00B46C9C" w:rsidRDefault="00CE6255">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A total of 6 </w:t>
            </w:r>
            <w:r w:rsidR="003A0FC0">
              <w:rPr>
                <w:rStyle w:val="InstructionsTextChar"/>
                <w:rFonts w:eastAsia="MS Gothic"/>
                <w:color w:val="auto"/>
                <w:sz w:val="20"/>
                <w:szCs w:val="20"/>
                <w:shd w:val="clear" w:color="auto" w:fill="auto"/>
                <w:lang w:val="en-GB"/>
              </w:rPr>
              <w:t xml:space="preserve">(37.5%) </w:t>
            </w:r>
            <w:r>
              <w:rPr>
                <w:rStyle w:val="InstructionsTextChar"/>
                <w:rFonts w:eastAsia="MS Gothic"/>
                <w:color w:val="auto"/>
                <w:sz w:val="20"/>
                <w:szCs w:val="20"/>
                <w:shd w:val="clear" w:color="auto" w:fill="auto"/>
                <w:lang w:val="en-GB"/>
              </w:rPr>
              <w:t xml:space="preserve">participants </w:t>
            </w:r>
            <w:r w:rsidR="00AE205D">
              <w:rPr>
                <w:rStyle w:val="InstructionsTextChar"/>
                <w:rFonts w:eastAsia="MS Gothic"/>
                <w:color w:val="auto"/>
                <w:sz w:val="20"/>
                <w:szCs w:val="20"/>
                <w:shd w:val="clear" w:color="auto" w:fill="auto"/>
                <w:lang w:val="en-GB"/>
              </w:rPr>
              <w:t xml:space="preserve">experienced SAEs. </w:t>
            </w:r>
          </w:p>
          <w:p w14:paraId="6BDE02E5" w14:textId="072887E2"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Majority of participants from the secondary population had TEAEs of moderate (8 participants [50%]) or mild (4 participants [25%]) intensity. Two (12.5%) participants experienced TEAEs of severe intensity</w:t>
            </w:r>
            <w:r w:rsidR="00E73B1B">
              <w:rPr>
                <w:rStyle w:val="InstructionsTextChar"/>
                <w:rFonts w:eastAsia="MS Gothic"/>
                <w:color w:val="auto"/>
                <w:sz w:val="20"/>
                <w:szCs w:val="20"/>
                <w:shd w:val="clear" w:color="auto" w:fill="auto"/>
                <w:lang w:val="en-GB"/>
              </w:rPr>
              <w:t>.</w:t>
            </w:r>
            <w:r>
              <w:rPr>
                <w:rStyle w:val="InstructionsTextChar"/>
                <w:rFonts w:eastAsia="MS Gothic"/>
                <w:color w:val="auto"/>
                <w:sz w:val="20"/>
                <w:szCs w:val="20"/>
                <w:shd w:val="clear" w:color="auto" w:fill="auto"/>
                <w:lang w:val="en-GB"/>
              </w:rPr>
              <w:t xml:space="preserve"> </w:t>
            </w:r>
          </w:p>
          <w:p w14:paraId="3F21F823" w14:textId="3046753D"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One</w:t>
            </w:r>
            <w:r w:rsidR="00C653FF">
              <w:rPr>
                <w:rStyle w:val="InstructionsTextChar"/>
                <w:rFonts w:eastAsia="MS Gothic"/>
                <w:color w:val="auto"/>
                <w:sz w:val="20"/>
                <w:szCs w:val="20"/>
                <w:shd w:val="clear" w:color="auto" w:fill="auto"/>
                <w:lang w:val="en-GB"/>
              </w:rPr>
              <w:t xml:space="preserve"> fatal TEAE was reported</w:t>
            </w:r>
            <w:r w:rsidR="004D4026">
              <w:rPr>
                <w:rStyle w:val="InstructionsTextChar"/>
                <w:rFonts w:eastAsia="MS Gothic"/>
                <w:color w:val="auto"/>
                <w:sz w:val="20"/>
                <w:szCs w:val="20"/>
                <w:shd w:val="clear" w:color="auto" w:fill="auto"/>
                <w:lang w:val="en-GB"/>
              </w:rPr>
              <w:t xml:space="preserve"> in the secondary population</w:t>
            </w:r>
            <w:r w:rsidR="0093275F">
              <w:rPr>
                <w:rStyle w:val="InstructionsTextChar"/>
                <w:rFonts w:eastAsia="MS Gothic"/>
                <w:color w:val="auto"/>
                <w:sz w:val="20"/>
                <w:szCs w:val="20"/>
                <w:shd w:val="clear" w:color="auto" w:fill="auto"/>
                <w:lang w:val="en-GB"/>
              </w:rPr>
              <w:t xml:space="preserve"> during the PAP</w:t>
            </w:r>
            <w:r>
              <w:rPr>
                <w:rStyle w:val="InstructionsTextChar"/>
                <w:rFonts w:eastAsia="MS Gothic"/>
                <w:color w:val="auto"/>
                <w:sz w:val="20"/>
                <w:szCs w:val="20"/>
                <w:shd w:val="clear" w:color="auto" w:fill="auto"/>
                <w:lang w:val="en-GB"/>
              </w:rPr>
              <w:t>.</w:t>
            </w:r>
          </w:p>
          <w:p w14:paraId="153934C1" w14:textId="77777777" w:rsidR="00B46C9C" w:rsidRDefault="00AE205D">
            <w:pPr>
              <w:pStyle w:val="TblTextLeft"/>
              <w:rPr>
                <w:rStyle w:val="InstructionsTextChar"/>
                <w:rFonts w:eastAsia="MS Gothic"/>
                <w:b/>
                <w:bCs/>
                <w:color w:val="000000" w:themeColor="text1"/>
                <w:sz w:val="20"/>
                <w:szCs w:val="20"/>
                <w:shd w:val="clear" w:color="auto" w:fill="auto"/>
                <w:lang w:val="en-GB"/>
              </w:rPr>
            </w:pPr>
            <w:r>
              <w:rPr>
                <w:rStyle w:val="InstructionsTextChar"/>
                <w:rFonts w:eastAsia="MS Gothic"/>
                <w:b/>
                <w:bCs/>
                <w:color w:val="000000" w:themeColor="text1"/>
                <w:sz w:val="20"/>
                <w:szCs w:val="20"/>
                <w:shd w:val="clear" w:color="auto" w:fill="auto"/>
                <w:lang w:val="en-GB"/>
              </w:rPr>
              <w:t>Open-label extension period</w:t>
            </w:r>
          </w:p>
          <w:p w14:paraId="4EA98204" w14:textId="77777777" w:rsidR="00B46C9C" w:rsidRDefault="00AE205D">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Overall, 35 (70%) participants in the primary population and 10 participants (71.4%) in the secondary population experienced at least one TEAE.</w:t>
            </w:r>
          </w:p>
          <w:p w14:paraId="57EDAC3E" w14:textId="16B8CA04" w:rsidR="00B46C9C" w:rsidRDefault="00AE205D">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 xml:space="preserve">Majority of TEAEs in the primary and secondary populations were of mild or moderate intensity. Severe TEAEs (&gt; Grade 3) were reported by 2 (12.5%) participants </w:t>
            </w:r>
            <w:r w:rsidR="00550D4A">
              <w:rPr>
                <w:rStyle w:val="InstructionsTextChar"/>
                <w:rFonts w:eastAsia="MS Gothic"/>
                <w:color w:val="000000" w:themeColor="text1"/>
                <w:sz w:val="20"/>
                <w:szCs w:val="20"/>
                <w:shd w:val="clear" w:color="auto" w:fill="auto"/>
                <w:lang w:val="en-GB"/>
              </w:rPr>
              <w:t>in the</w:t>
            </w:r>
            <w:r w:rsidR="0006247B">
              <w:rPr>
                <w:rStyle w:val="InstructionsTextChar"/>
                <w:rFonts w:eastAsia="MS Gothic"/>
                <w:color w:val="000000" w:themeColor="text1"/>
                <w:sz w:val="20"/>
                <w:szCs w:val="20"/>
                <w:shd w:val="clear" w:color="auto" w:fill="auto"/>
                <w:lang w:val="en-GB"/>
              </w:rPr>
              <w:t xml:space="preserve"> placebo </w:t>
            </w:r>
            <w:r w:rsidR="00550D4A">
              <w:rPr>
                <w:rStyle w:val="InstructionsTextChar"/>
                <w:rFonts w:eastAsia="MS Gothic"/>
                <w:color w:val="000000" w:themeColor="text1"/>
                <w:sz w:val="20"/>
                <w:szCs w:val="20"/>
                <w:shd w:val="clear" w:color="auto" w:fill="auto"/>
                <w:lang w:val="en-GB"/>
              </w:rPr>
              <w:t xml:space="preserve">arm </w:t>
            </w:r>
            <w:r w:rsidR="0006247B">
              <w:rPr>
                <w:rStyle w:val="InstructionsTextChar"/>
                <w:rFonts w:eastAsia="MS Gothic"/>
                <w:color w:val="000000" w:themeColor="text1"/>
                <w:sz w:val="20"/>
                <w:szCs w:val="20"/>
                <w:shd w:val="clear" w:color="auto" w:fill="auto"/>
                <w:lang w:val="en-GB"/>
              </w:rPr>
              <w:t>during the PAP</w:t>
            </w:r>
            <w:r>
              <w:rPr>
                <w:rStyle w:val="InstructionsTextChar"/>
                <w:rFonts w:eastAsia="MS Gothic"/>
                <w:color w:val="000000" w:themeColor="text1"/>
                <w:sz w:val="20"/>
                <w:szCs w:val="20"/>
                <w:shd w:val="clear" w:color="auto" w:fill="auto"/>
                <w:lang w:val="en-GB"/>
              </w:rPr>
              <w:t xml:space="preserve"> and 1 (2.9%) participant from early </w:t>
            </w:r>
            <w:proofErr w:type="spellStart"/>
            <w:r>
              <w:rPr>
                <w:rStyle w:val="InstructionsTextChar"/>
                <w:rFonts w:eastAsia="MS Gothic"/>
                <w:color w:val="000000" w:themeColor="text1"/>
                <w:sz w:val="20"/>
                <w:szCs w:val="20"/>
                <w:shd w:val="clear" w:color="auto" w:fill="auto"/>
                <w:lang w:val="en-GB"/>
              </w:rPr>
              <w:t>venglustat</w:t>
            </w:r>
            <w:proofErr w:type="spellEnd"/>
            <w:r>
              <w:rPr>
                <w:rStyle w:val="InstructionsTextChar"/>
                <w:rFonts w:eastAsia="MS Gothic"/>
                <w:color w:val="000000" w:themeColor="text1"/>
                <w:sz w:val="20"/>
                <w:szCs w:val="20"/>
                <w:shd w:val="clear" w:color="auto" w:fill="auto"/>
                <w:lang w:val="en-GB"/>
              </w:rPr>
              <w:t xml:space="preserve"> arm. During the open-label extension (OLE) period, no participant from the secondary population had a severe TEAE. The percentage of participants who experienced TEAEs considered by the Investigator as related to the IMP was 3 (6.0%) participants in the primary population and none in the secondary population.</w:t>
            </w:r>
          </w:p>
          <w:p w14:paraId="53F5A9BA" w14:textId="4FCD0D69" w:rsidR="00B46C9C" w:rsidRDefault="00AE205D">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One fatal TEAE was reported in the primary population. No death was reported in the secondary population.</w:t>
            </w:r>
          </w:p>
          <w:p w14:paraId="127D314B" w14:textId="77777777" w:rsidR="00B46C9C" w:rsidRDefault="00AE205D">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Treatment-emergent SAEs occurred in 6 (12.0%) participants from primary population and 2 (14.3%) participants in secondary population. No SAE was considered treatment-related by the Investigator.</w:t>
            </w:r>
          </w:p>
          <w:p w14:paraId="13FD0B25" w14:textId="46FBF90C" w:rsidR="008F3F0B" w:rsidRDefault="00AE205D">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No participants discontinued treatment due to a TEAE except for 1 participant who died during the OLE period.</w:t>
            </w:r>
          </w:p>
          <w:p w14:paraId="4BC0FE43" w14:textId="77777777" w:rsidR="00A41351" w:rsidRDefault="00A41351">
            <w:pPr>
              <w:pStyle w:val="TblTextLeft"/>
              <w:rPr>
                <w:rStyle w:val="InstructionsTextChar"/>
                <w:rFonts w:eastAsia="MS Gothic"/>
                <w:color w:val="000000" w:themeColor="text1"/>
                <w:sz w:val="20"/>
                <w:szCs w:val="20"/>
                <w:shd w:val="clear" w:color="auto" w:fill="auto"/>
                <w:lang w:val="en-GB"/>
              </w:rPr>
            </w:pPr>
          </w:p>
          <w:p w14:paraId="5060F759" w14:textId="77777777" w:rsidR="00A41351" w:rsidRPr="008F3F0B" w:rsidRDefault="00A41351">
            <w:pPr>
              <w:pStyle w:val="TblTextLeft"/>
              <w:rPr>
                <w:rStyle w:val="InstructionsTextChar"/>
                <w:rFonts w:eastAsia="MS Gothic"/>
                <w:color w:val="000000" w:themeColor="text1"/>
                <w:sz w:val="20"/>
                <w:szCs w:val="20"/>
                <w:shd w:val="clear" w:color="auto" w:fill="auto"/>
                <w:lang w:val="en-GB"/>
              </w:rPr>
            </w:pPr>
          </w:p>
          <w:p w14:paraId="708ABB9B" w14:textId="77777777" w:rsidR="00B46C9C" w:rsidRDefault="00AE205D">
            <w:pPr>
              <w:pStyle w:val="TblTextLeft"/>
              <w:rPr>
                <w:rStyle w:val="InstructionsTextChar"/>
                <w:rFonts w:eastAsia="MS Gothic"/>
                <w:b/>
                <w:bCs/>
                <w:color w:val="000000" w:themeColor="text1"/>
                <w:sz w:val="20"/>
                <w:szCs w:val="20"/>
                <w:shd w:val="clear" w:color="auto" w:fill="auto"/>
                <w:lang w:val="en-GB"/>
              </w:rPr>
            </w:pPr>
            <w:r>
              <w:rPr>
                <w:rStyle w:val="InstructionsTextChar"/>
                <w:rFonts w:eastAsia="MS Gothic"/>
                <w:b/>
                <w:bCs/>
                <w:color w:val="000000" w:themeColor="text1"/>
                <w:sz w:val="20"/>
                <w:szCs w:val="20"/>
                <w:shd w:val="clear" w:color="auto" w:fill="auto"/>
                <w:lang w:val="en-GB"/>
              </w:rPr>
              <w:t xml:space="preserve">Deaths </w:t>
            </w:r>
          </w:p>
          <w:p w14:paraId="154C14FC" w14:textId="77777777" w:rsidR="00B46C9C" w:rsidRDefault="00AE205D">
            <w:pPr>
              <w:pStyle w:val="TblTextLeft"/>
              <w:rPr>
                <w:rStyle w:val="InstructionsTextChar"/>
                <w:rFonts w:eastAsia="MS Gothic"/>
                <w:i/>
                <w:iCs/>
                <w:color w:val="000000" w:themeColor="text1"/>
                <w:sz w:val="20"/>
                <w:szCs w:val="20"/>
                <w:shd w:val="clear" w:color="auto" w:fill="auto"/>
                <w:lang w:val="en-GB"/>
              </w:rPr>
            </w:pPr>
            <w:r>
              <w:rPr>
                <w:rStyle w:val="InstructionsTextChar"/>
                <w:rFonts w:eastAsia="MS Gothic"/>
                <w:i/>
                <w:iCs/>
                <w:color w:val="000000" w:themeColor="text1"/>
                <w:sz w:val="20"/>
                <w:szCs w:val="20"/>
                <w:shd w:val="clear" w:color="auto" w:fill="auto"/>
                <w:lang w:val="en-GB"/>
              </w:rPr>
              <w:t xml:space="preserve">Primary analysis period </w:t>
            </w:r>
          </w:p>
          <w:p w14:paraId="22CDBBC6" w14:textId="04723C13" w:rsidR="00B46C9C" w:rsidRDefault="00AE7A26">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One</w:t>
            </w:r>
            <w:r w:rsidR="00AE205D">
              <w:rPr>
                <w:rStyle w:val="InstructionsTextChar"/>
                <w:rFonts w:eastAsia="MS Gothic"/>
                <w:color w:val="000000" w:themeColor="text1"/>
                <w:sz w:val="20"/>
                <w:szCs w:val="20"/>
                <w:shd w:val="clear" w:color="auto" w:fill="auto"/>
                <w:lang w:val="en-GB"/>
              </w:rPr>
              <w:t xml:space="preserve"> TEAE leading to death during the PAP </w:t>
            </w:r>
            <w:r w:rsidR="00E25C6E">
              <w:rPr>
                <w:rStyle w:val="InstructionsTextChar"/>
                <w:rFonts w:eastAsia="MS Gothic"/>
                <w:color w:val="000000" w:themeColor="text1"/>
                <w:sz w:val="20"/>
                <w:szCs w:val="20"/>
                <w:shd w:val="clear" w:color="auto" w:fill="auto"/>
                <w:lang w:val="en-GB"/>
              </w:rPr>
              <w:t xml:space="preserve">was </w:t>
            </w:r>
            <w:r w:rsidR="00AE205D">
              <w:rPr>
                <w:rStyle w:val="InstructionsTextChar"/>
                <w:rFonts w:eastAsia="MS Gothic"/>
                <w:color w:val="000000" w:themeColor="text1"/>
                <w:sz w:val="20"/>
                <w:szCs w:val="20"/>
                <w:shd w:val="clear" w:color="auto" w:fill="auto"/>
                <w:lang w:val="en-GB"/>
              </w:rPr>
              <w:t>reported in the secondary population.</w:t>
            </w:r>
          </w:p>
          <w:p w14:paraId="49A9658F" w14:textId="77777777" w:rsidR="00B46C9C" w:rsidRDefault="00AE205D">
            <w:pPr>
              <w:pStyle w:val="TblTextLeft"/>
              <w:rPr>
                <w:rStyle w:val="InstructionsTextChar"/>
                <w:rFonts w:eastAsia="MS Gothic"/>
                <w:i/>
                <w:iCs/>
                <w:color w:val="000000" w:themeColor="text1"/>
                <w:sz w:val="20"/>
                <w:szCs w:val="20"/>
                <w:shd w:val="clear" w:color="auto" w:fill="auto"/>
                <w:lang w:val="en-GB"/>
              </w:rPr>
            </w:pPr>
            <w:r>
              <w:rPr>
                <w:rStyle w:val="InstructionsTextChar"/>
                <w:rFonts w:eastAsia="MS Gothic"/>
                <w:i/>
                <w:iCs/>
                <w:color w:val="000000" w:themeColor="text1"/>
                <w:sz w:val="20"/>
                <w:szCs w:val="20"/>
                <w:shd w:val="clear" w:color="auto" w:fill="auto"/>
                <w:lang w:val="en-GB"/>
              </w:rPr>
              <w:t xml:space="preserve">Open-label period </w:t>
            </w:r>
          </w:p>
          <w:p w14:paraId="02A9F57F" w14:textId="4B8E1188" w:rsidR="00B46C9C" w:rsidRDefault="00D75C44">
            <w:pPr>
              <w:pStyle w:val="TblTextLeft"/>
              <w:rPr>
                <w:rStyle w:val="InstructionsTextChar"/>
                <w:rFonts w:eastAsia="MS Gothic"/>
                <w:color w:val="000000" w:themeColor="text1"/>
                <w:sz w:val="20"/>
                <w:szCs w:val="20"/>
                <w:shd w:val="clear" w:color="auto" w:fill="auto"/>
                <w:lang w:val="en-GB"/>
              </w:rPr>
            </w:pPr>
            <w:r>
              <w:rPr>
                <w:rStyle w:val="InstructionsTextChar"/>
                <w:rFonts w:eastAsia="MS Gothic"/>
                <w:color w:val="000000" w:themeColor="text1"/>
                <w:sz w:val="20"/>
                <w:szCs w:val="20"/>
                <w:shd w:val="clear" w:color="auto" w:fill="auto"/>
                <w:lang w:val="en-GB"/>
              </w:rPr>
              <w:t>One</w:t>
            </w:r>
            <w:r w:rsidR="00F54C35">
              <w:rPr>
                <w:rStyle w:val="InstructionsTextChar"/>
                <w:rFonts w:eastAsia="MS Gothic"/>
                <w:color w:val="000000" w:themeColor="text1"/>
                <w:sz w:val="20"/>
                <w:szCs w:val="20"/>
                <w:shd w:val="clear" w:color="auto" w:fill="auto"/>
                <w:lang w:val="en-GB"/>
              </w:rPr>
              <w:t xml:space="preserve"> </w:t>
            </w:r>
            <w:r w:rsidR="00D00CC3">
              <w:rPr>
                <w:rStyle w:val="InstructionsTextChar"/>
                <w:rFonts w:eastAsia="MS Gothic"/>
                <w:color w:val="000000" w:themeColor="text1"/>
                <w:sz w:val="20"/>
                <w:szCs w:val="20"/>
                <w:shd w:val="clear" w:color="auto" w:fill="auto"/>
                <w:lang w:val="en-GB"/>
              </w:rPr>
              <w:t xml:space="preserve">fatal </w:t>
            </w:r>
            <w:r w:rsidR="00AE205D">
              <w:rPr>
                <w:rStyle w:val="InstructionsTextChar"/>
                <w:rFonts w:eastAsia="MS Gothic"/>
                <w:color w:val="000000" w:themeColor="text1"/>
                <w:sz w:val="20"/>
                <w:szCs w:val="20"/>
                <w:shd w:val="clear" w:color="auto" w:fill="auto"/>
                <w:lang w:val="en-GB"/>
              </w:rPr>
              <w:t xml:space="preserve">TEAE </w:t>
            </w:r>
            <w:r w:rsidR="00F430A5">
              <w:rPr>
                <w:rStyle w:val="InstructionsTextChar"/>
                <w:rFonts w:eastAsia="MS Gothic"/>
                <w:color w:val="000000" w:themeColor="text1"/>
                <w:sz w:val="20"/>
                <w:szCs w:val="20"/>
                <w:shd w:val="clear" w:color="auto" w:fill="auto"/>
                <w:lang w:val="en-GB"/>
              </w:rPr>
              <w:t xml:space="preserve">was </w:t>
            </w:r>
            <w:r w:rsidR="00AE205D">
              <w:rPr>
                <w:rStyle w:val="InstructionsTextChar"/>
                <w:rFonts w:eastAsia="MS Gothic"/>
                <w:color w:val="000000" w:themeColor="text1"/>
                <w:sz w:val="20"/>
                <w:szCs w:val="20"/>
                <w:shd w:val="clear" w:color="auto" w:fill="auto"/>
                <w:lang w:val="en-GB"/>
              </w:rPr>
              <w:t xml:space="preserve">reported during the OLE period in primary population in delayed </w:t>
            </w:r>
            <w:proofErr w:type="spellStart"/>
            <w:r w:rsidR="00AE205D">
              <w:rPr>
                <w:rStyle w:val="InstructionsTextChar"/>
                <w:rFonts w:eastAsia="MS Gothic"/>
                <w:color w:val="000000" w:themeColor="text1"/>
                <w:sz w:val="20"/>
                <w:szCs w:val="20"/>
                <w:shd w:val="clear" w:color="auto" w:fill="auto"/>
                <w:lang w:val="en-GB"/>
              </w:rPr>
              <w:t>venglustat</w:t>
            </w:r>
            <w:proofErr w:type="spellEnd"/>
            <w:r w:rsidR="00AE205D">
              <w:rPr>
                <w:rStyle w:val="InstructionsTextChar"/>
                <w:rFonts w:eastAsia="MS Gothic"/>
                <w:color w:val="000000" w:themeColor="text1"/>
                <w:sz w:val="20"/>
                <w:szCs w:val="20"/>
                <w:shd w:val="clear" w:color="auto" w:fill="auto"/>
                <w:lang w:val="en-GB"/>
              </w:rPr>
              <w:t xml:space="preserve"> arm.</w:t>
            </w:r>
          </w:p>
          <w:p w14:paraId="6223036D" w14:textId="77777777" w:rsidR="00B46C9C" w:rsidRDefault="00AE205D">
            <w:pPr>
              <w:pStyle w:val="TblTextLeft"/>
              <w:rPr>
                <w:b/>
                <w:bCs/>
                <w:lang w:val="en-GB"/>
              </w:rPr>
            </w:pPr>
            <w:r>
              <w:rPr>
                <w:b/>
                <w:bCs/>
                <w:lang w:val="en-GB"/>
              </w:rPr>
              <w:t xml:space="preserve">Adverse events of special interest </w:t>
            </w:r>
          </w:p>
          <w:p w14:paraId="744748D5" w14:textId="77777777" w:rsidR="00B46C9C" w:rsidRDefault="00AE205D">
            <w:pPr>
              <w:pStyle w:val="TblTextLeft"/>
              <w:rPr>
                <w:lang w:val="en-GB"/>
              </w:rPr>
            </w:pPr>
            <w:r>
              <w:rPr>
                <w:lang w:val="en-GB"/>
              </w:rPr>
              <w:t xml:space="preserve">Adverse events of special interest for this study were: pregnancy in a female participant or in a female partner of a male participant, symptomatic overdose with study intervention, increase in alanine aminotransferase, and new or worsening lenticular opacity and cataract. </w:t>
            </w:r>
          </w:p>
          <w:p w14:paraId="6DC20438" w14:textId="77777777" w:rsidR="00B46C9C" w:rsidRDefault="00AE205D">
            <w:pPr>
              <w:pStyle w:val="TblTextLeft"/>
              <w:rPr>
                <w:lang w:val="en-GB"/>
              </w:rPr>
            </w:pPr>
            <w:r>
              <w:rPr>
                <w:lang w:val="en-GB"/>
              </w:rPr>
              <w:t xml:space="preserve">There were no pregnancies, nor symptomatic overdoses reported during the study. </w:t>
            </w:r>
          </w:p>
          <w:p w14:paraId="4728C776" w14:textId="77777777" w:rsidR="00B46C9C" w:rsidRDefault="00AE205D">
            <w:pPr>
              <w:pStyle w:val="TblTextLeft"/>
              <w:rPr>
                <w:i/>
                <w:iCs/>
                <w:lang w:val="en-GB"/>
              </w:rPr>
            </w:pPr>
            <w:r>
              <w:rPr>
                <w:i/>
                <w:iCs/>
                <w:lang w:val="en-GB"/>
              </w:rPr>
              <w:t xml:space="preserve">Primary analysis period </w:t>
            </w:r>
          </w:p>
          <w:p w14:paraId="0278E219" w14:textId="77777777" w:rsidR="00B46C9C" w:rsidRDefault="00AE205D">
            <w:pPr>
              <w:pStyle w:val="TblTextLeft"/>
              <w:rPr>
                <w:lang w:val="en-GB"/>
              </w:rPr>
            </w:pPr>
            <w:r>
              <w:rPr>
                <w:lang w:val="en-GB"/>
              </w:rPr>
              <w:t xml:space="preserve">From the primary population, a total of 6 (31.6%) participants in the placebo arm and 4 (10.0%) participants in the </w:t>
            </w:r>
            <w:proofErr w:type="spellStart"/>
            <w:r>
              <w:rPr>
                <w:lang w:val="en-GB"/>
              </w:rPr>
              <w:t>venglustat</w:t>
            </w:r>
            <w:proofErr w:type="spellEnd"/>
            <w:r>
              <w:rPr>
                <w:lang w:val="en-GB"/>
              </w:rPr>
              <w:t xml:space="preserve"> arm experienced a treatment-emergent AESI. </w:t>
            </w:r>
          </w:p>
          <w:p w14:paraId="72867F98" w14:textId="77777777" w:rsidR="00B46C9C" w:rsidRDefault="00AE205D">
            <w:pPr>
              <w:pStyle w:val="TblTextLeft"/>
              <w:rPr>
                <w:lang w:val="en-GB"/>
              </w:rPr>
            </w:pPr>
            <w:r>
              <w:rPr>
                <w:lang w:val="en-GB"/>
              </w:rPr>
              <w:t>No participants from the secondary population experienced treatment-emergent AESIs.</w:t>
            </w:r>
          </w:p>
          <w:p w14:paraId="2CD9D200" w14:textId="77777777" w:rsidR="00B46C9C" w:rsidRDefault="00AE205D">
            <w:pPr>
              <w:pStyle w:val="TblTextLeft"/>
              <w:rPr>
                <w:i/>
                <w:iCs/>
                <w:lang w:val="en-GB"/>
              </w:rPr>
            </w:pPr>
            <w:r>
              <w:rPr>
                <w:i/>
                <w:iCs/>
                <w:lang w:val="en-GB"/>
              </w:rPr>
              <w:t xml:space="preserve">Open-label period </w:t>
            </w:r>
          </w:p>
          <w:p w14:paraId="3B5A0412" w14:textId="77777777" w:rsidR="00B46C9C" w:rsidRDefault="00AE205D">
            <w:pPr>
              <w:pStyle w:val="TblTextLeft"/>
              <w:rPr>
                <w:lang w:val="en-GB"/>
              </w:rPr>
            </w:pPr>
            <w:r>
              <w:rPr>
                <w:lang w:val="en-GB"/>
              </w:rPr>
              <w:t xml:space="preserve">A total 3 (6.0%) participants from the primary population and 1 (7.1%) participant in the secondary population experienced treatment-emergent AESIs. </w:t>
            </w:r>
          </w:p>
          <w:p w14:paraId="075AF79E" w14:textId="77777777" w:rsidR="00B46C9C" w:rsidRDefault="00AE205D">
            <w:pPr>
              <w:pStyle w:val="TblTextLeft"/>
              <w:rPr>
                <w:lang w:val="en-GB"/>
              </w:rPr>
            </w:pPr>
            <w:r>
              <w:rPr>
                <w:lang w:val="en-GB"/>
              </w:rPr>
              <w:t xml:space="preserve">New or worsening lens opacities and cataracts </w:t>
            </w:r>
          </w:p>
          <w:p w14:paraId="47DA0A0B" w14:textId="77777777" w:rsidR="00B46C9C" w:rsidRDefault="00AE205D">
            <w:pPr>
              <w:pStyle w:val="TblTextLeft"/>
              <w:rPr>
                <w:lang w:val="en-GB"/>
              </w:rPr>
            </w:pPr>
            <w:r>
              <w:rPr>
                <w:lang w:val="en-GB"/>
              </w:rPr>
              <w:t>New or worsening lens opacities and cataracts are considered as potential risk for the population 2 to 18 years old. In the AMETHIST study, all new or worsening TEAEs of lens opacities and cataracts were considered as AESIs.</w:t>
            </w:r>
          </w:p>
          <w:p w14:paraId="12C010D4" w14:textId="77777777" w:rsidR="00B46C9C" w:rsidRDefault="00AE205D">
            <w:pPr>
              <w:pStyle w:val="TblTextLeft"/>
              <w:rPr>
                <w:i/>
                <w:iCs/>
                <w:lang w:val="en-GB"/>
              </w:rPr>
            </w:pPr>
            <w:r>
              <w:rPr>
                <w:i/>
                <w:iCs/>
                <w:lang w:val="en-GB"/>
              </w:rPr>
              <w:t xml:space="preserve">Adult population </w:t>
            </w:r>
          </w:p>
          <w:p w14:paraId="6D525DC5" w14:textId="5DA8F875" w:rsidR="00B46C9C" w:rsidRDefault="00AE205D">
            <w:pPr>
              <w:pStyle w:val="TblTextLeft"/>
              <w:rPr>
                <w:lang w:val="en-GB"/>
              </w:rPr>
            </w:pPr>
            <w:r>
              <w:rPr>
                <w:lang w:val="en-GB"/>
              </w:rPr>
              <w:t xml:space="preserve">During the primary analysis period, in the primary population, 6 (31.6%) participants in the placebo arm and 4 (10.0%) participants in the </w:t>
            </w:r>
            <w:proofErr w:type="spellStart"/>
            <w:r>
              <w:rPr>
                <w:lang w:val="en-GB"/>
              </w:rPr>
              <w:t>venglustat</w:t>
            </w:r>
            <w:proofErr w:type="spellEnd"/>
            <w:r>
              <w:rPr>
                <w:lang w:val="en-GB"/>
              </w:rPr>
              <w:t xml:space="preserve"> arm experienced eye disorders considered as AESIs. </w:t>
            </w:r>
          </w:p>
          <w:p w14:paraId="0BE436B8" w14:textId="244375E2" w:rsidR="00B46C9C" w:rsidRDefault="00AE205D">
            <w:pPr>
              <w:pStyle w:val="TblTextLeft"/>
              <w:rPr>
                <w:lang w:val="en-GB"/>
              </w:rPr>
            </w:pPr>
            <w:r>
              <w:rPr>
                <w:lang w:val="en-GB"/>
              </w:rPr>
              <w:t>During the OLE period, a total of 2 adult participants from primary population reported</w:t>
            </w:r>
            <w:r w:rsidR="00DC1FD2">
              <w:rPr>
                <w:lang w:val="en-GB"/>
              </w:rPr>
              <w:t xml:space="preserve"> cataract</w:t>
            </w:r>
            <w:r w:rsidR="00E73B1B">
              <w:rPr>
                <w:lang w:val="en-GB"/>
              </w:rPr>
              <w:t>.</w:t>
            </w:r>
          </w:p>
          <w:p w14:paraId="4D13F6E7" w14:textId="77777777" w:rsidR="00B46C9C" w:rsidRDefault="00AE205D">
            <w:pPr>
              <w:pStyle w:val="TblTextLeft"/>
              <w:rPr>
                <w:i/>
                <w:iCs/>
                <w:lang w:val="en-GB"/>
              </w:rPr>
            </w:pPr>
            <w:proofErr w:type="spellStart"/>
            <w:r>
              <w:rPr>
                <w:i/>
                <w:iCs/>
                <w:lang w:val="en-GB"/>
              </w:rPr>
              <w:t>Pediatric</w:t>
            </w:r>
            <w:proofErr w:type="spellEnd"/>
            <w:r>
              <w:rPr>
                <w:i/>
                <w:iCs/>
                <w:lang w:val="en-GB"/>
              </w:rPr>
              <w:t xml:space="preserve"> population </w:t>
            </w:r>
          </w:p>
          <w:p w14:paraId="11F3CF64" w14:textId="7727A812" w:rsidR="00B46C9C" w:rsidRDefault="00AE205D">
            <w:pPr>
              <w:pStyle w:val="TblTextLeft"/>
              <w:rPr>
                <w:lang w:val="en-GB"/>
              </w:rPr>
            </w:pPr>
            <w:r>
              <w:rPr>
                <w:lang w:val="en-GB"/>
              </w:rPr>
              <w:t>During the OLE period, one participant</w:t>
            </w:r>
            <w:r w:rsidR="003470ED">
              <w:rPr>
                <w:lang w:val="en-GB"/>
              </w:rPr>
              <w:t xml:space="preserve"> </w:t>
            </w:r>
            <w:r w:rsidR="00E73B1B">
              <w:rPr>
                <w:lang w:val="en-GB"/>
              </w:rPr>
              <w:t>reported bilateral</w:t>
            </w:r>
            <w:r>
              <w:rPr>
                <w:lang w:val="en-GB"/>
              </w:rPr>
              <w:t xml:space="preserve"> nuclear cataract</w:t>
            </w:r>
            <w:r w:rsidR="00F25EA8">
              <w:rPr>
                <w:lang w:val="en-GB"/>
              </w:rPr>
              <w:t>.</w:t>
            </w:r>
          </w:p>
          <w:p w14:paraId="5167F024" w14:textId="77777777" w:rsidR="00B46C9C" w:rsidRDefault="00AE205D">
            <w:pPr>
              <w:pStyle w:val="TblTextLeft"/>
              <w:rPr>
                <w:u w:val="single"/>
                <w:lang w:val="en-GB"/>
              </w:rPr>
            </w:pPr>
            <w:r>
              <w:rPr>
                <w:u w:val="single"/>
                <w:lang w:val="en-GB"/>
              </w:rPr>
              <w:t xml:space="preserve">Alanine aminotransferase increased </w:t>
            </w:r>
          </w:p>
          <w:p w14:paraId="1B74737E" w14:textId="3526B629" w:rsidR="00B46C9C" w:rsidRDefault="00AE205D">
            <w:pPr>
              <w:pStyle w:val="TblTextLeft"/>
              <w:rPr>
                <w:lang w:val="en-GB"/>
              </w:rPr>
            </w:pPr>
            <w:r>
              <w:rPr>
                <w:rFonts w:cs="Arial Narrow"/>
              </w:rPr>
              <w:t>In the primary population, 1 (2.5%) participant</w:t>
            </w:r>
            <w:r w:rsidR="003470ED">
              <w:rPr>
                <w:rFonts w:cs="Arial Narrow"/>
              </w:rPr>
              <w:t xml:space="preserve"> each reported</w:t>
            </w:r>
            <w:r>
              <w:rPr>
                <w:rFonts w:cs="Arial Narrow"/>
              </w:rPr>
              <w:t xml:space="preserve"> alanine aminotransferase increased</w:t>
            </w:r>
            <w:r w:rsidR="00CB24A5">
              <w:rPr>
                <w:rFonts w:cs="Arial Narrow"/>
              </w:rPr>
              <w:t xml:space="preserve"> during the PAP and OLE </w:t>
            </w:r>
            <w:r w:rsidR="00F25EA8">
              <w:rPr>
                <w:rFonts w:cs="Arial Narrow"/>
              </w:rPr>
              <w:t>period.</w:t>
            </w:r>
            <w:r>
              <w:rPr>
                <w:rFonts w:cs="Arial Narrow"/>
              </w:rPr>
              <w:t xml:space="preserve"> </w:t>
            </w:r>
          </w:p>
          <w:p w14:paraId="383A8671" w14:textId="045327E9" w:rsidR="0029261C" w:rsidRDefault="00AE205D">
            <w:pPr>
              <w:pStyle w:val="TblTextLeft"/>
              <w:rPr>
                <w:lang w:val="en-GB"/>
              </w:rPr>
            </w:pPr>
            <w:r>
              <w:rPr>
                <w:lang w:val="en-GB"/>
              </w:rPr>
              <w:t>No elevated ALTs were reported in the secondary population.</w:t>
            </w:r>
          </w:p>
          <w:p w14:paraId="1AA00083" w14:textId="77777777" w:rsidR="00B46C9C" w:rsidRDefault="00AE205D">
            <w:pPr>
              <w:pStyle w:val="TblTextLeft"/>
              <w:rPr>
                <w:i/>
                <w:iCs/>
                <w:lang w:val="en-GB"/>
              </w:rPr>
            </w:pPr>
            <w:r>
              <w:rPr>
                <w:i/>
                <w:iCs/>
                <w:lang w:val="en-GB"/>
              </w:rPr>
              <w:t xml:space="preserve">Depression </w:t>
            </w:r>
          </w:p>
          <w:p w14:paraId="07405033" w14:textId="77777777" w:rsidR="00B46C9C" w:rsidRDefault="00AE205D">
            <w:pPr>
              <w:pStyle w:val="TblTextLeft"/>
              <w:rPr>
                <w:lang w:val="en-GB"/>
              </w:rPr>
            </w:pPr>
            <w:r>
              <w:rPr>
                <w:lang w:val="en-GB"/>
              </w:rPr>
              <w:t xml:space="preserve">In the placebo-controlled primary analysis period at Week 104 of exposure, frequency of TEAEs from the Psychiatric disorders SOC was 36.8% in the placebo arm compared to 25.0% in the </w:t>
            </w:r>
            <w:proofErr w:type="spellStart"/>
            <w:r>
              <w:rPr>
                <w:lang w:val="en-GB"/>
              </w:rPr>
              <w:t>venglustat</w:t>
            </w:r>
            <w:proofErr w:type="spellEnd"/>
            <w:r>
              <w:rPr>
                <w:lang w:val="en-GB"/>
              </w:rPr>
              <w:t xml:space="preserve"> arm. </w:t>
            </w:r>
          </w:p>
          <w:p w14:paraId="49516741" w14:textId="6FCBD4F4" w:rsidR="00B46C9C" w:rsidRDefault="00AE205D">
            <w:pPr>
              <w:pStyle w:val="TblTextLeft"/>
              <w:rPr>
                <w:lang w:val="en-GB"/>
              </w:rPr>
            </w:pPr>
            <w:r>
              <w:rPr>
                <w:lang w:val="en-GB"/>
              </w:rPr>
              <w:t xml:space="preserve">Among them, depression TEAEs (PTs depression, decreased interest [under Psychiatric disorders] and depression rating scale score increased [under Investigations]) were reported in 3 (7.5%) </w:t>
            </w:r>
            <w:proofErr w:type="spellStart"/>
            <w:r>
              <w:rPr>
                <w:lang w:val="en-GB"/>
              </w:rPr>
              <w:t>venglustat</w:t>
            </w:r>
            <w:proofErr w:type="spellEnd"/>
            <w:r>
              <w:rPr>
                <w:lang w:val="en-GB"/>
              </w:rPr>
              <w:t>-treated participants and 2 (10.5%) placebo-treated participants</w:t>
            </w:r>
            <w:r w:rsidR="00F537A8">
              <w:rPr>
                <w:lang w:val="en-GB"/>
              </w:rPr>
              <w:t>.</w:t>
            </w:r>
            <w:r>
              <w:rPr>
                <w:lang w:val="en-GB"/>
              </w:rPr>
              <w:t xml:space="preserve"> The participants treated with </w:t>
            </w:r>
            <w:proofErr w:type="spellStart"/>
            <w:r>
              <w:rPr>
                <w:lang w:val="en-GB"/>
              </w:rPr>
              <w:t>venglustat</w:t>
            </w:r>
            <w:proofErr w:type="spellEnd"/>
            <w:r>
              <w:rPr>
                <w:lang w:val="en-GB"/>
              </w:rPr>
              <w:t xml:space="preserve"> and 1 of 2 participants in the placebo arm had a medical history of psychiatric disorders at baseline. </w:t>
            </w:r>
          </w:p>
          <w:p w14:paraId="52F30154" w14:textId="77777777" w:rsidR="00B46C9C" w:rsidRDefault="00AE205D">
            <w:pPr>
              <w:pStyle w:val="TblTextLeft"/>
              <w:rPr>
                <w:lang w:val="en-GB"/>
              </w:rPr>
            </w:pPr>
            <w:r>
              <w:rPr>
                <w:lang w:val="en-GB"/>
              </w:rPr>
              <w:lastRenderedPageBreak/>
              <w:t xml:space="preserve">In the OLE period, TEAEs from the Psychiatric disorders SOC were reported in 8 (16%) participants in primary population and in two participants (14.3%) in the secondary population. Among them, depression TEAEs (PTs depression) were reported by one participant from the primary population and 1 participant from the secondary population. </w:t>
            </w:r>
          </w:p>
          <w:p w14:paraId="020F809D" w14:textId="7A4C1CC0" w:rsidR="00B46C9C" w:rsidRDefault="00AE205D">
            <w:pPr>
              <w:pStyle w:val="TblTextLeft"/>
              <w:rPr>
                <w:i/>
                <w:iCs/>
                <w:lang w:val="en-GB"/>
              </w:rPr>
            </w:pPr>
            <w:r>
              <w:rPr>
                <w:i/>
                <w:iCs/>
                <w:lang w:val="en-GB"/>
              </w:rPr>
              <w:t xml:space="preserve">Syncope </w:t>
            </w:r>
          </w:p>
          <w:p w14:paraId="5BA1DCCC" w14:textId="79556672" w:rsidR="00401892" w:rsidRDefault="00AE205D" w:rsidP="00AE7EC7">
            <w:pPr>
              <w:pStyle w:val="TblTextLeft"/>
              <w:rPr>
                <w:lang w:val="en-GB"/>
              </w:rPr>
            </w:pPr>
            <w:r>
              <w:rPr>
                <w:lang w:val="en-GB"/>
              </w:rPr>
              <w:t xml:space="preserve">Three non-serious events of syncope (PT syncope, loss of consciousness), two of mild and one of moderate intensity, were reported in the </w:t>
            </w:r>
            <w:proofErr w:type="spellStart"/>
            <w:r>
              <w:rPr>
                <w:lang w:val="en-GB"/>
              </w:rPr>
              <w:t>venglustat</w:t>
            </w:r>
            <w:proofErr w:type="spellEnd"/>
            <w:r>
              <w:rPr>
                <w:lang w:val="en-GB"/>
              </w:rPr>
              <w:t xml:space="preserve"> arms. During the primary analysis period: 1 (2.5%) participant from </w:t>
            </w:r>
            <w:proofErr w:type="spellStart"/>
            <w:r>
              <w:rPr>
                <w:lang w:val="en-GB"/>
              </w:rPr>
              <w:t>venglustat</w:t>
            </w:r>
            <w:proofErr w:type="spellEnd"/>
            <w:r>
              <w:rPr>
                <w:lang w:val="en-GB"/>
              </w:rPr>
              <w:t xml:space="preserve"> arm in the primary population reported syncope (PT), and 1 (6.3%) participant from the secondary population reported loss of consciousness (PT). During the OLE period, 1 (2.0%) participant from the primary population in the </w:t>
            </w:r>
            <w:r w:rsidR="006541C7">
              <w:rPr>
                <w:lang w:val="en-GB"/>
              </w:rPr>
              <w:t xml:space="preserve">participants </w:t>
            </w:r>
            <w:r w:rsidR="00E54837">
              <w:t>from the</w:t>
            </w:r>
            <w:r w:rsidR="006541C7" w:rsidRPr="006541C7">
              <w:t xml:space="preserve"> placebo arm </w:t>
            </w:r>
            <w:r w:rsidR="00E54837">
              <w:t>during the</w:t>
            </w:r>
            <w:r w:rsidR="006541C7" w:rsidRPr="006541C7">
              <w:t xml:space="preserve"> PAP</w:t>
            </w:r>
            <w:r>
              <w:rPr>
                <w:lang w:val="en-GB"/>
              </w:rPr>
              <w:t xml:space="preserve"> reported syncope (PT). All TEAEs were assessed as not related to the IMP and all participants recovered. No syncope events were reported in the placebo arm.</w:t>
            </w:r>
            <w:r w:rsidR="00AE7EC7">
              <w:rPr>
                <w:lang w:val="en-GB"/>
              </w:rPr>
              <w:t xml:space="preserve"> </w:t>
            </w:r>
          </w:p>
          <w:p w14:paraId="19C70A65" w14:textId="77777777" w:rsidR="00B46C9C" w:rsidRDefault="00AE205D">
            <w:pPr>
              <w:pStyle w:val="TblTextLeft"/>
              <w:rPr>
                <w:i/>
                <w:iCs/>
                <w:lang w:val="en-GB"/>
              </w:rPr>
            </w:pPr>
            <w:r>
              <w:rPr>
                <w:i/>
                <w:iCs/>
                <w:lang w:val="en-GB"/>
              </w:rPr>
              <w:t xml:space="preserve">Transient increase in blood pressure </w:t>
            </w:r>
          </w:p>
          <w:p w14:paraId="03E67E2A" w14:textId="2E9CF965" w:rsidR="00B46C9C" w:rsidRDefault="00AE205D">
            <w:pPr>
              <w:pStyle w:val="TblTextLeft"/>
              <w:rPr>
                <w:lang w:val="en-GB"/>
              </w:rPr>
            </w:pPr>
            <w:r>
              <w:rPr>
                <w:lang w:val="en-GB"/>
              </w:rPr>
              <w:t xml:space="preserve">One TEAE of mild non-serious high blood pressure encoded with hypertension PT, was reported during the primary </w:t>
            </w:r>
            <w:r w:rsidR="00D87652">
              <w:rPr>
                <w:lang w:val="en-GB"/>
              </w:rPr>
              <w:t>a</w:t>
            </w:r>
            <w:r w:rsidR="00CD362D">
              <w:rPr>
                <w:lang w:val="en-GB"/>
              </w:rPr>
              <w:t xml:space="preserve">nalysis </w:t>
            </w:r>
            <w:r>
              <w:rPr>
                <w:lang w:val="en-GB"/>
              </w:rPr>
              <w:t xml:space="preserve">period in a </w:t>
            </w:r>
            <w:proofErr w:type="spellStart"/>
            <w:r>
              <w:rPr>
                <w:lang w:val="en-GB"/>
              </w:rPr>
              <w:t>venglustat</w:t>
            </w:r>
            <w:proofErr w:type="spellEnd"/>
            <w:r>
              <w:rPr>
                <w:lang w:val="en-GB"/>
              </w:rPr>
              <w:t xml:space="preserve"> arm participant from primary population, around 1 year and 5 months of the start of treatment. The event lasted 1 day; the levels of the blood pressure are unknown. This patient had no history of hypertension at baseline. </w:t>
            </w:r>
          </w:p>
          <w:p w14:paraId="2D3899A0" w14:textId="77777777" w:rsidR="00662CB3" w:rsidRDefault="00AE205D">
            <w:pPr>
              <w:pStyle w:val="TblTextLeft"/>
              <w:rPr>
                <w:lang w:val="en-GB"/>
              </w:rPr>
            </w:pPr>
            <w:r>
              <w:rPr>
                <w:lang w:val="en-GB"/>
              </w:rPr>
              <w:t xml:space="preserve">One participant from the </w:t>
            </w:r>
            <w:proofErr w:type="spellStart"/>
            <w:r>
              <w:rPr>
                <w:lang w:val="en-GB"/>
              </w:rPr>
              <w:t>venglustat</w:t>
            </w:r>
            <w:proofErr w:type="spellEnd"/>
            <w:r>
              <w:rPr>
                <w:lang w:val="en-GB"/>
              </w:rPr>
              <w:t xml:space="preserve"> arm of the primary population with a history of hypertension and diabetes mellitus at baseline, reported increase in sitting systolic blood pressure at 179 mmHg corresponding to the potentially clinically significant abnormality (PCSA), 7 months after the start of the treatment.</w:t>
            </w:r>
          </w:p>
          <w:p w14:paraId="4B180453" w14:textId="60335B0B"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 xml:space="preserve">Pharmacokinetic results: </w:t>
            </w:r>
          </w:p>
          <w:p w14:paraId="736AD1EA"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All exposed participants were included in the PK population: N=40 in the primary population and N=16 in the secondary population. Among the participants from the primary population, 13 participants were part of a sub-study with rich PK sampling at Day 1. The PK parameters were obtained by Non-Compartmental Analysis (NCA) on participants from primary and secondary PK populations at Week 12 and at Day 1 in the sub-study.</w:t>
            </w:r>
          </w:p>
          <w:p w14:paraId="6403EF13"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Pharmacokinetics in primary population</w:t>
            </w:r>
          </w:p>
          <w:p w14:paraId="05F7897E" w14:textId="20D7903F"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After single administration (Day 1) or repeated once daily administration (Week 12) of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in the sub-study and in the primary PK populations, median plasma </w:t>
            </w:r>
            <w:proofErr w:type="spellStart"/>
            <w:r>
              <w:rPr>
                <w:rStyle w:val="InstructionsTextChar"/>
                <w:rFonts w:eastAsia="MS Gothic"/>
                <w:color w:val="auto"/>
                <w:sz w:val="20"/>
                <w:szCs w:val="20"/>
                <w:shd w:val="clear" w:color="auto" w:fill="auto"/>
                <w:lang w:val="en-GB"/>
              </w:rPr>
              <w:t>t</w:t>
            </w:r>
            <w:r w:rsidRPr="0000764B">
              <w:rPr>
                <w:rStyle w:val="InstructionsTextChar"/>
                <w:rFonts w:eastAsia="MS Gothic"/>
                <w:color w:val="auto"/>
                <w:sz w:val="20"/>
                <w:szCs w:val="20"/>
                <w:shd w:val="clear" w:color="auto" w:fill="auto"/>
                <w:vertAlign w:val="subscript"/>
                <w:lang w:val="en-GB"/>
              </w:rPr>
              <w:t>max</w:t>
            </w:r>
            <w:proofErr w:type="spellEnd"/>
            <w:r w:rsidRPr="0000764B">
              <w:rPr>
                <w:rStyle w:val="InstructionsTextChar"/>
                <w:rFonts w:eastAsia="MS Gothic"/>
                <w:color w:val="auto"/>
                <w:sz w:val="20"/>
                <w:szCs w:val="20"/>
                <w:shd w:val="clear" w:color="auto" w:fill="auto"/>
                <w:vertAlign w:val="subscript"/>
                <w:lang w:val="en-GB"/>
              </w:rPr>
              <w:t xml:space="preserve"> </w:t>
            </w:r>
            <w:r>
              <w:rPr>
                <w:rStyle w:val="InstructionsTextChar"/>
                <w:rFonts w:eastAsia="MS Gothic"/>
                <w:color w:val="auto"/>
                <w:sz w:val="20"/>
                <w:szCs w:val="20"/>
                <w:shd w:val="clear" w:color="auto" w:fill="auto"/>
                <w:lang w:val="en-GB"/>
              </w:rPr>
              <w:t xml:space="preserve">occurred at 3.00 hours post-dose. After repeated administration at Week 12, there was no difference of plasma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w:t>
            </w:r>
            <w:proofErr w:type="spellStart"/>
            <w:r>
              <w:rPr>
                <w:rStyle w:val="InstructionsTextChar"/>
                <w:rFonts w:eastAsia="MS Gothic"/>
                <w:color w:val="auto"/>
                <w:sz w:val="20"/>
                <w:szCs w:val="20"/>
                <w:shd w:val="clear" w:color="auto" w:fill="auto"/>
                <w:lang w:val="en-GB"/>
              </w:rPr>
              <w:t>C</w:t>
            </w:r>
            <w:r w:rsidRPr="0000764B">
              <w:rPr>
                <w:rStyle w:val="InstructionsTextChar"/>
                <w:rFonts w:eastAsia="MS Gothic"/>
                <w:color w:val="auto"/>
                <w:sz w:val="20"/>
                <w:szCs w:val="20"/>
                <w:shd w:val="clear" w:color="auto" w:fill="auto"/>
                <w:vertAlign w:val="subscript"/>
                <w:lang w:val="en-GB"/>
              </w:rPr>
              <w:t>max</w:t>
            </w:r>
            <w:proofErr w:type="spellEnd"/>
            <w:r>
              <w:rPr>
                <w:rStyle w:val="InstructionsTextChar"/>
                <w:rFonts w:eastAsia="MS Gothic"/>
                <w:color w:val="auto"/>
                <w:sz w:val="20"/>
                <w:szCs w:val="20"/>
                <w:shd w:val="clear" w:color="auto" w:fill="auto"/>
                <w:lang w:val="en-GB"/>
              </w:rPr>
              <w:t xml:space="preserve"> or AUC0-24 between the primary and the sub-study populations with a mean </w:t>
            </w:r>
            <w:proofErr w:type="spellStart"/>
            <w:r>
              <w:rPr>
                <w:rStyle w:val="InstructionsTextChar"/>
                <w:rFonts w:eastAsia="MS Gothic"/>
                <w:color w:val="auto"/>
                <w:sz w:val="20"/>
                <w:szCs w:val="20"/>
                <w:shd w:val="clear" w:color="auto" w:fill="auto"/>
                <w:lang w:val="en-GB"/>
              </w:rPr>
              <w:t>C</w:t>
            </w:r>
            <w:r w:rsidRPr="0000764B">
              <w:rPr>
                <w:rStyle w:val="InstructionsTextChar"/>
                <w:rFonts w:eastAsia="MS Gothic"/>
                <w:color w:val="auto"/>
                <w:sz w:val="20"/>
                <w:szCs w:val="20"/>
                <w:shd w:val="clear" w:color="auto" w:fill="auto"/>
                <w:vertAlign w:val="subscript"/>
                <w:lang w:val="en-GB"/>
              </w:rPr>
              <w:t>max</w:t>
            </w:r>
            <w:proofErr w:type="spellEnd"/>
            <w:r>
              <w:rPr>
                <w:rStyle w:val="InstructionsTextChar"/>
                <w:rFonts w:eastAsia="MS Gothic"/>
                <w:color w:val="auto"/>
                <w:sz w:val="20"/>
                <w:szCs w:val="20"/>
                <w:shd w:val="clear" w:color="auto" w:fill="auto"/>
                <w:lang w:val="en-GB"/>
              </w:rPr>
              <w:t xml:space="preserve"> of 188 ng/mL (N=30) and 184 ng/mL (N=8) and a mean AUC0-24 of 3230 </w:t>
            </w:r>
            <w:proofErr w:type="spellStart"/>
            <w:r>
              <w:rPr>
                <w:rStyle w:val="InstructionsTextChar"/>
                <w:rFonts w:eastAsia="MS Gothic"/>
                <w:color w:val="auto"/>
                <w:sz w:val="20"/>
                <w:szCs w:val="20"/>
                <w:shd w:val="clear" w:color="auto" w:fill="auto"/>
                <w:lang w:val="en-GB"/>
              </w:rPr>
              <w:t>ng.h</w:t>
            </w:r>
            <w:proofErr w:type="spellEnd"/>
            <w:r>
              <w:rPr>
                <w:rStyle w:val="InstructionsTextChar"/>
                <w:rFonts w:eastAsia="MS Gothic"/>
                <w:color w:val="auto"/>
                <w:sz w:val="20"/>
                <w:szCs w:val="20"/>
                <w:shd w:val="clear" w:color="auto" w:fill="auto"/>
                <w:lang w:val="en-GB"/>
              </w:rPr>
              <w:t xml:space="preserve">/mL (N=22) and 2970 </w:t>
            </w:r>
            <w:proofErr w:type="spellStart"/>
            <w:r>
              <w:rPr>
                <w:rStyle w:val="InstructionsTextChar"/>
                <w:rFonts w:eastAsia="MS Gothic"/>
                <w:color w:val="auto"/>
                <w:sz w:val="20"/>
                <w:szCs w:val="20"/>
                <w:shd w:val="clear" w:color="auto" w:fill="auto"/>
                <w:lang w:val="en-GB"/>
              </w:rPr>
              <w:t>ng.h</w:t>
            </w:r>
            <w:proofErr w:type="spellEnd"/>
            <w:r>
              <w:rPr>
                <w:rStyle w:val="InstructionsTextChar"/>
                <w:rFonts w:eastAsia="MS Gothic"/>
                <w:color w:val="auto"/>
                <w:sz w:val="20"/>
                <w:szCs w:val="20"/>
                <w:shd w:val="clear" w:color="auto" w:fill="auto"/>
                <w:lang w:val="en-GB"/>
              </w:rPr>
              <w:t xml:space="preserve">/mL (N=8), respectively. In the PK sub-study, the mean </w:t>
            </w:r>
            <w:proofErr w:type="spellStart"/>
            <w:r>
              <w:rPr>
                <w:rStyle w:val="InstructionsTextChar"/>
                <w:rFonts w:eastAsia="MS Gothic"/>
                <w:color w:val="auto"/>
                <w:sz w:val="20"/>
                <w:szCs w:val="20"/>
                <w:shd w:val="clear" w:color="auto" w:fill="auto"/>
                <w:lang w:val="en-GB"/>
              </w:rPr>
              <w:t>C</w:t>
            </w:r>
            <w:r w:rsidRPr="0000764B">
              <w:rPr>
                <w:rStyle w:val="InstructionsTextChar"/>
                <w:rFonts w:eastAsia="MS Gothic"/>
                <w:color w:val="auto"/>
                <w:sz w:val="20"/>
                <w:szCs w:val="20"/>
                <w:shd w:val="clear" w:color="auto" w:fill="auto"/>
                <w:vertAlign w:val="subscript"/>
                <w:lang w:val="en-GB"/>
              </w:rPr>
              <w:t>max</w:t>
            </w:r>
            <w:proofErr w:type="spellEnd"/>
            <w:r>
              <w:rPr>
                <w:rStyle w:val="InstructionsTextChar"/>
                <w:rFonts w:eastAsia="MS Gothic"/>
                <w:color w:val="auto"/>
                <w:sz w:val="20"/>
                <w:szCs w:val="20"/>
                <w:shd w:val="clear" w:color="auto" w:fill="auto"/>
                <w:lang w:val="en-GB"/>
              </w:rPr>
              <w:t xml:space="preserve"> (N=6) was 2.42-fold higher and mean AUC0-24 (N=5) was 2.45-fold higher after repeated dosing at Week 12 compared to a single dose at Day 1.</w:t>
            </w:r>
          </w:p>
          <w:p w14:paraId="0462553C"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mean (SD) plasma 3-hours post-dose and </w:t>
            </w:r>
            <w:proofErr w:type="spellStart"/>
            <w:r>
              <w:rPr>
                <w:rStyle w:val="InstructionsTextChar"/>
                <w:rFonts w:eastAsia="MS Gothic"/>
                <w:color w:val="auto"/>
                <w:sz w:val="20"/>
                <w:szCs w:val="20"/>
                <w:shd w:val="clear" w:color="auto" w:fill="auto"/>
                <w:lang w:val="en-GB"/>
              </w:rPr>
              <w:t>C</w:t>
            </w:r>
            <w:r w:rsidRPr="00D1248A">
              <w:rPr>
                <w:rStyle w:val="InstructionsTextChar"/>
                <w:rFonts w:eastAsia="MS Gothic"/>
                <w:color w:val="auto"/>
                <w:sz w:val="20"/>
                <w:szCs w:val="20"/>
                <w:shd w:val="clear" w:color="auto" w:fill="auto"/>
                <w:vertAlign w:val="subscript"/>
                <w:lang w:val="en-GB"/>
              </w:rPr>
              <w:t>trough</w:t>
            </w:r>
            <w:proofErr w:type="spellEnd"/>
            <w:r>
              <w:rPr>
                <w:rStyle w:val="InstructionsTextChar"/>
                <w:rFonts w:eastAsia="MS Gothic"/>
                <w:color w:val="auto"/>
                <w:sz w:val="20"/>
                <w:szCs w:val="20"/>
                <w:shd w:val="clear" w:color="auto" w:fill="auto"/>
                <w:lang w:val="en-GB"/>
              </w:rPr>
              <w:t xml:space="preserve"> showed that steady state was achieved before Week 12. </w:t>
            </w:r>
          </w:p>
          <w:p w14:paraId="1318A6AA" w14:textId="48A8FBAE" w:rsidR="00DB44B2"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After administration of once daily administration of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to adult participants with late-onset GM2 gangliosidosis, the mean (SD, N)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CSF concentration at Week 104 was 5.64 ng/mL (2.05, N=18), associated with a geometric mean CSF/plasma concentration ratio of 0.052 (N=12).</w:t>
            </w:r>
          </w:p>
          <w:p w14:paraId="1D00F274"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Pharmacokinetics in secondary population</w:t>
            </w:r>
          </w:p>
          <w:p w14:paraId="48620144" w14:textId="77777777" w:rsidR="00B46C9C" w:rsidRDefault="00AE205D">
            <w:pPr>
              <w:pStyle w:val="TblTextLeft"/>
              <w:rPr>
                <w:rStyle w:val="InstructionsTextChar"/>
                <w:rFonts w:eastAsia="MS Gothic"/>
                <w:i/>
                <w:iCs/>
                <w:color w:val="auto"/>
                <w:sz w:val="20"/>
                <w:szCs w:val="20"/>
                <w:shd w:val="clear" w:color="auto" w:fill="auto"/>
                <w:lang w:val="en-GB"/>
              </w:rPr>
            </w:pPr>
            <w:proofErr w:type="spellStart"/>
            <w:r>
              <w:rPr>
                <w:rStyle w:val="InstructionsTextChar"/>
                <w:rFonts w:eastAsia="MS Gothic"/>
                <w:i/>
                <w:iCs/>
                <w:color w:val="auto"/>
                <w:sz w:val="20"/>
                <w:szCs w:val="20"/>
                <w:shd w:val="clear" w:color="auto" w:fill="auto"/>
                <w:lang w:val="en-GB"/>
              </w:rPr>
              <w:t>Venglustat</w:t>
            </w:r>
            <w:proofErr w:type="spellEnd"/>
            <w:r>
              <w:rPr>
                <w:rStyle w:val="InstructionsTextChar"/>
                <w:rFonts w:eastAsia="MS Gothic"/>
                <w:i/>
                <w:iCs/>
                <w:color w:val="auto"/>
                <w:sz w:val="20"/>
                <w:szCs w:val="20"/>
                <w:shd w:val="clear" w:color="auto" w:fill="auto"/>
                <w:lang w:val="en-GB"/>
              </w:rPr>
              <w:t xml:space="preserve"> PK parameters </w:t>
            </w:r>
          </w:p>
          <w:p w14:paraId="72D75F39" w14:textId="0E874F7F"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At Week 12, following repeated once daily administration of </w:t>
            </w:r>
            <w:proofErr w:type="spellStart"/>
            <w:r w:rsidR="009D326E">
              <w:rPr>
                <w:rStyle w:val="InstructionsTextChar"/>
                <w:rFonts w:eastAsia="MS Gothic"/>
                <w:color w:val="auto"/>
                <w:sz w:val="20"/>
                <w:szCs w:val="20"/>
                <w:shd w:val="clear" w:color="auto" w:fill="auto"/>
                <w:lang w:val="en-GB"/>
              </w:rPr>
              <w:t>venglustat</w:t>
            </w:r>
            <w:proofErr w:type="spellEnd"/>
            <w:r w:rsidR="009D326E">
              <w:rPr>
                <w:rStyle w:val="InstructionsTextChar"/>
                <w:rFonts w:eastAsia="MS Gothic"/>
                <w:color w:val="auto"/>
                <w:sz w:val="20"/>
                <w:szCs w:val="20"/>
                <w:shd w:val="clear" w:color="auto" w:fill="auto"/>
                <w:lang w:val="en-GB"/>
              </w:rPr>
              <w:t xml:space="preserve"> </w:t>
            </w:r>
            <w:r>
              <w:rPr>
                <w:rStyle w:val="InstructionsTextChar"/>
                <w:rFonts w:eastAsia="MS Gothic"/>
                <w:color w:val="auto"/>
                <w:sz w:val="20"/>
                <w:szCs w:val="20"/>
                <w:shd w:val="clear" w:color="auto" w:fill="auto"/>
                <w:lang w:val="en-GB"/>
              </w:rPr>
              <w:t xml:space="preserve">to participants, median </w:t>
            </w:r>
            <w:proofErr w:type="spellStart"/>
            <w:r>
              <w:rPr>
                <w:rStyle w:val="InstructionsTextChar"/>
                <w:rFonts w:eastAsia="MS Gothic"/>
                <w:color w:val="auto"/>
                <w:sz w:val="20"/>
                <w:szCs w:val="20"/>
                <w:shd w:val="clear" w:color="auto" w:fill="auto"/>
                <w:lang w:val="en-GB"/>
              </w:rPr>
              <w:t>t</w:t>
            </w:r>
            <w:r w:rsidRPr="0000764B">
              <w:rPr>
                <w:rStyle w:val="InstructionsTextChar"/>
                <w:rFonts w:eastAsia="MS Gothic"/>
                <w:color w:val="auto"/>
                <w:sz w:val="20"/>
                <w:szCs w:val="20"/>
                <w:shd w:val="clear" w:color="auto" w:fill="auto"/>
                <w:vertAlign w:val="subscript"/>
                <w:lang w:val="en-GB"/>
              </w:rPr>
              <w:t>max</w:t>
            </w:r>
            <w:proofErr w:type="spellEnd"/>
            <w:r>
              <w:rPr>
                <w:rStyle w:val="InstructionsTextChar"/>
                <w:rFonts w:eastAsia="MS Gothic"/>
                <w:color w:val="auto"/>
                <w:sz w:val="20"/>
                <w:szCs w:val="20"/>
                <w:shd w:val="clear" w:color="auto" w:fill="auto"/>
                <w:lang w:val="en-GB"/>
              </w:rPr>
              <w:t xml:space="preserve"> was generally observed at approximately 3 hours post-dose (N=15). </w:t>
            </w:r>
          </w:p>
          <w:p w14:paraId="4B6CFF86" w14:textId="11B9623E"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Plasma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mean </w:t>
            </w:r>
            <w:proofErr w:type="spellStart"/>
            <w:r>
              <w:rPr>
                <w:rStyle w:val="InstructionsTextChar"/>
                <w:rFonts w:eastAsia="MS Gothic"/>
                <w:color w:val="auto"/>
                <w:sz w:val="20"/>
                <w:szCs w:val="20"/>
                <w:shd w:val="clear" w:color="auto" w:fill="auto"/>
                <w:lang w:val="en-GB"/>
              </w:rPr>
              <w:t>C</w:t>
            </w:r>
            <w:r w:rsidRPr="0000764B">
              <w:rPr>
                <w:rStyle w:val="InstructionsTextChar"/>
                <w:rFonts w:eastAsia="MS Gothic"/>
                <w:color w:val="auto"/>
                <w:sz w:val="20"/>
                <w:szCs w:val="20"/>
                <w:shd w:val="clear" w:color="auto" w:fill="auto"/>
                <w:vertAlign w:val="subscript"/>
                <w:lang w:val="en-GB"/>
              </w:rPr>
              <w:t>max</w:t>
            </w:r>
            <w:proofErr w:type="spellEnd"/>
            <w:r>
              <w:rPr>
                <w:rStyle w:val="InstructionsTextChar"/>
                <w:rFonts w:eastAsia="MS Gothic"/>
                <w:color w:val="auto"/>
                <w:sz w:val="20"/>
                <w:szCs w:val="20"/>
                <w:shd w:val="clear" w:color="auto" w:fill="auto"/>
                <w:lang w:val="en-GB"/>
              </w:rPr>
              <w:t xml:space="preserve"> and AUC0-24 remained generally similar</w:t>
            </w:r>
            <w:r w:rsidR="00625208">
              <w:rPr>
                <w:rStyle w:val="InstructionsTextChar"/>
                <w:rFonts w:eastAsia="MS Gothic"/>
                <w:color w:val="auto"/>
                <w:sz w:val="20"/>
                <w:szCs w:val="20"/>
                <w:shd w:val="clear" w:color="auto" w:fill="auto"/>
                <w:lang w:val="en-GB"/>
              </w:rPr>
              <w:t xml:space="preserve"> across </w:t>
            </w:r>
            <w:r w:rsidR="00C61892">
              <w:rPr>
                <w:rStyle w:val="InstructionsTextChar"/>
                <w:rFonts w:eastAsia="MS Gothic"/>
                <w:color w:val="auto"/>
                <w:sz w:val="20"/>
                <w:szCs w:val="20"/>
                <w:shd w:val="clear" w:color="auto" w:fill="auto"/>
                <w:lang w:val="en-GB"/>
              </w:rPr>
              <w:t>doses</w:t>
            </w:r>
            <w:r>
              <w:rPr>
                <w:rStyle w:val="InstructionsTextChar"/>
                <w:rFonts w:eastAsia="MS Gothic"/>
                <w:color w:val="auto"/>
                <w:sz w:val="20"/>
                <w:szCs w:val="20"/>
                <w:shd w:val="clear" w:color="auto" w:fill="auto"/>
                <w:lang w:val="en-GB"/>
              </w:rPr>
              <w:t xml:space="preserve"> from 121 to 144 ng/mL and 1600 to 2170 h.ng/mL, respectively, irrespectively of disease group. </w:t>
            </w:r>
          </w:p>
          <w:p w14:paraId="2F938E39"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The mean (SD) plasma 3 hours post-dose and </w:t>
            </w:r>
            <w:proofErr w:type="spellStart"/>
            <w:r>
              <w:rPr>
                <w:rStyle w:val="InstructionsTextChar"/>
                <w:rFonts w:eastAsia="MS Gothic"/>
                <w:color w:val="auto"/>
                <w:sz w:val="20"/>
                <w:szCs w:val="20"/>
                <w:shd w:val="clear" w:color="auto" w:fill="auto"/>
                <w:lang w:val="en-GB"/>
              </w:rPr>
              <w:t>C</w:t>
            </w:r>
            <w:r w:rsidRPr="00BD6258">
              <w:rPr>
                <w:rStyle w:val="InstructionsTextChar"/>
                <w:rFonts w:eastAsia="MS Gothic"/>
                <w:color w:val="auto"/>
                <w:sz w:val="20"/>
                <w:szCs w:val="20"/>
                <w:shd w:val="clear" w:color="auto" w:fill="auto"/>
                <w:vertAlign w:val="subscript"/>
                <w:lang w:val="en-GB"/>
              </w:rPr>
              <w:t>trough</w:t>
            </w:r>
            <w:proofErr w:type="spellEnd"/>
            <w:r>
              <w:rPr>
                <w:rStyle w:val="InstructionsTextChar"/>
                <w:rFonts w:eastAsia="MS Gothic"/>
                <w:color w:val="auto"/>
                <w:sz w:val="20"/>
                <w:szCs w:val="20"/>
                <w:shd w:val="clear" w:color="auto" w:fill="auto"/>
                <w:lang w:val="en-GB"/>
              </w:rPr>
              <w:t xml:space="preserve"> showed that steady state was achieved before Week 12.</w:t>
            </w:r>
          </w:p>
          <w:p w14:paraId="4AC3F2AE"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 xml:space="preserve">Plasma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exposure, expressed as mean AUC0-24, as well as </w:t>
            </w:r>
            <w:proofErr w:type="spellStart"/>
            <w:r>
              <w:rPr>
                <w:rStyle w:val="InstructionsTextChar"/>
                <w:rFonts w:eastAsia="MS Gothic"/>
                <w:color w:val="auto"/>
                <w:sz w:val="20"/>
                <w:szCs w:val="20"/>
                <w:shd w:val="clear" w:color="auto" w:fill="auto"/>
                <w:lang w:val="en-GB"/>
              </w:rPr>
              <w:t>C</w:t>
            </w:r>
            <w:r w:rsidRPr="0000764B">
              <w:rPr>
                <w:rStyle w:val="InstructionsTextChar"/>
                <w:rFonts w:eastAsia="MS Gothic"/>
                <w:color w:val="auto"/>
                <w:sz w:val="20"/>
                <w:szCs w:val="20"/>
                <w:shd w:val="clear" w:color="auto" w:fill="auto"/>
                <w:vertAlign w:val="subscript"/>
                <w:lang w:val="en-GB"/>
              </w:rPr>
              <w:t>max</w:t>
            </w:r>
            <w:proofErr w:type="spellEnd"/>
            <w:r>
              <w:rPr>
                <w:rStyle w:val="InstructionsTextChar"/>
                <w:rFonts w:eastAsia="MS Gothic"/>
                <w:color w:val="auto"/>
                <w:sz w:val="20"/>
                <w:szCs w:val="20"/>
                <w:shd w:val="clear" w:color="auto" w:fill="auto"/>
                <w:lang w:val="en-GB"/>
              </w:rPr>
              <w:t xml:space="preserve"> appeared to be approximately 43% and 33% lower, respectively, in the secondary population, compared to the primary population.</w:t>
            </w:r>
          </w:p>
          <w:p w14:paraId="5A41CC1C"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lastRenderedPageBreak/>
              <w:t xml:space="preserve">Overall, across all disease groups and with all dose levels combined, considering the low number of participants treated at each dose, CSF and plasma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concentration were roughly similar across doses with an overall mean (SD, N) </w:t>
            </w:r>
            <w:proofErr w:type="spellStart"/>
            <w:r>
              <w:rPr>
                <w:rStyle w:val="InstructionsTextChar"/>
                <w:rFonts w:eastAsia="MS Gothic"/>
                <w:color w:val="auto"/>
                <w:sz w:val="20"/>
                <w:szCs w:val="20"/>
                <w:shd w:val="clear" w:color="auto" w:fill="auto"/>
                <w:lang w:val="en-GB"/>
              </w:rPr>
              <w:t>venglustat</w:t>
            </w:r>
            <w:proofErr w:type="spellEnd"/>
            <w:r>
              <w:rPr>
                <w:rStyle w:val="InstructionsTextChar"/>
                <w:rFonts w:eastAsia="MS Gothic"/>
                <w:color w:val="auto"/>
                <w:sz w:val="20"/>
                <w:szCs w:val="20"/>
                <w:shd w:val="clear" w:color="auto" w:fill="auto"/>
                <w:lang w:val="en-GB"/>
              </w:rPr>
              <w:t xml:space="preserve"> CSF concentration at 4.20 (1.54, N=7) ng/mL, associated with a geometric mean CSF/plasma concentration ratio of 0.053 (N=5).</w:t>
            </w:r>
          </w:p>
          <w:p w14:paraId="29403247" w14:textId="77777777" w:rsidR="00B46C9C" w:rsidRDefault="00AE205D">
            <w:pPr>
              <w:pStyle w:val="TblTextLeft"/>
              <w:rPr>
                <w:rStyle w:val="InstructionsTextChar"/>
                <w:rFonts w:eastAsia="MS Gothic"/>
                <w:b/>
                <w:bCs/>
                <w:color w:val="auto"/>
                <w:sz w:val="20"/>
                <w:szCs w:val="20"/>
                <w:shd w:val="clear" w:color="auto" w:fill="auto"/>
                <w:lang w:val="en-GB"/>
              </w:rPr>
            </w:pPr>
            <w:r>
              <w:rPr>
                <w:rStyle w:val="InstructionsTextChar"/>
                <w:rFonts w:eastAsia="MS Gothic"/>
                <w:b/>
                <w:bCs/>
                <w:color w:val="auto"/>
                <w:sz w:val="20"/>
                <w:szCs w:val="20"/>
                <w:shd w:val="clear" w:color="auto" w:fill="auto"/>
                <w:lang w:val="en-GB"/>
              </w:rPr>
              <w:t>Pharmacodynamic results:</w:t>
            </w:r>
          </w:p>
          <w:p w14:paraId="1ED59B0C" w14:textId="77777777" w:rsidR="00B46C9C" w:rsidRDefault="00AE205D">
            <w:pPr>
              <w:pStyle w:val="TblTextLeft"/>
              <w:rPr>
                <w:rStyle w:val="InstructionsTextChar"/>
                <w:rFonts w:eastAsia="MS Gothic"/>
                <w:color w:val="auto"/>
                <w:sz w:val="20"/>
                <w:szCs w:val="20"/>
                <w:shd w:val="clear" w:color="auto" w:fill="auto"/>
                <w:lang w:val="en-GB"/>
              </w:rPr>
            </w:pPr>
            <w:r>
              <w:rPr>
                <w:rStyle w:val="InstructionsTextChar"/>
                <w:rFonts w:eastAsia="MS Gothic"/>
                <w:color w:val="auto"/>
                <w:sz w:val="20"/>
                <w:szCs w:val="20"/>
                <w:shd w:val="clear" w:color="auto" w:fill="auto"/>
                <w:lang w:val="en-GB"/>
              </w:rPr>
              <w:t>Pharmacodynamic biomarkers were assessed as efficacy endpoints for both the primary and secondary populations.</w:t>
            </w:r>
          </w:p>
        </w:tc>
      </w:tr>
      <w:tr w:rsidR="00B46C9C" w14:paraId="73C16FB2" w14:textId="77777777">
        <w:trPr>
          <w:cantSplit/>
          <w:trHeight w:val="264"/>
        </w:trPr>
        <w:tc>
          <w:tcPr>
            <w:tcW w:w="9702" w:type="dxa"/>
            <w:gridSpan w:val="2"/>
          </w:tcPr>
          <w:p w14:paraId="26004771" w14:textId="3A488F99" w:rsidR="00B46C9C" w:rsidRDefault="00AE205D">
            <w:pPr>
              <w:pStyle w:val="TblTextLeft"/>
              <w:tabs>
                <w:tab w:val="left" w:pos="6600"/>
              </w:tabs>
              <w:rPr>
                <w:lang w:val="en-GB"/>
              </w:rPr>
            </w:pPr>
            <w:r>
              <w:rPr>
                <w:b/>
                <w:lang w:val="en-GB"/>
              </w:rPr>
              <w:lastRenderedPageBreak/>
              <w:t xml:space="preserve">Issue date: </w:t>
            </w:r>
            <w:r>
              <w:rPr>
                <w:color w:val="3333FF"/>
                <w:lang w:val="en-GB"/>
              </w:rPr>
              <w:fldChar w:fldCharType="begin"/>
            </w:r>
            <w:r>
              <w:rPr>
                <w:color w:val="3333FF"/>
                <w:lang w:val="en-GB"/>
              </w:rPr>
              <w:instrText xml:space="preserve"> DOCPROPERTY "Date"  \* MERGEFORMAT </w:instrText>
            </w:r>
            <w:r>
              <w:rPr>
                <w:color w:val="3333FF"/>
                <w:lang w:val="en-GB"/>
              </w:rPr>
              <w:fldChar w:fldCharType="separate"/>
            </w:r>
            <w:r w:rsidR="00705C20">
              <w:rPr>
                <w:color w:val="3333FF"/>
                <w:lang w:val="en-GB"/>
              </w:rPr>
              <w:t>25</w:t>
            </w:r>
            <w:r>
              <w:rPr>
                <w:color w:val="3333FF"/>
                <w:lang w:val="en-GB"/>
              </w:rPr>
              <w:t>-Jun-2025</w:t>
            </w:r>
            <w:r>
              <w:rPr>
                <w:color w:val="3333FF"/>
                <w:lang w:val="en-GB"/>
              </w:rPr>
              <w:fldChar w:fldCharType="end"/>
            </w:r>
            <w:r>
              <w:rPr>
                <w:lang w:val="en-GB"/>
              </w:rPr>
              <w:t xml:space="preserve"> </w:t>
            </w:r>
          </w:p>
        </w:tc>
      </w:tr>
      <w:bookmarkEnd w:id="0"/>
    </w:tbl>
    <w:p w14:paraId="5EE701F6" w14:textId="1D63A6D7" w:rsidR="00B46C9C" w:rsidRDefault="00B46C9C">
      <w:pPr>
        <w:pStyle w:val="SDtext"/>
        <w:rPr>
          <w:rStyle w:val="BlueReplace"/>
          <w:rFonts w:ascii="Arial" w:hAnsi="Arial" w:cs="Arial"/>
          <w:i/>
          <w:color w:val="FF0000"/>
          <w:sz w:val="22"/>
          <w:szCs w:val="22"/>
          <w:lang w:val="en-GB"/>
        </w:rPr>
      </w:pPr>
    </w:p>
    <w:sectPr w:rsidR="00B46C9C">
      <w:headerReference w:type="even" r:id="rId12"/>
      <w:headerReference w:type="default" r:id="rId13"/>
      <w:footerReference w:type="default" r:id="rId14"/>
      <w:headerReference w:type="first" r:id="rId15"/>
      <w:pgSz w:w="11906" w:h="16838" w:code="9"/>
      <w:pgMar w:top="1808" w:right="1134" w:bottom="1021"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AB355" w14:textId="77777777" w:rsidR="00923320" w:rsidRDefault="00923320">
      <w:r>
        <w:separator/>
      </w:r>
    </w:p>
  </w:endnote>
  <w:endnote w:type="continuationSeparator" w:id="0">
    <w:p w14:paraId="2421A571" w14:textId="77777777" w:rsidR="00923320" w:rsidRDefault="00923320">
      <w:r>
        <w:continuationSeparator/>
      </w:r>
    </w:p>
  </w:endnote>
  <w:endnote w:type="continuationNotice" w:id="1">
    <w:p w14:paraId="30201AAF" w14:textId="77777777" w:rsidR="00923320" w:rsidRDefault="0092332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18692" w14:textId="77777777" w:rsidR="00B46C9C" w:rsidRDefault="00AE205D">
    <w:pPr>
      <w:pBdr>
        <w:top w:val="single" w:sz="4" w:space="1" w:color="auto"/>
      </w:pBdr>
      <w:jc w:val="center"/>
      <w:rPr>
        <w:rFonts w:cs="Arial"/>
        <w:color w:val="000000"/>
        <w:sz w:val="16"/>
        <w:lang w:val="en-GB"/>
      </w:rPr>
    </w:pPr>
    <w:r>
      <w:rPr>
        <w:rFonts w:cs="Arial"/>
        <w:color w:val="000000"/>
        <w:sz w:val="16"/>
        <w:lang w:val="en-GB"/>
      </w:rPr>
      <w:t>Property of the Sanofi Group- strictly confidential</w:t>
    </w:r>
    <w:r>
      <w:rPr>
        <w:rFonts w:cs="Arial"/>
        <w:i/>
        <w:iCs/>
        <w:color w:val="000000"/>
        <w:sz w:val="16"/>
        <w:lang w:val="en-GB"/>
      </w:rPr>
      <w:tab/>
    </w:r>
    <w:r>
      <w:rPr>
        <w:rFonts w:cs="Arial"/>
        <w:i/>
        <w:iCs/>
        <w:color w:val="000000"/>
        <w:sz w:val="16"/>
        <w:lang w:val="en-GB"/>
      </w:rPr>
      <w:tab/>
    </w:r>
    <w:r>
      <w:rPr>
        <w:rFonts w:cs="Arial"/>
        <w:i/>
        <w:iCs/>
        <w:color w:val="000000"/>
        <w:sz w:val="16"/>
        <w:lang w:val="en-GB"/>
      </w:rPr>
      <w:tab/>
    </w:r>
    <w:r>
      <w:rPr>
        <w:rFonts w:cs="Arial"/>
        <w:i/>
        <w:iCs/>
        <w:color w:val="000000"/>
        <w:sz w:val="16"/>
        <w:lang w:val="en-GB"/>
      </w:rPr>
      <w:tab/>
    </w:r>
    <w:r>
      <w:rPr>
        <w:rFonts w:cs="Arial"/>
        <w:i/>
        <w:iCs/>
        <w:color w:val="000000"/>
        <w:sz w:val="16"/>
        <w:lang w:val="en-GB"/>
      </w:rPr>
      <w:tab/>
    </w:r>
    <w:r>
      <w:rPr>
        <w:rFonts w:cs="Arial"/>
        <w:i/>
        <w:iCs/>
        <w:color w:val="000000"/>
        <w:sz w:val="16"/>
        <w:lang w:val="en-GB"/>
      </w:rPr>
      <w:tab/>
    </w:r>
    <w:r>
      <w:rPr>
        <w:rFonts w:cs="Arial"/>
        <w:i/>
        <w:iCs/>
        <w:color w:val="000000"/>
        <w:sz w:val="16"/>
        <w:lang w:val="en-GB"/>
      </w:rPr>
      <w:tab/>
    </w:r>
  </w:p>
  <w:p w14:paraId="1504831B" w14:textId="77777777" w:rsidR="00B46C9C" w:rsidRDefault="00AE205D">
    <w:pPr>
      <w:rPr>
        <w:rFonts w:cs="Arial"/>
        <w:bCs/>
        <w:color w:val="000000"/>
        <w:sz w:val="18"/>
      </w:rPr>
    </w:pPr>
    <w:r>
      <w:rPr>
        <w:rFonts w:cs="Arial"/>
        <w:b/>
        <w:bCs/>
        <w:color w:val="000000"/>
        <w:sz w:val="16"/>
        <w:lang w:val="en-GB"/>
      </w:rPr>
      <w:t>According to QU-FOR-0055625 Version N° 10.0 Date 12-SEP-2023</w:t>
    </w:r>
    <w:r>
      <w:rPr>
        <w:rFonts w:cs="Arial"/>
        <w:color w:val="000000"/>
        <w:sz w:val="18"/>
        <w:lang w:val="en-GB"/>
      </w:rPr>
      <w:t xml:space="preserve"> </w:t>
    </w:r>
    <w:r>
      <w:rPr>
        <w:rFonts w:cs="Arial"/>
        <w:color w:val="000000"/>
        <w:sz w:val="18"/>
        <w:lang w:val="en-GB"/>
      </w:rPr>
      <w:tab/>
    </w:r>
    <w:r>
      <w:rPr>
        <w:rFonts w:cs="Arial"/>
        <w:color w:val="000000"/>
        <w:sz w:val="18"/>
        <w:lang w:val="en-GB"/>
      </w:rPr>
      <w:tab/>
      <w:t xml:space="preserve">                                                               Page No: </w:t>
    </w:r>
    <w:r>
      <w:rPr>
        <w:rFonts w:cs="Arial"/>
        <w:bCs/>
        <w:color w:val="000000"/>
        <w:sz w:val="18"/>
      </w:rPr>
      <w:fldChar w:fldCharType="begin"/>
    </w:r>
    <w:r>
      <w:rPr>
        <w:rFonts w:cs="Arial"/>
        <w:bCs/>
        <w:color w:val="000000"/>
        <w:sz w:val="18"/>
        <w:lang w:val="en-GB"/>
      </w:rPr>
      <w:instrText xml:space="preserve"> PAGE </w:instrText>
    </w:r>
    <w:r>
      <w:rPr>
        <w:rFonts w:cs="Arial"/>
        <w:bCs/>
        <w:color w:val="000000"/>
        <w:sz w:val="18"/>
      </w:rPr>
      <w:fldChar w:fldCharType="separate"/>
    </w:r>
    <w:r>
      <w:rPr>
        <w:rFonts w:cs="Arial"/>
        <w:bCs/>
        <w:color w:val="000000"/>
        <w:sz w:val="18"/>
        <w:lang w:val="en-GB"/>
      </w:rPr>
      <w:t>22</w:t>
    </w:r>
    <w:r>
      <w:rPr>
        <w:rFonts w:cs="Arial"/>
        <w:bCs/>
        <w:color w:val="000000"/>
        <w:sz w:val="18"/>
      </w:rPr>
      <w:fldChar w:fldCharType="end"/>
    </w:r>
    <w:r>
      <w:rPr>
        <w:rFonts w:cs="Arial"/>
        <w:bCs/>
        <w:color w:val="000000"/>
        <w:sz w:val="18"/>
        <w:lang w:val="en-GB"/>
      </w:rPr>
      <w:t xml:space="preserve"> </w:t>
    </w:r>
    <w:r>
      <w:rPr>
        <w:rFonts w:cs="Arial"/>
        <w:color w:val="000000"/>
        <w:sz w:val="18"/>
        <w:lang w:val="en-GB"/>
      </w:rPr>
      <w:t xml:space="preserve">of </w:t>
    </w:r>
    <w:r>
      <w:rPr>
        <w:rFonts w:cs="Arial"/>
        <w:bCs/>
        <w:color w:val="000000"/>
        <w:sz w:val="18"/>
      </w:rPr>
      <w:fldChar w:fldCharType="begin"/>
    </w:r>
    <w:r>
      <w:rPr>
        <w:rFonts w:cs="Arial"/>
        <w:bCs/>
        <w:color w:val="000000"/>
        <w:sz w:val="18"/>
        <w:lang w:val="en-GB"/>
      </w:rPr>
      <w:instrText xml:space="preserve"> NUMPAGES </w:instrText>
    </w:r>
    <w:r>
      <w:rPr>
        <w:rFonts w:cs="Arial"/>
        <w:bCs/>
        <w:color w:val="000000"/>
        <w:sz w:val="18"/>
      </w:rPr>
      <w:fldChar w:fldCharType="separate"/>
    </w:r>
    <w:r>
      <w:rPr>
        <w:rFonts w:cs="Arial"/>
        <w:bCs/>
        <w:color w:val="000000"/>
        <w:sz w:val="18"/>
        <w:lang w:val="en-GB"/>
      </w:rPr>
      <w:t>22</w:t>
    </w:r>
    <w:r>
      <w:rPr>
        <w:rFonts w:cs="Arial"/>
        <w:bCs/>
        <w:color w:val="000000"/>
        <w:sz w:val="18"/>
      </w:rPr>
      <w:fldChar w:fldCharType="end"/>
    </w:r>
  </w:p>
  <w:p w14:paraId="69266425" w14:textId="77777777" w:rsidR="00B46C9C" w:rsidRDefault="00B46C9C">
    <w:pPr>
      <w:rPr>
        <w:rFonts w:cs="Arial"/>
        <w:b/>
        <w:bCs/>
        <w:color w:val="000000"/>
        <w:sz w:val="16"/>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12972" w14:textId="77777777" w:rsidR="00923320" w:rsidRDefault="00923320">
      <w:r>
        <w:separator/>
      </w:r>
    </w:p>
  </w:footnote>
  <w:footnote w:type="continuationSeparator" w:id="0">
    <w:p w14:paraId="38168502" w14:textId="77777777" w:rsidR="00923320" w:rsidRDefault="00923320">
      <w:r>
        <w:continuationSeparator/>
      </w:r>
    </w:p>
  </w:footnote>
  <w:footnote w:type="continuationNotice" w:id="1">
    <w:p w14:paraId="46337572" w14:textId="77777777" w:rsidR="00923320" w:rsidRDefault="0092332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513EC" w14:textId="1DAA9C74" w:rsidR="00B46C9C" w:rsidRDefault="00B46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B80E3" w14:textId="30F18CB3" w:rsidR="00B46C9C" w:rsidRDefault="00B46C9C">
    <w:pPr>
      <w:jc w:val="center"/>
      <w:rPr>
        <w:b/>
        <w:sz w:val="18"/>
        <w:lang w:val="en-GB"/>
      </w:rPr>
    </w:pPr>
  </w:p>
  <w:p w14:paraId="7AEC4AD2" w14:textId="77777777" w:rsidR="00B46C9C" w:rsidRDefault="00B46C9C">
    <w:pPr>
      <w:jc w:val="center"/>
      <w:rPr>
        <w:b/>
        <w:sz w:val="18"/>
        <w:lang w:val="en-GB"/>
      </w:rPr>
    </w:pPr>
  </w:p>
  <w:tbl>
    <w:tblPr>
      <w:tblW w:w="0" w:type="auto"/>
      <w:tblInd w:w="108" w:type="dxa"/>
      <w:tblBorders>
        <w:bottom w:val="double" w:sz="4" w:space="0" w:color="auto"/>
      </w:tblBorders>
      <w:tblLayout w:type="fixed"/>
      <w:tblLook w:val="0000" w:firstRow="0" w:lastRow="0" w:firstColumn="0" w:lastColumn="0" w:noHBand="0" w:noVBand="0"/>
    </w:tblPr>
    <w:tblGrid>
      <w:gridCol w:w="6663"/>
      <w:gridCol w:w="2700"/>
    </w:tblGrid>
    <w:tr w:rsidR="00B46C9C" w14:paraId="7730C638" w14:textId="77777777">
      <w:trPr>
        <w:trHeight w:val="1350"/>
      </w:trPr>
      <w:tc>
        <w:tcPr>
          <w:tcW w:w="6663" w:type="dxa"/>
          <w:vAlign w:val="center"/>
        </w:tcPr>
        <w:p w14:paraId="55FF49A2" w14:textId="77777777" w:rsidR="00B46C9C" w:rsidRDefault="00B46C9C">
          <w:pPr>
            <w:pStyle w:val="Header"/>
            <w:tabs>
              <w:tab w:val="right" w:pos="2124"/>
            </w:tabs>
            <w:spacing w:before="0" w:after="0"/>
            <w:rPr>
              <w:rFonts w:ascii="Arial Narrow" w:eastAsia="MS Mincho" w:hAnsi="Arial Narrow"/>
              <w:b/>
              <w:bCs/>
              <w:sz w:val="20"/>
            </w:rPr>
          </w:pPr>
        </w:p>
        <w:p w14:paraId="3DB8A2B2" w14:textId="77777777" w:rsidR="00B46C9C" w:rsidRDefault="00AE205D">
          <w:pPr>
            <w:pStyle w:val="Header"/>
            <w:tabs>
              <w:tab w:val="right" w:pos="2124"/>
            </w:tabs>
            <w:spacing w:before="0" w:after="0"/>
            <w:rPr>
              <w:rFonts w:cs="Arial"/>
              <w:bCs/>
            </w:rPr>
          </w:pPr>
          <w:r>
            <w:rPr>
              <w:rFonts w:ascii="Arial Narrow" w:eastAsia="MS Mincho" w:hAnsi="Arial Narrow"/>
              <w:b/>
              <w:bCs/>
              <w:sz w:val="20"/>
            </w:rPr>
            <w:t>QU-FOR-0055625</w:t>
          </w:r>
        </w:p>
      </w:tc>
      <w:tc>
        <w:tcPr>
          <w:tcW w:w="2700" w:type="dxa"/>
          <w:vAlign w:val="center"/>
        </w:tcPr>
        <w:p w14:paraId="6F464E25" w14:textId="77777777" w:rsidR="00B46C9C" w:rsidRDefault="00AE205D">
          <w:pPr>
            <w:tabs>
              <w:tab w:val="right" w:pos="2124"/>
            </w:tabs>
            <w:jc w:val="center"/>
            <w:rPr>
              <w:b/>
              <w:i/>
              <w:sz w:val="36"/>
            </w:rPr>
          </w:pPr>
          <w:r>
            <w:rPr>
              <w:noProof/>
            </w:rPr>
            <w:drawing>
              <wp:inline distT="0" distB="0" distL="0" distR="0" wp14:anchorId="6B108007" wp14:editId="730C6E06">
                <wp:extent cx="1431290" cy="563245"/>
                <wp:effectExtent l="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290" cy="563245"/>
                        </a:xfrm>
                        <a:prstGeom prst="rect">
                          <a:avLst/>
                        </a:prstGeom>
                        <a:noFill/>
                        <a:ln>
                          <a:noFill/>
                        </a:ln>
                      </pic:spPr>
                    </pic:pic>
                  </a:graphicData>
                </a:graphic>
              </wp:inline>
            </w:drawing>
          </w:r>
        </w:p>
      </w:tc>
    </w:tr>
  </w:tbl>
  <w:p w14:paraId="25313806" w14:textId="77777777" w:rsidR="00B46C9C" w:rsidRDefault="00B46C9C">
    <w:pPr>
      <w:rPr>
        <w:b/>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BB6F7" w14:textId="5B7C7E59" w:rsidR="00B46C9C" w:rsidRDefault="00B46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pt;height:23.5pt" o:bullet="t">
        <v:imagedata r:id="rId1" o:title="clip_image001"/>
      </v:shape>
    </w:pict>
  </w:numPicBullet>
  <w:numPicBullet w:numPicBulletId="1">
    <w:pict>
      <v:shape id="_x0000_i1027" type="#_x0000_t75" style="width:96pt;height:97pt" o:bullet="t">
        <v:imagedata r:id="rId2" o:title="clip_image001"/>
      </v:shape>
    </w:pict>
  </w:numPicBullet>
  <w:numPicBullet w:numPicBulletId="2">
    <w:pict>
      <v:shape id="_x0000_i1028" type="#_x0000_t75" style="width:30.5pt;height:30pt" o:bullet="t">
        <v:imagedata r:id="rId3" o:title="clip_image001"/>
      </v:shape>
    </w:pict>
  </w:numPicBullet>
  <w:abstractNum w:abstractNumId="0" w15:restartNumberingAfterBreak="0">
    <w:nsid w:val="FFFFFFFB"/>
    <w:multiLevelType w:val="multilevel"/>
    <w:tmpl w:val="4E9E5D76"/>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15:restartNumberingAfterBreak="0">
    <w:nsid w:val="016070E6"/>
    <w:multiLevelType w:val="hybridMultilevel"/>
    <w:tmpl w:val="04AA5F16"/>
    <w:lvl w:ilvl="0" w:tplc="040C0005">
      <w:start w:val="1"/>
      <w:numFmt w:val="bullet"/>
      <w:lvlText w:val=""/>
      <w:lvlJc w:val="left"/>
      <w:pPr>
        <w:ind w:left="709" w:hanging="360"/>
      </w:pPr>
      <w:rPr>
        <w:rFonts w:ascii="Wingdings" w:hAnsi="Wingdings" w:hint="default"/>
      </w:rPr>
    </w:lvl>
    <w:lvl w:ilvl="1" w:tplc="040C0003" w:tentative="1">
      <w:start w:val="1"/>
      <w:numFmt w:val="bullet"/>
      <w:lvlText w:val="o"/>
      <w:lvlJc w:val="left"/>
      <w:pPr>
        <w:ind w:left="1429" w:hanging="360"/>
      </w:pPr>
      <w:rPr>
        <w:rFonts w:ascii="Courier New" w:hAnsi="Courier New" w:cs="Courier New" w:hint="default"/>
      </w:rPr>
    </w:lvl>
    <w:lvl w:ilvl="2" w:tplc="040C0005" w:tentative="1">
      <w:start w:val="1"/>
      <w:numFmt w:val="bullet"/>
      <w:lvlText w:val=""/>
      <w:lvlJc w:val="left"/>
      <w:pPr>
        <w:ind w:left="2149" w:hanging="360"/>
      </w:pPr>
      <w:rPr>
        <w:rFonts w:ascii="Wingdings" w:hAnsi="Wingdings" w:hint="default"/>
      </w:rPr>
    </w:lvl>
    <w:lvl w:ilvl="3" w:tplc="040C0001" w:tentative="1">
      <w:start w:val="1"/>
      <w:numFmt w:val="bullet"/>
      <w:lvlText w:val=""/>
      <w:lvlJc w:val="left"/>
      <w:pPr>
        <w:ind w:left="2869" w:hanging="360"/>
      </w:pPr>
      <w:rPr>
        <w:rFonts w:ascii="Symbol" w:hAnsi="Symbol" w:hint="default"/>
      </w:rPr>
    </w:lvl>
    <w:lvl w:ilvl="4" w:tplc="040C0003" w:tentative="1">
      <w:start w:val="1"/>
      <w:numFmt w:val="bullet"/>
      <w:lvlText w:val="o"/>
      <w:lvlJc w:val="left"/>
      <w:pPr>
        <w:ind w:left="3589" w:hanging="360"/>
      </w:pPr>
      <w:rPr>
        <w:rFonts w:ascii="Courier New" w:hAnsi="Courier New" w:cs="Courier New" w:hint="default"/>
      </w:rPr>
    </w:lvl>
    <w:lvl w:ilvl="5" w:tplc="040C0005" w:tentative="1">
      <w:start w:val="1"/>
      <w:numFmt w:val="bullet"/>
      <w:lvlText w:val=""/>
      <w:lvlJc w:val="left"/>
      <w:pPr>
        <w:ind w:left="4309" w:hanging="360"/>
      </w:pPr>
      <w:rPr>
        <w:rFonts w:ascii="Wingdings" w:hAnsi="Wingdings" w:hint="default"/>
      </w:rPr>
    </w:lvl>
    <w:lvl w:ilvl="6" w:tplc="040C0001" w:tentative="1">
      <w:start w:val="1"/>
      <w:numFmt w:val="bullet"/>
      <w:lvlText w:val=""/>
      <w:lvlJc w:val="left"/>
      <w:pPr>
        <w:ind w:left="5029" w:hanging="360"/>
      </w:pPr>
      <w:rPr>
        <w:rFonts w:ascii="Symbol" w:hAnsi="Symbol" w:hint="default"/>
      </w:rPr>
    </w:lvl>
    <w:lvl w:ilvl="7" w:tplc="040C0003" w:tentative="1">
      <w:start w:val="1"/>
      <w:numFmt w:val="bullet"/>
      <w:lvlText w:val="o"/>
      <w:lvlJc w:val="left"/>
      <w:pPr>
        <w:ind w:left="5749" w:hanging="360"/>
      </w:pPr>
      <w:rPr>
        <w:rFonts w:ascii="Courier New" w:hAnsi="Courier New" w:cs="Courier New" w:hint="default"/>
      </w:rPr>
    </w:lvl>
    <w:lvl w:ilvl="8" w:tplc="040C0005" w:tentative="1">
      <w:start w:val="1"/>
      <w:numFmt w:val="bullet"/>
      <w:lvlText w:val=""/>
      <w:lvlJc w:val="left"/>
      <w:pPr>
        <w:ind w:left="6469" w:hanging="360"/>
      </w:pPr>
      <w:rPr>
        <w:rFonts w:ascii="Wingdings" w:hAnsi="Wingdings" w:hint="default"/>
      </w:rPr>
    </w:lvl>
  </w:abstractNum>
  <w:abstractNum w:abstractNumId="2" w15:restartNumberingAfterBreak="0">
    <w:nsid w:val="04747369"/>
    <w:multiLevelType w:val="hybridMultilevel"/>
    <w:tmpl w:val="9132AB46"/>
    <w:lvl w:ilvl="0" w:tplc="06681442">
      <w:start w:val="30"/>
      <w:numFmt w:val="bullet"/>
      <w:lvlText w:val="-"/>
      <w:lvlJc w:val="left"/>
      <w:pPr>
        <w:tabs>
          <w:tab w:val="num" w:pos="114"/>
        </w:tabs>
        <w:ind w:left="114" w:hanging="114"/>
      </w:pPr>
      <w:rPr>
        <w:rFonts w:ascii="Times New Roman" w:eastAsia="Times New Roman" w:hAnsi="Times New Roman" w:cs="Times New Roman" w:hint="default"/>
      </w:rPr>
    </w:lvl>
    <w:lvl w:ilvl="1" w:tplc="040C0003">
      <w:start w:val="1"/>
      <w:numFmt w:val="bullet"/>
      <w:lvlText w:val="o"/>
      <w:lvlJc w:val="left"/>
      <w:pPr>
        <w:tabs>
          <w:tab w:val="num" w:pos="703"/>
        </w:tabs>
        <w:ind w:left="703" w:hanging="360"/>
      </w:pPr>
      <w:rPr>
        <w:rFonts w:ascii="Courier New" w:hAnsi="Courier New" w:cs="Courier New" w:hint="default"/>
      </w:rPr>
    </w:lvl>
    <w:lvl w:ilvl="2" w:tplc="040C0005">
      <w:start w:val="1"/>
      <w:numFmt w:val="bullet"/>
      <w:lvlText w:val=""/>
      <w:lvlJc w:val="left"/>
      <w:pPr>
        <w:tabs>
          <w:tab w:val="num" w:pos="1423"/>
        </w:tabs>
        <w:ind w:left="1423" w:hanging="360"/>
      </w:pPr>
      <w:rPr>
        <w:rFonts w:ascii="Wingdings" w:hAnsi="Wingdings" w:hint="default"/>
      </w:rPr>
    </w:lvl>
    <w:lvl w:ilvl="3" w:tplc="040C0001" w:tentative="1">
      <w:start w:val="1"/>
      <w:numFmt w:val="bullet"/>
      <w:lvlText w:val=""/>
      <w:lvlJc w:val="left"/>
      <w:pPr>
        <w:tabs>
          <w:tab w:val="num" w:pos="2143"/>
        </w:tabs>
        <w:ind w:left="2143" w:hanging="360"/>
      </w:pPr>
      <w:rPr>
        <w:rFonts w:ascii="Symbol" w:hAnsi="Symbol" w:hint="default"/>
      </w:rPr>
    </w:lvl>
    <w:lvl w:ilvl="4" w:tplc="040C0003" w:tentative="1">
      <w:start w:val="1"/>
      <w:numFmt w:val="bullet"/>
      <w:lvlText w:val="o"/>
      <w:lvlJc w:val="left"/>
      <w:pPr>
        <w:tabs>
          <w:tab w:val="num" w:pos="2863"/>
        </w:tabs>
        <w:ind w:left="2863" w:hanging="360"/>
      </w:pPr>
      <w:rPr>
        <w:rFonts w:ascii="Courier New" w:hAnsi="Courier New" w:cs="Courier New" w:hint="default"/>
      </w:rPr>
    </w:lvl>
    <w:lvl w:ilvl="5" w:tplc="040C0005" w:tentative="1">
      <w:start w:val="1"/>
      <w:numFmt w:val="bullet"/>
      <w:lvlText w:val=""/>
      <w:lvlJc w:val="left"/>
      <w:pPr>
        <w:tabs>
          <w:tab w:val="num" w:pos="3583"/>
        </w:tabs>
        <w:ind w:left="3583" w:hanging="360"/>
      </w:pPr>
      <w:rPr>
        <w:rFonts w:ascii="Wingdings" w:hAnsi="Wingdings" w:hint="default"/>
      </w:rPr>
    </w:lvl>
    <w:lvl w:ilvl="6" w:tplc="040C0001" w:tentative="1">
      <w:start w:val="1"/>
      <w:numFmt w:val="bullet"/>
      <w:lvlText w:val=""/>
      <w:lvlJc w:val="left"/>
      <w:pPr>
        <w:tabs>
          <w:tab w:val="num" w:pos="4303"/>
        </w:tabs>
        <w:ind w:left="4303" w:hanging="360"/>
      </w:pPr>
      <w:rPr>
        <w:rFonts w:ascii="Symbol" w:hAnsi="Symbol" w:hint="default"/>
      </w:rPr>
    </w:lvl>
    <w:lvl w:ilvl="7" w:tplc="040C0003" w:tentative="1">
      <w:start w:val="1"/>
      <w:numFmt w:val="bullet"/>
      <w:lvlText w:val="o"/>
      <w:lvlJc w:val="left"/>
      <w:pPr>
        <w:tabs>
          <w:tab w:val="num" w:pos="5023"/>
        </w:tabs>
        <w:ind w:left="5023" w:hanging="360"/>
      </w:pPr>
      <w:rPr>
        <w:rFonts w:ascii="Courier New" w:hAnsi="Courier New" w:cs="Courier New" w:hint="default"/>
      </w:rPr>
    </w:lvl>
    <w:lvl w:ilvl="8" w:tplc="040C0005" w:tentative="1">
      <w:start w:val="1"/>
      <w:numFmt w:val="bullet"/>
      <w:lvlText w:val=""/>
      <w:lvlJc w:val="left"/>
      <w:pPr>
        <w:tabs>
          <w:tab w:val="num" w:pos="5743"/>
        </w:tabs>
        <w:ind w:left="5743" w:hanging="360"/>
      </w:pPr>
      <w:rPr>
        <w:rFonts w:ascii="Wingdings" w:hAnsi="Wingdings" w:hint="default"/>
      </w:rPr>
    </w:lvl>
  </w:abstractNum>
  <w:abstractNum w:abstractNumId="3" w15:restartNumberingAfterBreak="0">
    <w:nsid w:val="0948317A"/>
    <w:multiLevelType w:val="hybridMultilevel"/>
    <w:tmpl w:val="C0864E5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693994"/>
    <w:multiLevelType w:val="hybridMultilevel"/>
    <w:tmpl w:val="64384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D533BB"/>
    <w:multiLevelType w:val="hybridMultilevel"/>
    <w:tmpl w:val="72386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611D7"/>
    <w:multiLevelType w:val="hybridMultilevel"/>
    <w:tmpl w:val="170806A2"/>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63C75D5"/>
    <w:multiLevelType w:val="hybridMultilevel"/>
    <w:tmpl w:val="597201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6D72EA3"/>
    <w:multiLevelType w:val="hybridMultilevel"/>
    <w:tmpl w:val="B6EAAB60"/>
    <w:lvl w:ilvl="0" w:tplc="040C0003">
      <w:start w:val="1"/>
      <w:numFmt w:val="bullet"/>
      <w:lvlText w:val="o"/>
      <w:lvlJc w:val="left"/>
      <w:pPr>
        <w:tabs>
          <w:tab w:val="num" w:pos="720"/>
        </w:tabs>
        <w:ind w:left="720" w:hanging="360"/>
      </w:pPr>
      <w:rPr>
        <w:rFonts w:ascii="Courier New" w:hAnsi="Courier New" w:cs="Courier New" w:hint="default"/>
      </w:rPr>
    </w:lvl>
    <w:lvl w:ilvl="1" w:tplc="04E4FDA4">
      <w:start w:val="1"/>
      <w:numFmt w:val="bullet"/>
      <w:pStyle w:val="INSTRUCTIONBULLET2"/>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8824C5"/>
    <w:multiLevelType w:val="hybridMultilevel"/>
    <w:tmpl w:val="093EF3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CE0FEF"/>
    <w:multiLevelType w:val="hybridMultilevel"/>
    <w:tmpl w:val="1178A48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1" w15:restartNumberingAfterBreak="0">
    <w:nsid w:val="33F048EB"/>
    <w:multiLevelType w:val="hybridMultilevel"/>
    <w:tmpl w:val="2444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A56C52"/>
    <w:multiLevelType w:val="hybridMultilevel"/>
    <w:tmpl w:val="C46AA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0703F1"/>
    <w:multiLevelType w:val="hybridMultilevel"/>
    <w:tmpl w:val="704CB0DE"/>
    <w:lvl w:ilvl="0" w:tplc="22603F66">
      <w:start w:val="2"/>
      <w:numFmt w:val="bullet"/>
      <w:lvlText w:val="-"/>
      <w:lvlJc w:val="left"/>
      <w:pPr>
        <w:ind w:left="1080" w:hanging="360"/>
      </w:pPr>
      <w:rPr>
        <w:rFonts w:ascii="Arial Narrow" w:eastAsia="MS Gothic" w:hAnsi="Arial Narrow"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16A4E2D"/>
    <w:multiLevelType w:val="hybridMultilevel"/>
    <w:tmpl w:val="AE1A8D2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35B3FA0"/>
    <w:multiLevelType w:val="hybridMultilevel"/>
    <w:tmpl w:val="5DD05272"/>
    <w:lvl w:ilvl="0" w:tplc="79089FAC">
      <w:start w:val="1"/>
      <w:numFmt w:val="bullet"/>
      <w:pStyle w:val="iNSTRUCTIONBULLET1"/>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60745F"/>
    <w:multiLevelType w:val="hybridMultilevel"/>
    <w:tmpl w:val="73AE436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7A34295"/>
    <w:multiLevelType w:val="hybridMultilevel"/>
    <w:tmpl w:val="C6649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CC4E60"/>
    <w:multiLevelType w:val="hybridMultilevel"/>
    <w:tmpl w:val="0B5293E2"/>
    <w:lvl w:ilvl="0" w:tplc="FC562A8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2D7E52"/>
    <w:multiLevelType w:val="hybridMultilevel"/>
    <w:tmpl w:val="A1909A0A"/>
    <w:lvl w:ilvl="0" w:tplc="06681442">
      <w:start w:val="30"/>
      <w:numFmt w:val="bullet"/>
      <w:lvlText w:val="-"/>
      <w:lvlJc w:val="left"/>
      <w:pPr>
        <w:tabs>
          <w:tab w:val="num" w:pos="851"/>
        </w:tabs>
        <w:ind w:left="851" w:hanging="114"/>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2A2F2A"/>
    <w:multiLevelType w:val="hybridMultilevel"/>
    <w:tmpl w:val="8960B4D0"/>
    <w:lvl w:ilvl="0" w:tplc="04090003">
      <w:start w:val="1"/>
      <w:numFmt w:val="bullet"/>
      <w:lvlText w:val="o"/>
      <w:lvlJc w:val="left"/>
      <w:pPr>
        <w:ind w:left="1800" w:hanging="360"/>
      </w:pPr>
      <w:rPr>
        <w:rFonts w:ascii="Courier New" w:hAnsi="Courier New" w:cs="Courier New" w:hint="default"/>
      </w:rPr>
    </w:lvl>
    <w:lvl w:ilvl="1" w:tplc="0ED2ECFC">
      <w:numFmt w:val="bullet"/>
      <w:lvlText w:val="•"/>
      <w:lvlJc w:val="left"/>
      <w:pPr>
        <w:ind w:left="2520" w:hanging="360"/>
      </w:pPr>
      <w:rPr>
        <w:rFonts w:ascii="Arial Narrow" w:eastAsia="MS Gothic" w:hAnsi="Arial Narrow"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475208B"/>
    <w:multiLevelType w:val="hybridMultilevel"/>
    <w:tmpl w:val="3EFCB6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66D3A74"/>
    <w:multiLevelType w:val="singleLevel"/>
    <w:tmpl w:val="42065566"/>
    <w:lvl w:ilvl="0">
      <w:start w:val="1"/>
      <w:numFmt w:val="decimal"/>
      <w:lvlText w:val="%1."/>
      <w:legacy w:legacy="1" w:legacySpace="120" w:legacyIndent="360"/>
      <w:lvlJc w:val="left"/>
      <w:pPr>
        <w:ind w:left="360" w:hanging="360"/>
      </w:pPr>
    </w:lvl>
  </w:abstractNum>
  <w:abstractNum w:abstractNumId="23" w15:restartNumberingAfterBreak="0">
    <w:nsid w:val="6C095C0E"/>
    <w:multiLevelType w:val="hybridMultilevel"/>
    <w:tmpl w:val="9BB0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C551D8"/>
    <w:multiLevelType w:val="hybridMultilevel"/>
    <w:tmpl w:val="2444C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7181E57"/>
    <w:multiLevelType w:val="hybridMultilevel"/>
    <w:tmpl w:val="2D1CD39A"/>
    <w:lvl w:ilvl="0" w:tplc="040C0005">
      <w:start w:val="1"/>
      <w:numFmt w:val="bullet"/>
      <w:lvlText w:val=""/>
      <w:lvlJc w:val="left"/>
      <w:pPr>
        <w:ind w:left="719" w:hanging="360"/>
      </w:pPr>
      <w:rPr>
        <w:rFonts w:ascii="Wingdings" w:hAnsi="Wingdings" w:hint="default"/>
      </w:rPr>
    </w:lvl>
    <w:lvl w:ilvl="1" w:tplc="FFFFFFFF" w:tentative="1">
      <w:start w:val="1"/>
      <w:numFmt w:val="bullet"/>
      <w:lvlText w:val="o"/>
      <w:lvlJc w:val="left"/>
      <w:pPr>
        <w:ind w:left="1439" w:hanging="360"/>
      </w:pPr>
      <w:rPr>
        <w:rFonts w:ascii="Courier New" w:hAnsi="Courier New" w:cs="Courier New" w:hint="default"/>
      </w:rPr>
    </w:lvl>
    <w:lvl w:ilvl="2" w:tplc="FFFFFFFF" w:tentative="1">
      <w:start w:val="1"/>
      <w:numFmt w:val="bullet"/>
      <w:lvlText w:val=""/>
      <w:lvlJc w:val="left"/>
      <w:pPr>
        <w:ind w:left="2159" w:hanging="360"/>
      </w:pPr>
      <w:rPr>
        <w:rFonts w:ascii="Wingdings" w:hAnsi="Wingdings" w:hint="default"/>
      </w:rPr>
    </w:lvl>
    <w:lvl w:ilvl="3" w:tplc="FFFFFFFF" w:tentative="1">
      <w:start w:val="1"/>
      <w:numFmt w:val="bullet"/>
      <w:lvlText w:val=""/>
      <w:lvlJc w:val="left"/>
      <w:pPr>
        <w:ind w:left="2879" w:hanging="360"/>
      </w:pPr>
      <w:rPr>
        <w:rFonts w:ascii="Symbol" w:hAnsi="Symbol" w:hint="default"/>
      </w:rPr>
    </w:lvl>
    <w:lvl w:ilvl="4" w:tplc="FFFFFFFF" w:tentative="1">
      <w:start w:val="1"/>
      <w:numFmt w:val="bullet"/>
      <w:lvlText w:val="o"/>
      <w:lvlJc w:val="left"/>
      <w:pPr>
        <w:ind w:left="3599" w:hanging="360"/>
      </w:pPr>
      <w:rPr>
        <w:rFonts w:ascii="Courier New" w:hAnsi="Courier New" w:cs="Courier New" w:hint="default"/>
      </w:rPr>
    </w:lvl>
    <w:lvl w:ilvl="5" w:tplc="FFFFFFFF" w:tentative="1">
      <w:start w:val="1"/>
      <w:numFmt w:val="bullet"/>
      <w:lvlText w:val=""/>
      <w:lvlJc w:val="left"/>
      <w:pPr>
        <w:ind w:left="4319" w:hanging="360"/>
      </w:pPr>
      <w:rPr>
        <w:rFonts w:ascii="Wingdings" w:hAnsi="Wingdings" w:hint="default"/>
      </w:rPr>
    </w:lvl>
    <w:lvl w:ilvl="6" w:tplc="FFFFFFFF" w:tentative="1">
      <w:start w:val="1"/>
      <w:numFmt w:val="bullet"/>
      <w:lvlText w:val=""/>
      <w:lvlJc w:val="left"/>
      <w:pPr>
        <w:ind w:left="5039" w:hanging="360"/>
      </w:pPr>
      <w:rPr>
        <w:rFonts w:ascii="Symbol" w:hAnsi="Symbol" w:hint="default"/>
      </w:rPr>
    </w:lvl>
    <w:lvl w:ilvl="7" w:tplc="FFFFFFFF" w:tentative="1">
      <w:start w:val="1"/>
      <w:numFmt w:val="bullet"/>
      <w:lvlText w:val="o"/>
      <w:lvlJc w:val="left"/>
      <w:pPr>
        <w:ind w:left="5759" w:hanging="360"/>
      </w:pPr>
      <w:rPr>
        <w:rFonts w:ascii="Courier New" w:hAnsi="Courier New" w:cs="Courier New" w:hint="default"/>
      </w:rPr>
    </w:lvl>
    <w:lvl w:ilvl="8" w:tplc="FFFFFFFF" w:tentative="1">
      <w:start w:val="1"/>
      <w:numFmt w:val="bullet"/>
      <w:lvlText w:val=""/>
      <w:lvlJc w:val="left"/>
      <w:pPr>
        <w:ind w:left="6479" w:hanging="360"/>
      </w:pPr>
      <w:rPr>
        <w:rFonts w:ascii="Wingdings" w:hAnsi="Wingdings" w:hint="default"/>
      </w:rPr>
    </w:lvl>
  </w:abstractNum>
  <w:abstractNum w:abstractNumId="26" w15:restartNumberingAfterBreak="0">
    <w:nsid w:val="7E7A636F"/>
    <w:multiLevelType w:val="hybridMultilevel"/>
    <w:tmpl w:val="AE4AFE1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59254547">
    <w:abstractNumId w:val="22"/>
  </w:num>
  <w:num w:numId="2" w16cid:durableId="743723739">
    <w:abstractNumId w:val="2"/>
  </w:num>
  <w:num w:numId="3" w16cid:durableId="2079012554">
    <w:abstractNumId w:val="19"/>
  </w:num>
  <w:num w:numId="4" w16cid:durableId="374431814">
    <w:abstractNumId w:val="18"/>
  </w:num>
  <w:num w:numId="5" w16cid:durableId="2103531729">
    <w:abstractNumId w:val="0"/>
  </w:num>
  <w:num w:numId="6" w16cid:durableId="1060978547">
    <w:abstractNumId w:val="8"/>
  </w:num>
  <w:num w:numId="7" w16cid:durableId="1772966071">
    <w:abstractNumId w:val="15"/>
  </w:num>
  <w:num w:numId="8" w16cid:durableId="1696148724">
    <w:abstractNumId w:val="3"/>
  </w:num>
  <w:num w:numId="9" w16cid:durableId="1281456071">
    <w:abstractNumId w:val="21"/>
  </w:num>
  <w:num w:numId="10" w16cid:durableId="1798178202">
    <w:abstractNumId w:val="7"/>
  </w:num>
  <w:num w:numId="11" w16cid:durableId="2078169426">
    <w:abstractNumId w:val="25"/>
  </w:num>
  <w:num w:numId="12" w16cid:durableId="1168599767">
    <w:abstractNumId w:val="14"/>
  </w:num>
  <w:num w:numId="13" w16cid:durableId="574247821">
    <w:abstractNumId w:val="16"/>
  </w:num>
  <w:num w:numId="14" w16cid:durableId="2025476738">
    <w:abstractNumId w:val="26"/>
  </w:num>
  <w:num w:numId="15" w16cid:durableId="1461607057">
    <w:abstractNumId w:val="1"/>
  </w:num>
  <w:num w:numId="16" w16cid:durableId="864440902">
    <w:abstractNumId w:val="17"/>
  </w:num>
  <w:num w:numId="17" w16cid:durableId="160825473">
    <w:abstractNumId w:val="11"/>
  </w:num>
  <w:num w:numId="18" w16cid:durableId="990980166">
    <w:abstractNumId w:val="24"/>
  </w:num>
  <w:num w:numId="19" w16cid:durableId="699470733">
    <w:abstractNumId w:val="10"/>
  </w:num>
  <w:num w:numId="20" w16cid:durableId="892812038">
    <w:abstractNumId w:val="9"/>
  </w:num>
  <w:num w:numId="21" w16cid:durableId="1278440294">
    <w:abstractNumId w:val="13"/>
  </w:num>
  <w:num w:numId="22" w16cid:durableId="1318538910">
    <w:abstractNumId w:val="6"/>
  </w:num>
  <w:num w:numId="23" w16cid:durableId="226040926">
    <w:abstractNumId w:val="4"/>
  </w:num>
  <w:num w:numId="24" w16cid:durableId="1797989055">
    <w:abstractNumId w:val="20"/>
  </w:num>
  <w:num w:numId="25" w16cid:durableId="433284644">
    <w:abstractNumId w:val="23"/>
  </w:num>
  <w:num w:numId="26" w16cid:durableId="625888077">
    <w:abstractNumId w:val="12"/>
  </w:num>
  <w:num w:numId="27" w16cid:durableId="145070680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0"/>
  <w:defaultTabStop w:val="0"/>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073">
      <o:colormru v:ext="edit" colors="#120b7c,#b51284,#9dab9a,#fea620,#50b0d1,#2461aa"/>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D68"/>
    <w:rsid w:val="0000150B"/>
    <w:rsid w:val="00001BE6"/>
    <w:rsid w:val="00001C22"/>
    <w:rsid w:val="000069A3"/>
    <w:rsid w:val="0000764B"/>
    <w:rsid w:val="000076EC"/>
    <w:rsid w:val="00013293"/>
    <w:rsid w:val="00013D68"/>
    <w:rsid w:val="00013E9F"/>
    <w:rsid w:val="000142A5"/>
    <w:rsid w:val="00014D7A"/>
    <w:rsid w:val="00021AF5"/>
    <w:rsid w:val="000239B5"/>
    <w:rsid w:val="0003022A"/>
    <w:rsid w:val="000309AF"/>
    <w:rsid w:val="00031503"/>
    <w:rsid w:val="00035FDE"/>
    <w:rsid w:val="00040E0B"/>
    <w:rsid w:val="00044B42"/>
    <w:rsid w:val="00047C8B"/>
    <w:rsid w:val="000506FF"/>
    <w:rsid w:val="000534EC"/>
    <w:rsid w:val="000579E6"/>
    <w:rsid w:val="00060907"/>
    <w:rsid w:val="00061CBE"/>
    <w:rsid w:val="0006247B"/>
    <w:rsid w:val="0006344C"/>
    <w:rsid w:val="000659ED"/>
    <w:rsid w:val="00066EBD"/>
    <w:rsid w:val="00067686"/>
    <w:rsid w:val="000737EE"/>
    <w:rsid w:val="00081820"/>
    <w:rsid w:val="00081D49"/>
    <w:rsid w:val="00084AA3"/>
    <w:rsid w:val="000865A1"/>
    <w:rsid w:val="0009037F"/>
    <w:rsid w:val="0009544A"/>
    <w:rsid w:val="000975D1"/>
    <w:rsid w:val="000A0A0C"/>
    <w:rsid w:val="000A16AA"/>
    <w:rsid w:val="000A187E"/>
    <w:rsid w:val="000A2509"/>
    <w:rsid w:val="000A37CF"/>
    <w:rsid w:val="000A7F3E"/>
    <w:rsid w:val="000B0345"/>
    <w:rsid w:val="000B03B7"/>
    <w:rsid w:val="000B5FC1"/>
    <w:rsid w:val="000C13F0"/>
    <w:rsid w:val="000C1AF2"/>
    <w:rsid w:val="000C1BC3"/>
    <w:rsid w:val="000C1F7C"/>
    <w:rsid w:val="000C7220"/>
    <w:rsid w:val="000D38F0"/>
    <w:rsid w:val="000D392D"/>
    <w:rsid w:val="000D61FF"/>
    <w:rsid w:val="000D786A"/>
    <w:rsid w:val="000E02BC"/>
    <w:rsid w:val="000E3731"/>
    <w:rsid w:val="000F44AF"/>
    <w:rsid w:val="000F488E"/>
    <w:rsid w:val="001011B7"/>
    <w:rsid w:val="0010188F"/>
    <w:rsid w:val="001031DA"/>
    <w:rsid w:val="00103D8A"/>
    <w:rsid w:val="001101E7"/>
    <w:rsid w:val="001129BD"/>
    <w:rsid w:val="00112BE3"/>
    <w:rsid w:val="001167B5"/>
    <w:rsid w:val="00116B81"/>
    <w:rsid w:val="0012418A"/>
    <w:rsid w:val="001304C1"/>
    <w:rsid w:val="0014568F"/>
    <w:rsid w:val="0014694B"/>
    <w:rsid w:val="001478F3"/>
    <w:rsid w:val="00152266"/>
    <w:rsid w:val="001531F1"/>
    <w:rsid w:val="00154FA8"/>
    <w:rsid w:val="00155F2C"/>
    <w:rsid w:val="00155FBF"/>
    <w:rsid w:val="00157BB6"/>
    <w:rsid w:val="0016207C"/>
    <w:rsid w:val="0016262A"/>
    <w:rsid w:val="0016345D"/>
    <w:rsid w:val="00163792"/>
    <w:rsid w:val="00164EC0"/>
    <w:rsid w:val="00166EF2"/>
    <w:rsid w:val="001670B0"/>
    <w:rsid w:val="001718FA"/>
    <w:rsid w:val="00175FAC"/>
    <w:rsid w:val="00176E13"/>
    <w:rsid w:val="0018258F"/>
    <w:rsid w:val="00184F90"/>
    <w:rsid w:val="00186A4A"/>
    <w:rsid w:val="0019280E"/>
    <w:rsid w:val="00193985"/>
    <w:rsid w:val="00196920"/>
    <w:rsid w:val="001A0EB7"/>
    <w:rsid w:val="001A3E05"/>
    <w:rsid w:val="001A6B0C"/>
    <w:rsid w:val="001A7C3C"/>
    <w:rsid w:val="001B0149"/>
    <w:rsid w:val="001B0909"/>
    <w:rsid w:val="001B54CC"/>
    <w:rsid w:val="001B75F3"/>
    <w:rsid w:val="001B7C67"/>
    <w:rsid w:val="001C05EC"/>
    <w:rsid w:val="001C3BFD"/>
    <w:rsid w:val="001C49A5"/>
    <w:rsid w:val="001C5D18"/>
    <w:rsid w:val="001C625B"/>
    <w:rsid w:val="001C7B5D"/>
    <w:rsid w:val="001D07C2"/>
    <w:rsid w:val="001D0AB0"/>
    <w:rsid w:val="001D193B"/>
    <w:rsid w:val="001D217F"/>
    <w:rsid w:val="001D2F2C"/>
    <w:rsid w:val="001D5EAA"/>
    <w:rsid w:val="001D7974"/>
    <w:rsid w:val="001D7E21"/>
    <w:rsid w:val="001E2949"/>
    <w:rsid w:val="001E4DE7"/>
    <w:rsid w:val="001E6718"/>
    <w:rsid w:val="001E6A31"/>
    <w:rsid w:val="001E7767"/>
    <w:rsid w:val="001E7C77"/>
    <w:rsid w:val="001F11FA"/>
    <w:rsid w:val="001F453F"/>
    <w:rsid w:val="00206EEA"/>
    <w:rsid w:val="0021248E"/>
    <w:rsid w:val="00213F6A"/>
    <w:rsid w:val="00215D68"/>
    <w:rsid w:val="0021671E"/>
    <w:rsid w:val="0022111C"/>
    <w:rsid w:val="00221DC5"/>
    <w:rsid w:val="00223B97"/>
    <w:rsid w:val="00224526"/>
    <w:rsid w:val="00224E84"/>
    <w:rsid w:val="00244E4C"/>
    <w:rsid w:val="002456E5"/>
    <w:rsid w:val="00245A78"/>
    <w:rsid w:val="002460A2"/>
    <w:rsid w:val="00250566"/>
    <w:rsid w:val="00254022"/>
    <w:rsid w:val="0025458E"/>
    <w:rsid w:val="00256991"/>
    <w:rsid w:val="0026294C"/>
    <w:rsid w:val="00265A9F"/>
    <w:rsid w:val="00271664"/>
    <w:rsid w:val="002724D1"/>
    <w:rsid w:val="00273BAB"/>
    <w:rsid w:val="00273E14"/>
    <w:rsid w:val="002744DD"/>
    <w:rsid w:val="002747A1"/>
    <w:rsid w:val="002757BC"/>
    <w:rsid w:val="002767EA"/>
    <w:rsid w:val="002814E3"/>
    <w:rsid w:val="00281559"/>
    <w:rsid w:val="00284809"/>
    <w:rsid w:val="00284FF7"/>
    <w:rsid w:val="00285610"/>
    <w:rsid w:val="002859CC"/>
    <w:rsid w:val="0029261C"/>
    <w:rsid w:val="00294546"/>
    <w:rsid w:val="002963B2"/>
    <w:rsid w:val="002A0734"/>
    <w:rsid w:val="002A2927"/>
    <w:rsid w:val="002A3242"/>
    <w:rsid w:val="002A364F"/>
    <w:rsid w:val="002A377E"/>
    <w:rsid w:val="002A4613"/>
    <w:rsid w:val="002A7163"/>
    <w:rsid w:val="002A7486"/>
    <w:rsid w:val="002A7F3E"/>
    <w:rsid w:val="002A7F51"/>
    <w:rsid w:val="002B0525"/>
    <w:rsid w:val="002B0EE9"/>
    <w:rsid w:val="002B2F48"/>
    <w:rsid w:val="002B3476"/>
    <w:rsid w:val="002B4631"/>
    <w:rsid w:val="002B5365"/>
    <w:rsid w:val="002B7DBA"/>
    <w:rsid w:val="002C1164"/>
    <w:rsid w:val="002C123E"/>
    <w:rsid w:val="002C18FA"/>
    <w:rsid w:val="002D6074"/>
    <w:rsid w:val="002D6920"/>
    <w:rsid w:val="002D7045"/>
    <w:rsid w:val="002E2AC5"/>
    <w:rsid w:val="002E2B6B"/>
    <w:rsid w:val="002F063D"/>
    <w:rsid w:val="002F081D"/>
    <w:rsid w:val="002F1EA7"/>
    <w:rsid w:val="002F260F"/>
    <w:rsid w:val="002F2688"/>
    <w:rsid w:val="002F5014"/>
    <w:rsid w:val="002F7540"/>
    <w:rsid w:val="002F7C9C"/>
    <w:rsid w:val="003003E3"/>
    <w:rsid w:val="00303C02"/>
    <w:rsid w:val="00304DF1"/>
    <w:rsid w:val="0031003E"/>
    <w:rsid w:val="00310FED"/>
    <w:rsid w:val="00314AC4"/>
    <w:rsid w:val="003208A2"/>
    <w:rsid w:val="003244CA"/>
    <w:rsid w:val="003302B8"/>
    <w:rsid w:val="00334C75"/>
    <w:rsid w:val="003371BA"/>
    <w:rsid w:val="0033771F"/>
    <w:rsid w:val="00340776"/>
    <w:rsid w:val="00345721"/>
    <w:rsid w:val="0034624D"/>
    <w:rsid w:val="003462E1"/>
    <w:rsid w:val="0034664B"/>
    <w:rsid w:val="003470ED"/>
    <w:rsid w:val="003500FC"/>
    <w:rsid w:val="003513D8"/>
    <w:rsid w:val="00353C3A"/>
    <w:rsid w:val="003549EB"/>
    <w:rsid w:val="00361263"/>
    <w:rsid w:val="00362513"/>
    <w:rsid w:val="0036757F"/>
    <w:rsid w:val="003755A9"/>
    <w:rsid w:val="00377CE0"/>
    <w:rsid w:val="0038015A"/>
    <w:rsid w:val="00380DD9"/>
    <w:rsid w:val="003830C0"/>
    <w:rsid w:val="0038519E"/>
    <w:rsid w:val="00385676"/>
    <w:rsid w:val="00387107"/>
    <w:rsid w:val="00391B03"/>
    <w:rsid w:val="00391B8D"/>
    <w:rsid w:val="00395B4F"/>
    <w:rsid w:val="003A0B1D"/>
    <w:rsid w:val="003A0F1F"/>
    <w:rsid w:val="003A0FC0"/>
    <w:rsid w:val="003A6D28"/>
    <w:rsid w:val="003B0E08"/>
    <w:rsid w:val="003B386F"/>
    <w:rsid w:val="003B4D97"/>
    <w:rsid w:val="003B54AE"/>
    <w:rsid w:val="003B56A6"/>
    <w:rsid w:val="003B5FA8"/>
    <w:rsid w:val="003B69F3"/>
    <w:rsid w:val="003C4BB4"/>
    <w:rsid w:val="003C6E0C"/>
    <w:rsid w:val="003C72AF"/>
    <w:rsid w:val="003C7CE7"/>
    <w:rsid w:val="003D0207"/>
    <w:rsid w:val="003E1B70"/>
    <w:rsid w:val="003E1B93"/>
    <w:rsid w:val="003E50BF"/>
    <w:rsid w:val="003E590E"/>
    <w:rsid w:val="003F0FB3"/>
    <w:rsid w:val="003F1674"/>
    <w:rsid w:val="003F5D79"/>
    <w:rsid w:val="003F5E76"/>
    <w:rsid w:val="003F6DEE"/>
    <w:rsid w:val="003F79D1"/>
    <w:rsid w:val="00400FC3"/>
    <w:rsid w:val="004013F9"/>
    <w:rsid w:val="00401892"/>
    <w:rsid w:val="00402FD8"/>
    <w:rsid w:val="0040620C"/>
    <w:rsid w:val="0041072C"/>
    <w:rsid w:val="004128D7"/>
    <w:rsid w:val="004139C1"/>
    <w:rsid w:val="004147DB"/>
    <w:rsid w:val="00414B20"/>
    <w:rsid w:val="00414BB6"/>
    <w:rsid w:val="004172B3"/>
    <w:rsid w:val="00417E64"/>
    <w:rsid w:val="00421218"/>
    <w:rsid w:val="0042261D"/>
    <w:rsid w:val="00430834"/>
    <w:rsid w:val="004309EC"/>
    <w:rsid w:val="00437724"/>
    <w:rsid w:val="00437F09"/>
    <w:rsid w:val="00441B5E"/>
    <w:rsid w:val="0044368F"/>
    <w:rsid w:val="004443B5"/>
    <w:rsid w:val="00444918"/>
    <w:rsid w:val="004459C1"/>
    <w:rsid w:val="00445C8A"/>
    <w:rsid w:val="004528B5"/>
    <w:rsid w:val="00455D3F"/>
    <w:rsid w:val="0046280B"/>
    <w:rsid w:val="0046348B"/>
    <w:rsid w:val="00464084"/>
    <w:rsid w:val="00476672"/>
    <w:rsid w:val="00476C33"/>
    <w:rsid w:val="00477F7C"/>
    <w:rsid w:val="00480011"/>
    <w:rsid w:val="004823A9"/>
    <w:rsid w:val="00484980"/>
    <w:rsid w:val="004850F4"/>
    <w:rsid w:val="0048647A"/>
    <w:rsid w:val="0048736E"/>
    <w:rsid w:val="0049281B"/>
    <w:rsid w:val="00492A44"/>
    <w:rsid w:val="00495034"/>
    <w:rsid w:val="00497E10"/>
    <w:rsid w:val="004A0DBD"/>
    <w:rsid w:val="004A10DD"/>
    <w:rsid w:val="004A6817"/>
    <w:rsid w:val="004A7661"/>
    <w:rsid w:val="004B0FCA"/>
    <w:rsid w:val="004B132D"/>
    <w:rsid w:val="004B1624"/>
    <w:rsid w:val="004B220F"/>
    <w:rsid w:val="004B4251"/>
    <w:rsid w:val="004C3971"/>
    <w:rsid w:val="004C48D0"/>
    <w:rsid w:val="004C5924"/>
    <w:rsid w:val="004D4026"/>
    <w:rsid w:val="004D457F"/>
    <w:rsid w:val="004D64B7"/>
    <w:rsid w:val="004D7C75"/>
    <w:rsid w:val="004E19C7"/>
    <w:rsid w:val="004E28D8"/>
    <w:rsid w:val="004E5FC5"/>
    <w:rsid w:val="004E6166"/>
    <w:rsid w:val="004E7C7E"/>
    <w:rsid w:val="004F09CD"/>
    <w:rsid w:val="004F3B83"/>
    <w:rsid w:val="004F4369"/>
    <w:rsid w:val="004F4674"/>
    <w:rsid w:val="004F4C07"/>
    <w:rsid w:val="004F4C3A"/>
    <w:rsid w:val="004F4EED"/>
    <w:rsid w:val="004F5832"/>
    <w:rsid w:val="00503ADB"/>
    <w:rsid w:val="00511A10"/>
    <w:rsid w:val="00511B6D"/>
    <w:rsid w:val="00513BEE"/>
    <w:rsid w:val="00514300"/>
    <w:rsid w:val="00522049"/>
    <w:rsid w:val="0052244E"/>
    <w:rsid w:val="00524532"/>
    <w:rsid w:val="00524683"/>
    <w:rsid w:val="00524E11"/>
    <w:rsid w:val="00527165"/>
    <w:rsid w:val="00534799"/>
    <w:rsid w:val="00535353"/>
    <w:rsid w:val="00537288"/>
    <w:rsid w:val="00537304"/>
    <w:rsid w:val="005403EF"/>
    <w:rsid w:val="00542494"/>
    <w:rsid w:val="00543BFE"/>
    <w:rsid w:val="00546370"/>
    <w:rsid w:val="00546BEE"/>
    <w:rsid w:val="00550D4A"/>
    <w:rsid w:val="005512B9"/>
    <w:rsid w:val="00561CE6"/>
    <w:rsid w:val="0056242D"/>
    <w:rsid w:val="00564C2B"/>
    <w:rsid w:val="00564FEA"/>
    <w:rsid w:val="005651DC"/>
    <w:rsid w:val="00566BD8"/>
    <w:rsid w:val="00566C15"/>
    <w:rsid w:val="00567001"/>
    <w:rsid w:val="005724FE"/>
    <w:rsid w:val="00576652"/>
    <w:rsid w:val="0058384F"/>
    <w:rsid w:val="00583B94"/>
    <w:rsid w:val="005857E9"/>
    <w:rsid w:val="0058625F"/>
    <w:rsid w:val="00586ACD"/>
    <w:rsid w:val="005901D1"/>
    <w:rsid w:val="00590265"/>
    <w:rsid w:val="00592618"/>
    <w:rsid w:val="00594E4D"/>
    <w:rsid w:val="005A131D"/>
    <w:rsid w:val="005A44B0"/>
    <w:rsid w:val="005A79B6"/>
    <w:rsid w:val="005A79E3"/>
    <w:rsid w:val="005B38A1"/>
    <w:rsid w:val="005B562D"/>
    <w:rsid w:val="005B6C13"/>
    <w:rsid w:val="005B7B20"/>
    <w:rsid w:val="005C30AF"/>
    <w:rsid w:val="005C3CB8"/>
    <w:rsid w:val="005C4ADD"/>
    <w:rsid w:val="005C57C0"/>
    <w:rsid w:val="005C73E7"/>
    <w:rsid w:val="005C7C30"/>
    <w:rsid w:val="005D1CA7"/>
    <w:rsid w:val="005D4398"/>
    <w:rsid w:val="005D4F2A"/>
    <w:rsid w:val="005D613E"/>
    <w:rsid w:val="005D646D"/>
    <w:rsid w:val="005D6CDE"/>
    <w:rsid w:val="005E0430"/>
    <w:rsid w:val="005E09B9"/>
    <w:rsid w:val="005E1628"/>
    <w:rsid w:val="005E3029"/>
    <w:rsid w:val="005E3863"/>
    <w:rsid w:val="005E3D28"/>
    <w:rsid w:val="005E56A4"/>
    <w:rsid w:val="005E5E8D"/>
    <w:rsid w:val="005F089D"/>
    <w:rsid w:val="005F1434"/>
    <w:rsid w:val="005F1766"/>
    <w:rsid w:val="005F3468"/>
    <w:rsid w:val="005F4158"/>
    <w:rsid w:val="005F4337"/>
    <w:rsid w:val="005F6C9A"/>
    <w:rsid w:val="00601D2E"/>
    <w:rsid w:val="00603584"/>
    <w:rsid w:val="006125A8"/>
    <w:rsid w:val="00615EDF"/>
    <w:rsid w:val="0061765C"/>
    <w:rsid w:val="00624283"/>
    <w:rsid w:val="00624FF0"/>
    <w:rsid w:val="00625208"/>
    <w:rsid w:val="00626723"/>
    <w:rsid w:val="00626D3D"/>
    <w:rsid w:val="006356FB"/>
    <w:rsid w:val="00640629"/>
    <w:rsid w:val="00642153"/>
    <w:rsid w:val="00646717"/>
    <w:rsid w:val="00651880"/>
    <w:rsid w:val="006541C7"/>
    <w:rsid w:val="006543BC"/>
    <w:rsid w:val="00656860"/>
    <w:rsid w:val="00657235"/>
    <w:rsid w:val="00662CB3"/>
    <w:rsid w:val="0066448C"/>
    <w:rsid w:val="00665205"/>
    <w:rsid w:val="00667F1A"/>
    <w:rsid w:val="00674679"/>
    <w:rsid w:val="00676B7F"/>
    <w:rsid w:val="0067716F"/>
    <w:rsid w:val="00692BE3"/>
    <w:rsid w:val="00693F0F"/>
    <w:rsid w:val="00694687"/>
    <w:rsid w:val="006A152A"/>
    <w:rsid w:val="006A2DDC"/>
    <w:rsid w:val="006B15A4"/>
    <w:rsid w:val="006B3703"/>
    <w:rsid w:val="006B3E63"/>
    <w:rsid w:val="006B559D"/>
    <w:rsid w:val="006C0B40"/>
    <w:rsid w:val="006C0D08"/>
    <w:rsid w:val="006C233F"/>
    <w:rsid w:val="006C34D7"/>
    <w:rsid w:val="006C73E9"/>
    <w:rsid w:val="006D0362"/>
    <w:rsid w:val="006D2967"/>
    <w:rsid w:val="006D3E2C"/>
    <w:rsid w:val="006E19ED"/>
    <w:rsid w:val="006E35D9"/>
    <w:rsid w:val="006E378A"/>
    <w:rsid w:val="006E5ECF"/>
    <w:rsid w:val="006E7427"/>
    <w:rsid w:val="006E7562"/>
    <w:rsid w:val="006F44F1"/>
    <w:rsid w:val="006F71D0"/>
    <w:rsid w:val="007032BC"/>
    <w:rsid w:val="00703FD2"/>
    <w:rsid w:val="00704B35"/>
    <w:rsid w:val="00705685"/>
    <w:rsid w:val="007057B7"/>
    <w:rsid w:val="00705C20"/>
    <w:rsid w:val="00711630"/>
    <w:rsid w:val="00712D92"/>
    <w:rsid w:val="0071405C"/>
    <w:rsid w:val="00715460"/>
    <w:rsid w:val="00715993"/>
    <w:rsid w:val="00722F58"/>
    <w:rsid w:val="00730D44"/>
    <w:rsid w:val="00732AAB"/>
    <w:rsid w:val="00734FAB"/>
    <w:rsid w:val="0073502C"/>
    <w:rsid w:val="007413B2"/>
    <w:rsid w:val="0074775D"/>
    <w:rsid w:val="00750C38"/>
    <w:rsid w:val="007511DD"/>
    <w:rsid w:val="00754502"/>
    <w:rsid w:val="00756189"/>
    <w:rsid w:val="00756402"/>
    <w:rsid w:val="0076204F"/>
    <w:rsid w:val="0076686D"/>
    <w:rsid w:val="007669A5"/>
    <w:rsid w:val="00772515"/>
    <w:rsid w:val="00773158"/>
    <w:rsid w:val="00773D82"/>
    <w:rsid w:val="00781797"/>
    <w:rsid w:val="0078524F"/>
    <w:rsid w:val="007855F3"/>
    <w:rsid w:val="00791D2D"/>
    <w:rsid w:val="007977E8"/>
    <w:rsid w:val="007A44DC"/>
    <w:rsid w:val="007A623A"/>
    <w:rsid w:val="007A7194"/>
    <w:rsid w:val="007A7D6C"/>
    <w:rsid w:val="007B1436"/>
    <w:rsid w:val="007B3412"/>
    <w:rsid w:val="007B3A41"/>
    <w:rsid w:val="007B5DAD"/>
    <w:rsid w:val="007B751A"/>
    <w:rsid w:val="007C15B0"/>
    <w:rsid w:val="007C3967"/>
    <w:rsid w:val="007C6EB5"/>
    <w:rsid w:val="007C7015"/>
    <w:rsid w:val="007D4E87"/>
    <w:rsid w:val="007D5F8F"/>
    <w:rsid w:val="007D5FA9"/>
    <w:rsid w:val="007D600F"/>
    <w:rsid w:val="007D7EEB"/>
    <w:rsid w:val="007E2109"/>
    <w:rsid w:val="007E38B6"/>
    <w:rsid w:val="007E4CED"/>
    <w:rsid w:val="007E4FA9"/>
    <w:rsid w:val="007E77F3"/>
    <w:rsid w:val="007F0E8C"/>
    <w:rsid w:val="00800AE9"/>
    <w:rsid w:val="00801680"/>
    <w:rsid w:val="0080226C"/>
    <w:rsid w:val="00804330"/>
    <w:rsid w:val="0080540A"/>
    <w:rsid w:val="00806541"/>
    <w:rsid w:val="0080767E"/>
    <w:rsid w:val="00807C11"/>
    <w:rsid w:val="00811652"/>
    <w:rsid w:val="0081365E"/>
    <w:rsid w:val="00813783"/>
    <w:rsid w:val="008259F0"/>
    <w:rsid w:val="008270AE"/>
    <w:rsid w:val="00827941"/>
    <w:rsid w:val="008339E0"/>
    <w:rsid w:val="008411CD"/>
    <w:rsid w:val="00842055"/>
    <w:rsid w:val="0084243A"/>
    <w:rsid w:val="00843929"/>
    <w:rsid w:val="00847EF9"/>
    <w:rsid w:val="00850332"/>
    <w:rsid w:val="00851519"/>
    <w:rsid w:val="00854A15"/>
    <w:rsid w:val="00855513"/>
    <w:rsid w:val="008567EE"/>
    <w:rsid w:val="00856F84"/>
    <w:rsid w:val="00857DF1"/>
    <w:rsid w:val="00860A72"/>
    <w:rsid w:val="008633F0"/>
    <w:rsid w:val="00863615"/>
    <w:rsid w:val="00865821"/>
    <w:rsid w:val="008664EB"/>
    <w:rsid w:val="008667F8"/>
    <w:rsid w:val="00867621"/>
    <w:rsid w:val="0087139A"/>
    <w:rsid w:val="00873386"/>
    <w:rsid w:val="00874557"/>
    <w:rsid w:val="00876553"/>
    <w:rsid w:val="0087656F"/>
    <w:rsid w:val="00880F7B"/>
    <w:rsid w:val="0088336C"/>
    <w:rsid w:val="008879F4"/>
    <w:rsid w:val="0089115B"/>
    <w:rsid w:val="00896D45"/>
    <w:rsid w:val="00897BE3"/>
    <w:rsid w:val="00897CF4"/>
    <w:rsid w:val="008A3207"/>
    <w:rsid w:val="008A398C"/>
    <w:rsid w:val="008B3999"/>
    <w:rsid w:val="008B39A0"/>
    <w:rsid w:val="008B4D66"/>
    <w:rsid w:val="008B525A"/>
    <w:rsid w:val="008B5BB5"/>
    <w:rsid w:val="008C5F52"/>
    <w:rsid w:val="008C6137"/>
    <w:rsid w:val="008C6DF5"/>
    <w:rsid w:val="008C6F71"/>
    <w:rsid w:val="008D1173"/>
    <w:rsid w:val="008D12C7"/>
    <w:rsid w:val="008D1B0F"/>
    <w:rsid w:val="008D31EF"/>
    <w:rsid w:val="008D4445"/>
    <w:rsid w:val="008E16DF"/>
    <w:rsid w:val="008E2976"/>
    <w:rsid w:val="008E4592"/>
    <w:rsid w:val="008E4FB3"/>
    <w:rsid w:val="008E5563"/>
    <w:rsid w:val="008F04DC"/>
    <w:rsid w:val="008F1E6F"/>
    <w:rsid w:val="008F2C3F"/>
    <w:rsid w:val="008F3F0B"/>
    <w:rsid w:val="008F4132"/>
    <w:rsid w:val="008F7BF3"/>
    <w:rsid w:val="00900399"/>
    <w:rsid w:val="00902813"/>
    <w:rsid w:val="009055EC"/>
    <w:rsid w:val="0090637C"/>
    <w:rsid w:val="00906C58"/>
    <w:rsid w:val="00906CA0"/>
    <w:rsid w:val="00906F25"/>
    <w:rsid w:val="00907C06"/>
    <w:rsid w:val="00912B81"/>
    <w:rsid w:val="00912F51"/>
    <w:rsid w:val="00923320"/>
    <w:rsid w:val="00923D83"/>
    <w:rsid w:val="0093275F"/>
    <w:rsid w:val="00933970"/>
    <w:rsid w:val="0093666D"/>
    <w:rsid w:val="00940F73"/>
    <w:rsid w:val="0095065F"/>
    <w:rsid w:val="00951D03"/>
    <w:rsid w:val="0095501A"/>
    <w:rsid w:val="0095787B"/>
    <w:rsid w:val="0096312E"/>
    <w:rsid w:val="0096360D"/>
    <w:rsid w:val="0096638B"/>
    <w:rsid w:val="00972A41"/>
    <w:rsid w:val="00972EDF"/>
    <w:rsid w:val="00981E7C"/>
    <w:rsid w:val="00981FF5"/>
    <w:rsid w:val="00983A19"/>
    <w:rsid w:val="00985E6C"/>
    <w:rsid w:val="00987B3F"/>
    <w:rsid w:val="00991D0C"/>
    <w:rsid w:val="009937FC"/>
    <w:rsid w:val="00993A5D"/>
    <w:rsid w:val="00996596"/>
    <w:rsid w:val="009A1786"/>
    <w:rsid w:val="009A1DA9"/>
    <w:rsid w:val="009A27DB"/>
    <w:rsid w:val="009A3266"/>
    <w:rsid w:val="009A3BEE"/>
    <w:rsid w:val="009B07F8"/>
    <w:rsid w:val="009B183B"/>
    <w:rsid w:val="009B2244"/>
    <w:rsid w:val="009B39B0"/>
    <w:rsid w:val="009B4382"/>
    <w:rsid w:val="009B5857"/>
    <w:rsid w:val="009B5919"/>
    <w:rsid w:val="009B60C9"/>
    <w:rsid w:val="009B7561"/>
    <w:rsid w:val="009C2305"/>
    <w:rsid w:val="009C4C8A"/>
    <w:rsid w:val="009C5EC5"/>
    <w:rsid w:val="009D0CC4"/>
    <w:rsid w:val="009D13C7"/>
    <w:rsid w:val="009D326E"/>
    <w:rsid w:val="009D5B3F"/>
    <w:rsid w:val="009E0B0F"/>
    <w:rsid w:val="009E1161"/>
    <w:rsid w:val="009E4915"/>
    <w:rsid w:val="009E6002"/>
    <w:rsid w:val="009F15DF"/>
    <w:rsid w:val="009F1F8E"/>
    <w:rsid w:val="009F2286"/>
    <w:rsid w:val="009F621F"/>
    <w:rsid w:val="009F6E6E"/>
    <w:rsid w:val="009F7B22"/>
    <w:rsid w:val="009F7B93"/>
    <w:rsid w:val="00A0185A"/>
    <w:rsid w:val="00A06E7D"/>
    <w:rsid w:val="00A07025"/>
    <w:rsid w:val="00A171DD"/>
    <w:rsid w:val="00A2118D"/>
    <w:rsid w:val="00A239C8"/>
    <w:rsid w:val="00A265BF"/>
    <w:rsid w:val="00A307A0"/>
    <w:rsid w:val="00A32503"/>
    <w:rsid w:val="00A34F1A"/>
    <w:rsid w:val="00A402C2"/>
    <w:rsid w:val="00A41351"/>
    <w:rsid w:val="00A413A2"/>
    <w:rsid w:val="00A41F29"/>
    <w:rsid w:val="00A448A7"/>
    <w:rsid w:val="00A475EA"/>
    <w:rsid w:val="00A5349B"/>
    <w:rsid w:val="00A54947"/>
    <w:rsid w:val="00A556A9"/>
    <w:rsid w:val="00A574A9"/>
    <w:rsid w:val="00A62AA3"/>
    <w:rsid w:val="00A655CB"/>
    <w:rsid w:val="00A660ED"/>
    <w:rsid w:val="00A66239"/>
    <w:rsid w:val="00A70D2D"/>
    <w:rsid w:val="00A70F35"/>
    <w:rsid w:val="00A72153"/>
    <w:rsid w:val="00A77B81"/>
    <w:rsid w:val="00A87FD6"/>
    <w:rsid w:val="00A9270D"/>
    <w:rsid w:val="00A9312B"/>
    <w:rsid w:val="00A93E45"/>
    <w:rsid w:val="00A95DA9"/>
    <w:rsid w:val="00AA065A"/>
    <w:rsid w:val="00AA080A"/>
    <w:rsid w:val="00AA2C62"/>
    <w:rsid w:val="00AA436E"/>
    <w:rsid w:val="00AB339D"/>
    <w:rsid w:val="00AB6244"/>
    <w:rsid w:val="00AB634D"/>
    <w:rsid w:val="00AC0DB5"/>
    <w:rsid w:val="00AC2346"/>
    <w:rsid w:val="00AC3595"/>
    <w:rsid w:val="00AC6B43"/>
    <w:rsid w:val="00AC6C9D"/>
    <w:rsid w:val="00AD06DD"/>
    <w:rsid w:val="00AD35B1"/>
    <w:rsid w:val="00AD3A06"/>
    <w:rsid w:val="00AD6B7C"/>
    <w:rsid w:val="00AD6FC4"/>
    <w:rsid w:val="00AE205D"/>
    <w:rsid w:val="00AE3AA5"/>
    <w:rsid w:val="00AE7A26"/>
    <w:rsid w:val="00AE7EC7"/>
    <w:rsid w:val="00AF1726"/>
    <w:rsid w:val="00AF38C4"/>
    <w:rsid w:val="00AF41DB"/>
    <w:rsid w:val="00AF48A2"/>
    <w:rsid w:val="00B0213C"/>
    <w:rsid w:val="00B04A8C"/>
    <w:rsid w:val="00B067A3"/>
    <w:rsid w:val="00B06DFB"/>
    <w:rsid w:val="00B06E4C"/>
    <w:rsid w:val="00B113CE"/>
    <w:rsid w:val="00B11C9B"/>
    <w:rsid w:val="00B124C7"/>
    <w:rsid w:val="00B1369A"/>
    <w:rsid w:val="00B16E70"/>
    <w:rsid w:val="00B17D2E"/>
    <w:rsid w:val="00B21302"/>
    <w:rsid w:val="00B2221E"/>
    <w:rsid w:val="00B22486"/>
    <w:rsid w:val="00B22B2B"/>
    <w:rsid w:val="00B27B1B"/>
    <w:rsid w:val="00B3096E"/>
    <w:rsid w:val="00B357AD"/>
    <w:rsid w:val="00B366A9"/>
    <w:rsid w:val="00B37FCB"/>
    <w:rsid w:val="00B413C4"/>
    <w:rsid w:val="00B45547"/>
    <w:rsid w:val="00B46C9C"/>
    <w:rsid w:val="00B52C22"/>
    <w:rsid w:val="00B54067"/>
    <w:rsid w:val="00B54844"/>
    <w:rsid w:val="00B54BF8"/>
    <w:rsid w:val="00B554D9"/>
    <w:rsid w:val="00B555B3"/>
    <w:rsid w:val="00B558C3"/>
    <w:rsid w:val="00B5612B"/>
    <w:rsid w:val="00B61E51"/>
    <w:rsid w:val="00B6223A"/>
    <w:rsid w:val="00B656CE"/>
    <w:rsid w:val="00B703F1"/>
    <w:rsid w:val="00B745AA"/>
    <w:rsid w:val="00B74AE4"/>
    <w:rsid w:val="00B7541C"/>
    <w:rsid w:val="00B765BE"/>
    <w:rsid w:val="00B82978"/>
    <w:rsid w:val="00B84DC6"/>
    <w:rsid w:val="00B87758"/>
    <w:rsid w:val="00B92C40"/>
    <w:rsid w:val="00B93887"/>
    <w:rsid w:val="00B9431B"/>
    <w:rsid w:val="00BA0F11"/>
    <w:rsid w:val="00BA18A7"/>
    <w:rsid w:val="00BA1E72"/>
    <w:rsid w:val="00BA24B9"/>
    <w:rsid w:val="00BA347C"/>
    <w:rsid w:val="00BA77AB"/>
    <w:rsid w:val="00BB061C"/>
    <w:rsid w:val="00BB0F05"/>
    <w:rsid w:val="00BB2C1B"/>
    <w:rsid w:val="00BB717C"/>
    <w:rsid w:val="00BC0540"/>
    <w:rsid w:val="00BC0744"/>
    <w:rsid w:val="00BC2967"/>
    <w:rsid w:val="00BC3CF0"/>
    <w:rsid w:val="00BC6478"/>
    <w:rsid w:val="00BC7C8E"/>
    <w:rsid w:val="00BC7F97"/>
    <w:rsid w:val="00BD0043"/>
    <w:rsid w:val="00BD12D1"/>
    <w:rsid w:val="00BD17C2"/>
    <w:rsid w:val="00BD2B76"/>
    <w:rsid w:val="00BD3219"/>
    <w:rsid w:val="00BD570A"/>
    <w:rsid w:val="00BD6258"/>
    <w:rsid w:val="00BE6F2C"/>
    <w:rsid w:val="00C00191"/>
    <w:rsid w:val="00C00B8F"/>
    <w:rsid w:val="00C0292F"/>
    <w:rsid w:val="00C0405D"/>
    <w:rsid w:val="00C072D6"/>
    <w:rsid w:val="00C10001"/>
    <w:rsid w:val="00C159B0"/>
    <w:rsid w:val="00C163D1"/>
    <w:rsid w:val="00C204E6"/>
    <w:rsid w:val="00C2464F"/>
    <w:rsid w:val="00C25A34"/>
    <w:rsid w:val="00C266FD"/>
    <w:rsid w:val="00C26EAC"/>
    <w:rsid w:val="00C26ED6"/>
    <w:rsid w:val="00C27083"/>
    <w:rsid w:val="00C30360"/>
    <w:rsid w:val="00C304B1"/>
    <w:rsid w:val="00C309EC"/>
    <w:rsid w:val="00C30A27"/>
    <w:rsid w:val="00C32671"/>
    <w:rsid w:val="00C33141"/>
    <w:rsid w:val="00C332C2"/>
    <w:rsid w:val="00C34D04"/>
    <w:rsid w:val="00C363BC"/>
    <w:rsid w:val="00C370B2"/>
    <w:rsid w:val="00C404FB"/>
    <w:rsid w:val="00C42A28"/>
    <w:rsid w:val="00C440C0"/>
    <w:rsid w:val="00C449DC"/>
    <w:rsid w:val="00C453A5"/>
    <w:rsid w:val="00C4692E"/>
    <w:rsid w:val="00C50D6F"/>
    <w:rsid w:val="00C53677"/>
    <w:rsid w:val="00C542D8"/>
    <w:rsid w:val="00C5535B"/>
    <w:rsid w:val="00C55476"/>
    <w:rsid w:val="00C558BD"/>
    <w:rsid w:val="00C5793C"/>
    <w:rsid w:val="00C57BD1"/>
    <w:rsid w:val="00C61892"/>
    <w:rsid w:val="00C62BA2"/>
    <w:rsid w:val="00C653FF"/>
    <w:rsid w:val="00C672CB"/>
    <w:rsid w:val="00C67D30"/>
    <w:rsid w:val="00C70E98"/>
    <w:rsid w:val="00C71A98"/>
    <w:rsid w:val="00C7377B"/>
    <w:rsid w:val="00C73A4F"/>
    <w:rsid w:val="00C752A4"/>
    <w:rsid w:val="00C75392"/>
    <w:rsid w:val="00C75953"/>
    <w:rsid w:val="00C76101"/>
    <w:rsid w:val="00C81102"/>
    <w:rsid w:val="00C82767"/>
    <w:rsid w:val="00C850A7"/>
    <w:rsid w:val="00C872E0"/>
    <w:rsid w:val="00C87F0E"/>
    <w:rsid w:val="00C9037A"/>
    <w:rsid w:val="00C952B3"/>
    <w:rsid w:val="00CA25D6"/>
    <w:rsid w:val="00CA4C37"/>
    <w:rsid w:val="00CA5617"/>
    <w:rsid w:val="00CA5C31"/>
    <w:rsid w:val="00CB129A"/>
    <w:rsid w:val="00CB24A5"/>
    <w:rsid w:val="00CB2607"/>
    <w:rsid w:val="00CB4C45"/>
    <w:rsid w:val="00CB5031"/>
    <w:rsid w:val="00CB57FC"/>
    <w:rsid w:val="00CB78A9"/>
    <w:rsid w:val="00CB7B87"/>
    <w:rsid w:val="00CC0069"/>
    <w:rsid w:val="00CC0B01"/>
    <w:rsid w:val="00CC10A0"/>
    <w:rsid w:val="00CC6C96"/>
    <w:rsid w:val="00CD219C"/>
    <w:rsid w:val="00CD362D"/>
    <w:rsid w:val="00CD5590"/>
    <w:rsid w:val="00CE138C"/>
    <w:rsid w:val="00CE27B7"/>
    <w:rsid w:val="00CE316F"/>
    <w:rsid w:val="00CE31D4"/>
    <w:rsid w:val="00CE6255"/>
    <w:rsid w:val="00CE63C1"/>
    <w:rsid w:val="00CE7BC8"/>
    <w:rsid w:val="00CF14B1"/>
    <w:rsid w:val="00D00CC3"/>
    <w:rsid w:val="00D01EBC"/>
    <w:rsid w:val="00D024BB"/>
    <w:rsid w:val="00D02D6D"/>
    <w:rsid w:val="00D03B1A"/>
    <w:rsid w:val="00D058D0"/>
    <w:rsid w:val="00D1248A"/>
    <w:rsid w:val="00D14EBC"/>
    <w:rsid w:val="00D224EC"/>
    <w:rsid w:val="00D22663"/>
    <w:rsid w:val="00D2662D"/>
    <w:rsid w:val="00D268CD"/>
    <w:rsid w:val="00D26DA1"/>
    <w:rsid w:val="00D27FCC"/>
    <w:rsid w:val="00D30D84"/>
    <w:rsid w:val="00D3490E"/>
    <w:rsid w:val="00D4087E"/>
    <w:rsid w:val="00D41067"/>
    <w:rsid w:val="00D43DF9"/>
    <w:rsid w:val="00D4535C"/>
    <w:rsid w:val="00D51CC7"/>
    <w:rsid w:val="00D5548A"/>
    <w:rsid w:val="00D56D05"/>
    <w:rsid w:val="00D5789C"/>
    <w:rsid w:val="00D62028"/>
    <w:rsid w:val="00D62748"/>
    <w:rsid w:val="00D62A47"/>
    <w:rsid w:val="00D62C63"/>
    <w:rsid w:val="00D633A9"/>
    <w:rsid w:val="00D652F9"/>
    <w:rsid w:val="00D6536D"/>
    <w:rsid w:val="00D67F56"/>
    <w:rsid w:val="00D71A3A"/>
    <w:rsid w:val="00D7287F"/>
    <w:rsid w:val="00D731AE"/>
    <w:rsid w:val="00D75C44"/>
    <w:rsid w:val="00D80FB5"/>
    <w:rsid w:val="00D81B76"/>
    <w:rsid w:val="00D86F5C"/>
    <w:rsid w:val="00D87652"/>
    <w:rsid w:val="00D87991"/>
    <w:rsid w:val="00D94744"/>
    <w:rsid w:val="00D94E70"/>
    <w:rsid w:val="00DA015A"/>
    <w:rsid w:val="00DA3823"/>
    <w:rsid w:val="00DA5A13"/>
    <w:rsid w:val="00DA6183"/>
    <w:rsid w:val="00DA6F49"/>
    <w:rsid w:val="00DB20A4"/>
    <w:rsid w:val="00DB3A28"/>
    <w:rsid w:val="00DB3AA8"/>
    <w:rsid w:val="00DB44B2"/>
    <w:rsid w:val="00DC1FD2"/>
    <w:rsid w:val="00DC4157"/>
    <w:rsid w:val="00DC475D"/>
    <w:rsid w:val="00DC5E99"/>
    <w:rsid w:val="00DD055A"/>
    <w:rsid w:val="00DD0BE5"/>
    <w:rsid w:val="00DD0C30"/>
    <w:rsid w:val="00DD0FC8"/>
    <w:rsid w:val="00DD26CD"/>
    <w:rsid w:val="00DD3551"/>
    <w:rsid w:val="00DD59BE"/>
    <w:rsid w:val="00DE22CD"/>
    <w:rsid w:val="00DE6916"/>
    <w:rsid w:val="00DE730C"/>
    <w:rsid w:val="00DF329E"/>
    <w:rsid w:val="00E00A26"/>
    <w:rsid w:val="00E02EFD"/>
    <w:rsid w:val="00E03EA0"/>
    <w:rsid w:val="00E059E9"/>
    <w:rsid w:val="00E06228"/>
    <w:rsid w:val="00E07EC9"/>
    <w:rsid w:val="00E112BA"/>
    <w:rsid w:val="00E11374"/>
    <w:rsid w:val="00E11C89"/>
    <w:rsid w:val="00E12473"/>
    <w:rsid w:val="00E13906"/>
    <w:rsid w:val="00E14412"/>
    <w:rsid w:val="00E20C27"/>
    <w:rsid w:val="00E23C92"/>
    <w:rsid w:val="00E257EB"/>
    <w:rsid w:val="00E25C6E"/>
    <w:rsid w:val="00E3147D"/>
    <w:rsid w:val="00E33295"/>
    <w:rsid w:val="00E348B3"/>
    <w:rsid w:val="00E4288C"/>
    <w:rsid w:val="00E46E0F"/>
    <w:rsid w:val="00E505EF"/>
    <w:rsid w:val="00E507DA"/>
    <w:rsid w:val="00E511D3"/>
    <w:rsid w:val="00E53997"/>
    <w:rsid w:val="00E54837"/>
    <w:rsid w:val="00E56DC5"/>
    <w:rsid w:val="00E57B55"/>
    <w:rsid w:val="00E6303B"/>
    <w:rsid w:val="00E638A5"/>
    <w:rsid w:val="00E63F4D"/>
    <w:rsid w:val="00E67259"/>
    <w:rsid w:val="00E67F9F"/>
    <w:rsid w:val="00E72717"/>
    <w:rsid w:val="00E73B1B"/>
    <w:rsid w:val="00E82A9D"/>
    <w:rsid w:val="00E82AF3"/>
    <w:rsid w:val="00E83D47"/>
    <w:rsid w:val="00E84EB1"/>
    <w:rsid w:val="00E85FD1"/>
    <w:rsid w:val="00E909A2"/>
    <w:rsid w:val="00E9411C"/>
    <w:rsid w:val="00E94E3F"/>
    <w:rsid w:val="00EA0653"/>
    <w:rsid w:val="00EA0A39"/>
    <w:rsid w:val="00EA1282"/>
    <w:rsid w:val="00EA248E"/>
    <w:rsid w:val="00EA3182"/>
    <w:rsid w:val="00EA3AEE"/>
    <w:rsid w:val="00EA4804"/>
    <w:rsid w:val="00EA56F7"/>
    <w:rsid w:val="00EA7B6C"/>
    <w:rsid w:val="00EA7BF6"/>
    <w:rsid w:val="00EB0F3B"/>
    <w:rsid w:val="00EB198B"/>
    <w:rsid w:val="00EC32F4"/>
    <w:rsid w:val="00EC38C9"/>
    <w:rsid w:val="00ED0E9D"/>
    <w:rsid w:val="00ED10D9"/>
    <w:rsid w:val="00ED1608"/>
    <w:rsid w:val="00ED2198"/>
    <w:rsid w:val="00EE00CE"/>
    <w:rsid w:val="00EE3ACA"/>
    <w:rsid w:val="00EE67C5"/>
    <w:rsid w:val="00EF0226"/>
    <w:rsid w:val="00EF61C4"/>
    <w:rsid w:val="00F007D1"/>
    <w:rsid w:val="00F02D4E"/>
    <w:rsid w:val="00F0324B"/>
    <w:rsid w:val="00F042AB"/>
    <w:rsid w:val="00F05D8C"/>
    <w:rsid w:val="00F07857"/>
    <w:rsid w:val="00F10925"/>
    <w:rsid w:val="00F112EB"/>
    <w:rsid w:val="00F14EE8"/>
    <w:rsid w:val="00F20A7D"/>
    <w:rsid w:val="00F22125"/>
    <w:rsid w:val="00F23471"/>
    <w:rsid w:val="00F24313"/>
    <w:rsid w:val="00F25EA8"/>
    <w:rsid w:val="00F33AEF"/>
    <w:rsid w:val="00F3447A"/>
    <w:rsid w:val="00F365EA"/>
    <w:rsid w:val="00F3676C"/>
    <w:rsid w:val="00F36AC3"/>
    <w:rsid w:val="00F430A5"/>
    <w:rsid w:val="00F434A8"/>
    <w:rsid w:val="00F455DF"/>
    <w:rsid w:val="00F46010"/>
    <w:rsid w:val="00F47659"/>
    <w:rsid w:val="00F47D53"/>
    <w:rsid w:val="00F5103A"/>
    <w:rsid w:val="00F537A8"/>
    <w:rsid w:val="00F54C35"/>
    <w:rsid w:val="00F63489"/>
    <w:rsid w:val="00F63D24"/>
    <w:rsid w:val="00F716B3"/>
    <w:rsid w:val="00F71B73"/>
    <w:rsid w:val="00F73F17"/>
    <w:rsid w:val="00F74E73"/>
    <w:rsid w:val="00F76AD0"/>
    <w:rsid w:val="00F76F6C"/>
    <w:rsid w:val="00F81B7B"/>
    <w:rsid w:val="00F8459C"/>
    <w:rsid w:val="00F871CA"/>
    <w:rsid w:val="00F91892"/>
    <w:rsid w:val="00F923F6"/>
    <w:rsid w:val="00F93217"/>
    <w:rsid w:val="00F93F1E"/>
    <w:rsid w:val="00F97D3E"/>
    <w:rsid w:val="00FA3182"/>
    <w:rsid w:val="00FA43D1"/>
    <w:rsid w:val="00FA5A0E"/>
    <w:rsid w:val="00FA6943"/>
    <w:rsid w:val="00FA7D8B"/>
    <w:rsid w:val="00FB13E3"/>
    <w:rsid w:val="00FB1825"/>
    <w:rsid w:val="00FB2A70"/>
    <w:rsid w:val="00FB76AC"/>
    <w:rsid w:val="00FB7772"/>
    <w:rsid w:val="00FC2431"/>
    <w:rsid w:val="00FC3E9C"/>
    <w:rsid w:val="00FC5D52"/>
    <w:rsid w:val="00FD0BB9"/>
    <w:rsid w:val="00FD1162"/>
    <w:rsid w:val="00FD567D"/>
    <w:rsid w:val="00FE1125"/>
    <w:rsid w:val="00FE4217"/>
    <w:rsid w:val="00FE5304"/>
    <w:rsid w:val="00FF34CB"/>
    <w:rsid w:val="00FF3542"/>
    <w:rsid w:val="00FF521B"/>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colormru v:ext="edit" colors="#120b7c,#b51284,#9dab9a,#fea620,#50b0d1,#2461aa"/>
    </o:shapedefaults>
    <o:shapelayout v:ext="edit">
      <o:idmap v:ext="edit" data="2"/>
    </o:shapelayout>
  </w:shapeDefaults>
  <w:decimalSymbol w:val="."/>
  <w:listSeparator w:val=","/>
  <w14:docId w14:val="480891A9"/>
  <w15:chartTrackingRefBased/>
  <w15:docId w15:val="{6616C8FA-5257-43B7-8845-7BA04AA6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120" w:after="60"/>
    </w:pPr>
    <w:rPr>
      <w:rFonts w:ascii="Arial" w:hAnsi="Arial"/>
      <w:color w:val="000066"/>
      <w:sz w:val="22"/>
      <w:lang w:val="en-US" w:eastAsia="en-US"/>
    </w:rPr>
  </w:style>
  <w:style w:type="paragraph" w:styleId="Heading1">
    <w:name w:val="heading 1"/>
    <w:basedOn w:val="Normal"/>
    <w:next w:val="Normal"/>
    <w:qFormat/>
    <w:pPr>
      <w:numPr>
        <w:numId w:val="5"/>
      </w:numPr>
      <w:spacing w:before="360" w:after="120"/>
      <w:outlineLvl w:val="0"/>
    </w:pPr>
    <w:rPr>
      <w:b/>
      <w:caps/>
      <w:color w:val="000000"/>
      <w:kern w:val="28"/>
    </w:rPr>
  </w:style>
  <w:style w:type="paragraph" w:styleId="Heading2">
    <w:name w:val="heading 2"/>
    <w:basedOn w:val="Normal"/>
    <w:next w:val="Normal"/>
    <w:qFormat/>
    <w:pPr>
      <w:keepNext/>
      <w:numPr>
        <w:ilvl w:val="1"/>
        <w:numId w:val="5"/>
      </w:numPr>
      <w:spacing w:before="240"/>
      <w:outlineLvl w:val="1"/>
    </w:pPr>
    <w:rPr>
      <w:b/>
    </w:rPr>
  </w:style>
  <w:style w:type="paragraph" w:styleId="Heading3">
    <w:name w:val="heading 3"/>
    <w:basedOn w:val="Normal"/>
    <w:next w:val="Normal"/>
    <w:qFormat/>
    <w:pPr>
      <w:numPr>
        <w:ilvl w:val="2"/>
        <w:numId w:val="5"/>
      </w:numPr>
      <w:spacing w:before="360"/>
      <w:outlineLvl w:val="2"/>
    </w:pPr>
    <w:rPr>
      <w:b/>
      <w:i/>
    </w:rPr>
  </w:style>
  <w:style w:type="paragraph" w:styleId="Heading4">
    <w:name w:val="heading 4"/>
    <w:basedOn w:val="Normal"/>
    <w:next w:val="Normal"/>
    <w:qFormat/>
    <w:pPr>
      <w:numPr>
        <w:ilvl w:val="3"/>
        <w:numId w:val="5"/>
      </w:numPr>
      <w:spacing w:before="360"/>
      <w:outlineLvl w:val="3"/>
    </w:pPr>
    <w:rPr>
      <w:i/>
    </w:rPr>
  </w:style>
  <w:style w:type="paragraph" w:styleId="Heading5">
    <w:name w:val="heading 5"/>
    <w:basedOn w:val="Normal"/>
    <w:next w:val="Normal"/>
    <w:qFormat/>
    <w:pPr>
      <w:numPr>
        <w:ilvl w:val="4"/>
        <w:numId w:val="5"/>
      </w:numPr>
      <w:spacing w:before="360"/>
      <w:outlineLvl w:val="4"/>
    </w:pPr>
  </w:style>
  <w:style w:type="paragraph" w:styleId="Heading6">
    <w:name w:val="heading 6"/>
    <w:basedOn w:val="Normal"/>
    <w:next w:val="Normal"/>
    <w:qFormat/>
    <w:pPr>
      <w:numPr>
        <w:ilvl w:val="5"/>
        <w:numId w:val="5"/>
      </w:numPr>
      <w:spacing w:before="360"/>
      <w:outlineLvl w:val="5"/>
    </w:pPr>
  </w:style>
  <w:style w:type="paragraph" w:styleId="Heading7">
    <w:name w:val="heading 7"/>
    <w:basedOn w:val="Normal"/>
    <w:next w:val="Normal"/>
    <w:qFormat/>
    <w:pPr>
      <w:numPr>
        <w:ilvl w:val="6"/>
        <w:numId w:val="5"/>
      </w:numPr>
      <w:spacing w:before="360"/>
      <w:outlineLvl w:val="6"/>
    </w:pPr>
  </w:style>
  <w:style w:type="paragraph" w:styleId="Heading8">
    <w:name w:val="heading 8"/>
    <w:basedOn w:val="Normal"/>
    <w:next w:val="Normal"/>
    <w:qFormat/>
    <w:pPr>
      <w:numPr>
        <w:ilvl w:val="7"/>
        <w:numId w:val="5"/>
      </w:numPr>
      <w:spacing w:before="360"/>
      <w:outlineLvl w:val="7"/>
    </w:pPr>
  </w:style>
  <w:style w:type="paragraph" w:styleId="Heading9">
    <w:name w:val="heading 9"/>
    <w:basedOn w:val="Normal"/>
    <w:next w:val="Normal"/>
    <w:qFormat/>
    <w:pPr>
      <w:numPr>
        <w:ilvl w:val="8"/>
        <w:numId w:val="5"/>
      </w:numPr>
      <w:spacing w:before="3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character" w:customStyle="1" w:styleId="BlueReplace">
    <w:name w:val="Blue Replace"/>
    <w:rPr>
      <w:color w:val="0000FF"/>
    </w:rPr>
  </w:style>
  <w:style w:type="paragraph" w:styleId="BodyText">
    <w:name w:val="Body Text"/>
    <w:basedOn w:val="Normal"/>
    <w:pPr>
      <w:spacing w:after="120"/>
    </w:pPr>
  </w:style>
  <w:style w:type="paragraph" w:styleId="Header">
    <w:name w:val="header"/>
    <w:basedOn w:val="Normal"/>
    <w:pPr>
      <w:tabs>
        <w:tab w:val="center" w:pos="4320"/>
        <w:tab w:val="right" w:pos="8640"/>
      </w:tabs>
    </w:pPr>
  </w:style>
  <w:style w:type="paragraph" w:customStyle="1" w:styleId="InstructionText">
    <w:name w:val="Instruction Text"/>
    <w:basedOn w:val="Normal"/>
    <w:link w:val="InstructionTextCar"/>
    <w:rPr>
      <w:color w:val="339933"/>
    </w:rPr>
  </w:style>
  <w:style w:type="character" w:styleId="Hyperlink">
    <w:name w:val="Hyperlink"/>
    <w:rPr>
      <w:color w:val="0000FF"/>
      <w:u w:val="single"/>
    </w:rPr>
  </w:style>
  <w:style w:type="paragraph" w:customStyle="1" w:styleId="NormalExamples">
    <w:name w:val="Normal Examples"/>
    <w:basedOn w:val="Normal"/>
    <w:next w:val="Normal"/>
    <w:pPr>
      <w:spacing w:before="60"/>
    </w:pPr>
    <w:rPr>
      <w:color w:val="008000"/>
    </w:rPr>
  </w:style>
  <w:style w:type="paragraph" w:customStyle="1" w:styleId="Note">
    <w:name w:val="Note"/>
    <w:basedOn w:val="Normal"/>
    <w:next w:val="Normal"/>
    <w:pPr>
      <w:spacing w:after="120"/>
      <w:ind w:left="630"/>
    </w:pPr>
  </w:style>
  <w:style w:type="paragraph" w:styleId="FootnoteText">
    <w:name w:val="footnote text"/>
    <w:basedOn w:val="Normal"/>
    <w:semiHidden/>
    <w:rPr>
      <w:sz w:val="20"/>
    </w:rPr>
  </w:style>
  <w:style w:type="character" w:styleId="PageNumber">
    <w:name w:val="page number"/>
    <w:basedOn w:val="DefaultParagraphFont"/>
  </w:style>
  <w:style w:type="paragraph" w:styleId="Footer">
    <w:name w:val="footer"/>
    <w:basedOn w:val="Normal"/>
    <w:link w:val="FooterChar"/>
    <w:pPr>
      <w:tabs>
        <w:tab w:val="center" w:pos="4320"/>
        <w:tab w:val="right" w:pos="8640"/>
      </w:tabs>
    </w:pPr>
  </w:style>
  <w:style w:type="paragraph" w:customStyle="1" w:styleId="Policy">
    <w:name w:val="Policy"/>
    <w:basedOn w:val="BodyText"/>
    <w:pPr>
      <w:spacing w:before="0"/>
      <w:jc w:val="both"/>
    </w:pPr>
    <w:rPr>
      <w:rFonts w:cs="Arial"/>
      <w:szCs w:val="24"/>
      <w:lang w:val="en-GB"/>
    </w:rPr>
  </w:style>
  <w:style w:type="character" w:customStyle="1" w:styleId="Redhelp">
    <w:name w:val="Red help"/>
    <w:rPr>
      <w:rFonts w:ascii="Arial" w:hAnsi="Arial"/>
      <w:vanish/>
      <w:color w:val="FF0000"/>
      <w:sz w:val="20"/>
    </w:rPr>
  </w:style>
  <w:style w:type="paragraph" w:styleId="NormalIndent">
    <w:name w:val="Normal Indent"/>
    <w:basedOn w:val="Normal"/>
    <w:pPr>
      <w:spacing w:after="120"/>
      <w:ind w:left="720"/>
    </w:pPr>
  </w:style>
  <w:style w:type="paragraph" w:customStyle="1" w:styleId="SDHeading">
    <w:name w:val="SD Heading"/>
    <w:basedOn w:val="Header"/>
    <w:pPr>
      <w:tabs>
        <w:tab w:val="clear" w:pos="4320"/>
        <w:tab w:val="clear" w:pos="8640"/>
      </w:tabs>
    </w:pPr>
    <w:rPr>
      <w:rFonts w:ascii="Arial Narrow" w:hAnsi="Arial Narrow"/>
      <w:b/>
      <w:bCs/>
      <w:sz w:val="28"/>
      <w:lang w:val="fr-FR"/>
    </w:rPr>
  </w:style>
  <w:style w:type="paragraph" w:customStyle="1" w:styleId="SDref">
    <w:name w:val="SD ref"/>
    <w:basedOn w:val="Header"/>
    <w:pPr>
      <w:tabs>
        <w:tab w:val="clear" w:pos="8640"/>
        <w:tab w:val="left" w:pos="1062"/>
        <w:tab w:val="left" w:pos="2322"/>
        <w:tab w:val="right" w:pos="6822"/>
        <w:tab w:val="right" w:pos="9162"/>
      </w:tabs>
    </w:pPr>
    <w:rPr>
      <w:rFonts w:ascii="Arial Narrow" w:hAnsi="Arial Narrow"/>
      <w:b/>
      <w:bCs/>
      <w:sz w:val="20"/>
    </w:rPr>
  </w:style>
  <w:style w:type="paragraph" w:customStyle="1" w:styleId="SDtext">
    <w:name w:val="SD text"/>
    <w:basedOn w:val="Header"/>
    <w:link w:val="SDtextCar"/>
    <w:pPr>
      <w:tabs>
        <w:tab w:val="clear" w:pos="4320"/>
        <w:tab w:val="clear" w:pos="8640"/>
      </w:tabs>
      <w:spacing w:before="0" w:after="0"/>
    </w:pPr>
    <w:rPr>
      <w:rFonts w:ascii="Arial Narrow" w:hAnsi="Arial Narrow"/>
      <w:sz w:val="20"/>
      <w:lang w:val="fr-FR"/>
    </w:rPr>
  </w:style>
  <w:style w:type="paragraph" w:styleId="TOC1">
    <w:name w:val="toc 1"/>
    <w:basedOn w:val="Heading1"/>
    <w:next w:val="Normal"/>
    <w:uiPriority w:val="39"/>
    <w:pPr>
      <w:numPr>
        <w:numId w:val="0"/>
      </w:numPr>
      <w:tabs>
        <w:tab w:val="left" w:pos="340"/>
        <w:tab w:val="right" w:leader="dot" w:pos="9356"/>
      </w:tabs>
      <w:overflowPunct w:val="0"/>
      <w:autoSpaceDE w:val="0"/>
      <w:autoSpaceDN w:val="0"/>
      <w:adjustRightInd w:val="0"/>
      <w:spacing w:before="240" w:after="0"/>
      <w:ind w:right="4"/>
      <w:textAlignment w:val="baseline"/>
      <w:outlineLvl w:val="9"/>
    </w:pPr>
    <w:rPr>
      <w:rFonts w:ascii="Times" w:hAnsi="Times"/>
      <w:color w:val="auto"/>
      <w:kern w:val="0"/>
      <w:sz w:val="24"/>
      <w:lang w:eastAsia="fr-FR"/>
    </w:rPr>
  </w:style>
  <w:style w:type="paragraph" w:styleId="TOC2">
    <w:name w:val="toc 2"/>
    <w:basedOn w:val="Normal"/>
    <w:next w:val="Normal"/>
    <w:autoRedefine/>
    <w:uiPriority w:val="39"/>
    <w:pPr>
      <w:ind w:left="220"/>
    </w:pPr>
  </w:style>
  <w:style w:type="paragraph" w:styleId="TOC3">
    <w:name w:val="toc 3"/>
    <w:basedOn w:val="Normal"/>
    <w:next w:val="Normal"/>
    <w:autoRedefine/>
    <w:uiPriority w:val="39"/>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character" w:customStyle="1" w:styleId="InstructionTextCar">
    <w:name w:val="Instruction Text Car"/>
    <w:link w:val="InstructionText"/>
    <w:rPr>
      <w:rFonts w:ascii="Arial" w:hAnsi="Arial"/>
      <w:color w:val="339933"/>
      <w:sz w:val="22"/>
      <w:lang w:val="en-US" w:eastAsia="en-US" w:bidi="ar-SA"/>
    </w:rPr>
  </w:style>
  <w:style w:type="paragraph" w:customStyle="1" w:styleId="iNSTRUCTIONBULLET1">
    <w:name w:val="iNSTRUCTION BULLET 1"/>
    <w:basedOn w:val="InstructionText"/>
    <w:pPr>
      <w:numPr>
        <w:numId w:val="7"/>
      </w:numPr>
    </w:pPr>
  </w:style>
  <w:style w:type="paragraph" w:customStyle="1" w:styleId="INSTRUCTIONBULLET2">
    <w:name w:val="INSTRUCTION BULLET 2"/>
    <w:basedOn w:val="InstructionText"/>
    <w:pPr>
      <w:numPr>
        <w:ilvl w:val="1"/>
        <w:numId w:val="6"/>
      </w:numPr>
    </w:pPr>
  </w:style>
  <w:style w:type="paragraph" w:styleId="BalloonText">
    <w:name w:val="Balloon Text"/>
    <w:basedOn w:val="Normal"/>
    <w:semiHidden/>
    <w:rPr>
      <w:rFonts w:ascii="Tahoma" w:hAnsi="Tahoma" w:cs="Tahoma"/>
      <w:sz w:val="16"/>
      <w:szCs w:val="16"/>
    </w:rPr>
  </w:style>
  <w:style w:type="table" w:styleId="TableGrid">
    <w:name w:val="Table Grid"/>
    <w:basedOn w:val="TableNormal"/>
    <w:pPr>
      <w:spacing w:before="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textCar">
    <w:name w:val="SD text Car"/>
    <w:link w:val="SDtext"/>
    <w:rPr>
      <w:rFonts w:ascii="Arial Narrow" w:hAnsi="Arial Narrow"/>
      <w:color w:val="000066"/>
      <w:lang w:val="fr-FR" w:eastAsia="en-US" w:bidi="ar-SA"/>
    </w:rPr>
  </w:style>
  <w:style w:type="paragraph" w:styleId="DocumentMap">
    <w:name w:val="Document Map"/>
    <w:basedOn w:val="Normal"/>
    <w:semiHidden/>
    <w:pPr>
      <w:shd w:val="clear" w:color="auto" w:fill="000080"/>
    </w:pPr>
    <w:rPr>
      <w:rFonts w:ascii="Tahoma" w:hAnsi="Tahoma" w:cs="Tahoma"/>
      <w:sz w:val="20"/>
    </w:rPr>
  </w:style>
  <w:style w:type="character" w:styleId="CommentReference">
    <w:name w:val="annotation reference"/>
    <w:rPr>
      <w:sz w:val="16"/>
      <w:szCs w:val="16"/>
    </w:rPr>
  </w:style>
  <w:style w:type="paragraph" w:styleId="CommentText">
    <w:name w:val="annotation text"/>
    <w:basedOn w:val="Normal"/>
    <w:link w:val="CommentTextChar"/>
    <w:rPr>
      <w:sz w:val="20"/>
    </w:rPr>
  </w:style>
  <w:style w:type="character" w:customStyle="1" w:styleId="CommentTextChar">
    <w:name w:val="Comment Text Char"/>
    <w:link w:val="CommentText"/>
    <w:rPr>
      <w:rFonts w:ascii="Arial" w:hAnsi="Arial"/>
      <w:color w:val="000066"/>
      <w:lang w:val="en-US"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Arial" w:hAnsi="Arial"/>
      <w:b/>
      <w:bCs/>
      <w:color w:val="000066"/>
      <w:lang w:val="en-US" w:eastAsia="en-US"/>
    </w:rPr>
  </w:style>
  <w:style w:type="paragraph" w:styleId="ListParagraph">
    <w:name w:val="List Paragraph"/>
    <w:basedOn w:val="Normal"/>
    <w:uiPriority w:val="34"/>
    <w:qFormat/>
    <w:pPr>
      <w:spacing w:before="0" w:after="0"/>
      <w:ind w:left="720"/>
      <w:contextualSpacing/>
    </w:pPr>
    <w:rPr>
      <w:rFonts w:ascii="Times New Roman" w:eastAsia="MS Mincho" w:hAnsi="Times New Roman"/>
      <w:color w:val="auto"/>
      <w:sz w:val="24"/>
      <w:szCs w:val="24"/>
      <w:lang w:val="fr-FR" w:eastAsia="ja-JP"/>
    </w:rPr>
  </w:style>
  <w:style w:type="character" w:customStyle="1" w:styleId="FooterChar">
    <w:name w:val="Footer Char"/>
    <w:link w:val="Footer"/>
    <w:rPr>
      <w:rFonts w:ascii="Arial" w:hAnsi="Arial"/>
      <w:color w:val="000066"/>
      <w:sz w:val="22"/>
      <w:lang w:val="en-US" w:eastAsia="en-US"/>
    </w:rPr>
  </w:style>
  <w:style w:type="paragraph" w:styleId="NormalWeb">
    <w:name w:val="Normal (Web)"/>
    <w:basedOn w:val="Normal"/>
    <w:uiPriority w:val="99"/>
    <w:unhideWhenUsed/>
    <w:pPr>
      <w:spacing w:before="100" w:beforeAutospacing="1" w:after="100" w:afterAutospacing="1"/>
    </w:pPr>
    <w:rPr>
      <w:rFonts w:ascii="Times New Roman" w:eastAsia="MS Mincho" w:hAnsi="Times New Roman"/>
      <w:color w:val="auto"/>
      <w:sz w:val="24"/>
      <w:szCs w:val="24"/>
      <w:lang w:val="fr-FR" w:eastAsia="fr-FR"/>
    </w:rPr>
  </w:style>
  <w:style w:type="paragraph" w:customStyle="1" w:styleId="TblTextLeft">
    <w:name w:val="Tbl Text Left"/>
    <w:link w:val="TblTextLeftCar"/>
    <w:pPr>
      <w:spacing w:before="60" w:after="60"/>
    </w:pPr>
    <w:rPr>
      <w:rFonts w:ascii="Arial Narrow" w:eastAsia="MS Gothic" w:hAnsi="Arial Narrow"/>
      <w:lang w:val="en-US" w:eastAsia="en-US"/>
    </w:rPr>
  </w:style>
  <w:style w:type="paragraph" w:customStyle="1" w:styleId="InstructionsText">
    <w:name w:val="Instructions Text"/>
    <w:basedOn w:val="Normal"/>
    <w:next w:val="Normal"/>
    <w:link w:val="InstructionsTextChar"/>
    <w:pPr>
      <w:shd w:val="clear" w:color="auto" w:fill="FFCC66"/>
      <w:spacing w:before="40" w:after="40"/>
    </w:pPr>
    <w:rPr>
      <w:rFonts w:ascii="Times New Roman" w:eastAsia="MS Mincho" w:hAnsi="Times New Roman"/>
      <w:color w:val="000000"/>
      <w:sz w:val="24"/>
      <w:szCs w:val="24"/>
      <w:shd w:val="clear" w:color="auto" w:fill="FFCC66"/>
    </w:rPr>
  </w:style>
  <w:style w:type="character" w:customStyle="1" w:styleId="InstructionsTextChar">
    <w:name w:val="Instructions Text Char"/>
    <w:link w:val="InstructionsText"/>
    <w:rPr>
      <w:rFonts w:eastAsia="MS Mincho"/>
      <w:color w:val="000000"/>
      <w:sz w:val="24"/>
      <w:szCs w:val="24"/>
      <w:shd w:val="clear" w:color="auto" w:fill="FFCC66"/>
      <w:lang w:val="en-US" w:eastAsia="en-US"/>
    </w:rPr>
  </w:style>
  <w:style w:type="character" w:customStyle="1" w:styleId="ReplaceText">
    <w:name w:val="Replace Text"/>
    <w:rPr>
      <w:color w:val="FF00FF"/>
    </w:rPr>
  </w:style>
  <w:style w:type="character" w:customStyle="1" w:styleId="TblTextLeftCar">
    <w:name w:val="Tbl Text Left Car"/>
    <w:link w:val="TblTextLeft"/>
    <w:rPr>
      <w:rFonts w:ascii="Arial Narrow" w:eastAsia="MS Gothic" w:hAnsi="Arial Narrow"/>
      <w:lang w:val="en-US" w:eastAsia="en-US"/>
    </w:rPr>
  </w:style>
  <w:style w:type="paragraph" w:styleId="Revision">
    <w:name w:val="Revision"/>
    <w:hidden/>
    <w:uiPriority w:val="99"/>
    <w:semiHidden/>
    <w:rPr>
      <w:rFonts w:ascii="Arial" w:hAnsi="Arial"/>
      <w:color w:val="000066"/>
      <w:sz w:val="22"/>
      <w:lang w:val="en-US" w:eastAsia="en-US"/>
    </w:rPr>
  </w:style>
  <w:style w:type="character" w:customStyle="1" w:styleId="ui-provider">
    <w:name w:val="ui-provid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9678">
      <w:bodyDiv w:val="1"/>
      <w:marLeft w:val="0"/>
      <w:marRight w:val="0"/>
      <w:marTop w:val="0"/>
      <w:marBottom w:val="0"/>
      <w:divBdr>
        <w:top w:val="none" w:sz="0" w:space="0" w:color="auto"/>
        <w:left w:val="none" w:sz="0" w:space="0" w:color="auto"/>
        <w:bottom w:val="none" w:sz="0" w:space="0" w:color="auto"/>
        <w:right w:val="none" w:sz="0" w:space="0" w:color="auto"/>
      </w:divBdr>
      <w:divsChild>
        <w:div w:id="1468205513">
          <w:marLeft w:val="0"/>
          <w:marRight w:val="0"/>
          <w:marTop w:val="0"/>
          <w:marBottom w:val="0"/>
          <w:divBdr>
            <w:top w:val="none" w:sz="0" w:space="0" w:color="auto"/>
            <w:left w:val="none" w:sz="0" w:space="0" w:color="auto"/>
            <w:bottom w:val="none" w:sz="0" w:space="0" w:color="auto"/>
            <w:right w:val="none" w:sz="0" w:space="0" w:color="auto"/>
          </w:divBdr>
          <w:divsChild>
            <w:div w:id="278687659">
              <w:marLeft w:val="0"/>
              <w:marRight w:val="0"/>
              <w:marTop w:val="0"/>
              <w:marBottom w:val="0"/>
              <w:divBdr>
                <w:top w:val="none" w:sz="0" w:space="0" w:color="auto"/>
                <w:left w:val="none" w:sz="0" w:space="0" w:color="auto"/>
                <w:bottom w:val="none" w:sz="0" w:space="0" w:color="auto"/>
                <w:right w:val="none" w:sz="0" w:space="0" w:color="auto"/>
              </w:divBdr>
            </w:div>
            <w:div w:id="949629123">
              <w:marLeft w:val="0"/>
              <w:marRight w:val="0"/>
              <w:marTop w:val="0"/>
              <w:marBottom w:val="0"/>
              <w:divBdr>
                <w:top w:val="none" w:sz="0" w:space="0" w:color="auto"/>
                <w:left w:val="none" w:sz="0" w:space="0" w:color="auto"/>
                <w:bottom w:val="none" w:sz="0" w:space="0" w:color="auto"/>
                <w:right w:val="none" w:sz="0" w:space="0" w:color="auto"/>
              </w:divBdr>
            </w:div>
            <w:div w:id="986587205">
              <w:marLeft w:val="0"/>
              <w:marRight w:val="0"/>
              <w:marTop w:val="0"/>
              <w:marBottom w:val="0"/>
              <w:divBdr>
                <w:top w:val="none" w:sz="0" w:space="0" w:color="auto"/>
                <w:left w:val="none" w:sz="0" w:space="0" w:color="auto"/>
                <w:bottom w:val="none" w:sz="0" w:space="0" w:color="auto"/>
                <w:right w:val="none" w:sz="0" w:space="0" w:color="auto"/>
              </w:divBdr>
            </w:div>
            <w:div w:id="1655644802">
              <w:marLeft w:val="0"/>
              <w:marRight w:val="0"/>
              <w:marTop w:val="0"/>
              <w:marBottom w:val="0"/>
              <w:divBdr>
                <w:top w:val="none" w:sz="0" w:space="0" w:color="auto"/>
                <w:left w:val="none" w:sz="0" w:space="0" w:color="auto"/>
                <w:bottom w:val="none" w:sz="0" w:space="0" w:color="auto"/>
                <w:right w:val="none" w:sz="0" w:space="0" w:color="auto"/>
              </w:divBdr>
            </w:div>
            <w:div w:id="19796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03315">
      <w:bodyDiv w:val="1"/>
      <w:marLeft w:val="0"/>
      <w:marRight w:val="0"/>
      <w:marTop w:val="0"/>
      <w:marBottom w:val="0"/>
      <w:divBdr>
        <w:top w:val="none" w:sz="0" w:space="0" w:color="auto"/>
        <w:left w:val="none" w:sz="0" w:space="0" w:color="auto"/>
        <w:bottom w:val="none" w:sz="0" w:space="0" w:color="auto"/>
        <w:right w:val="none" w:sz="0" w:space="0" w:color="auto"/>
      </w:divBdr>
    </w:div>
    <w:div w:id="125857299">
      <w:bodyDiv w:val="1"/>
      <w:marLeft w:val="0"/>
      <w:marRight w:val="0"/>
      <w:marTop w:val="0"/>
      <w:marBottom w:val="0"/>
      <w:divBdr>
        <w:top w:val="none" w:sz="0" w:space="0" w:color="auto"/>
        <w:left w:val="none" w:sz="0" w:space="0" w:color="auto"/>
        <w:bottom w:val="none" w:sz="0" w:space="0" w:color="auto"/>
        <w:right w:val="none" w:sz="0" w:space="0" w:color="auto"/>
      </w:divBdr>
    </w:div>
    <w:div w:id="205991056">
      <w:bodyDiv w:val="1"/>
      <w:marLeft w:val="0"/>
      <w:marRight w:val="0"/>
      <w:marTop w:val="0"/>
      <w:marBottom w:val="0"/>
      <w:divBdr>
        <w:top w:val="none" w:sz="0" w:space="0" w:color="auto"/>
        <w:left w:val="none" w:sz="0" w:space="0" w:color="auto"/>
        <w:bottom w:val="none" w:sz="0" w:space="0" w:color="auto"/>
        <w:right w:val="none" w:sz="0" w:space="0" w:color="auto"/>
      </w:divBdr>
      <w:divsChild>
        <w:div w:id="632490158">
          <w:marLeft w:val="0"/>
          <w:marRight w:val="0"/>
          <w:marTop w:val="0"/>
          <w:marBottom w:val="0"/>
          <w:divBdr>
            <w:top w:val="none" w:sz="0" w:space="0" w:color="auto"/>
            <w:left w:val="none" w:sz="0" w:space="0" w:color="auto"/>
            <w:bottom w:val="none" w:sz="0" w:space="0" w:color="auto"/>
            <w:right w:val="none" w:sz="0" w:space="0" w:color="auto"/>
          </w:divBdr>
        </w:div>
      </w:divsChild>
    </w:div>
    <w:div w:id="349306947">
      <w:bodyDiv w:val="1"/>
      <w:marLeft w:val="0"/>
      <w:marRight w:val="0"/>
      <w:marTop w:val="0"/>
      <w:marBottom w:val="0"/>
      <w:divBdr>
        <w:top w:val="none" w:sz="0" w:space="0" w:color="auto"/>
        <w:left w:val="none" w:sz="0" w:space="0" w:color="auto"/>
        <w:bottom w:val="none" w:sz="0" w:space="0" w:color="auto"/>
        <w:right w:val="none" w:sz="0" w:space="0" w:color="auto"/>
      </w:divBdr>
      <w:divsChild>
        <w:div w:id="1492676513">
          <w:marLeft w:val="0"/>
          <w:marRight w:val="0"/>
          <w:marTop w:val="0"/>
          <w:marBottom w:val="0"/>
          <w:divBdr>
            <w:top w:val="none" w:sz="0" w:space="0" w:color="auto"/>
            <w:left w:val="none" w:sz="0" w:space="0" w:color="auto"/>
            <w:bottom w:val="none" w:sz="0" w:space="0" w:color="auto"/>
            <w:right w:val="none" w:sz="0" w:space="0" w:color="auto"/>
          </w:divBdr>
        </w:div>
      </w:divsChild>
    </w:div>
    <w:div w:id="364259079">
      <w:bodyDiv w:val="1"/>
      <w:marLeft w:val="0"/>
      <w:marRight w:val="0"/>
      <w:marTop w:val="0"/>
      <w:marBottom w:val="0"/>
      <w:divBdr>
        <w:top w:val="none" w:sz="0" w:space="0" w:color="auto"/>
        <w:left w:val="none" w:sz="0" w:space="0" w:color="auto"/>
        <w:bottom w:val="none" w:sz="0" w:space="0" w:color="auto"/>
        <w:right w:val="none" w:sz="0" w:space="0" w:color="auto"/>
      </w:divBdr>
      <w:divsChild>
        <w:div w:id="680203896">
          <w:marLeft w:val="0"/>
          <w:marRight w:val="0"/>
          <w:marTop w:val="0"/>
          <w:marBottom w:val="0"/>
          <w:divBdr>
            <w:top w:val="none" w:sz="0" w:space="0" w:color="auto"/>
            <w:left w:val="none" w:sz="0" w:space="0" w:color="auto"/>
            <w:bottom w:val="none" w:sz="0" w:space="0" w:color="auto"/>
            <w:right w:val="none" w:sz="0" w:space="0" w:color="auto"/>
          </w:divBdr>
        </w:div>
      </w:divsChild>
    </w:div>
    <w:div w:id="500974164">
      <w:bodyDiv w:val="1"/>
      <w:marLeft w:val="0"/>
      <w:marRight w:val="0"/>
      <w:marTop w:val="0"/>
      <w:marBottom w:val="0"/>
      <w:divBdr>
        <w:top w:val="none" w:sz="0" w:space="0" w:color="auto"/>
        <w:left w:val="none" w:sz="0" w:space="0" w:color="auto"/>
        <w:bottom w:val="none" w:sz="0" w:space="0" w:color="auto"/>
        <w:right w:val="none" w:sz="0" w:space="0" w:color="auto"/>
      </w:divBdr>
      <w:divsChild>
        <w:div w:id="166598898">
          <w:marLeft w:val="0"/>
          <w:marRight w:val="0"/>
          <w:marTop w:val="0"/>
          <w:marBottom w:val="0"/>
          <w:divBdr>
            <w:top w:val="none" w:sz="0" w:space="0" w:color="auto"/>
            <w:left w:val="none" w:sz="0" w:space="0" w:color="auto"/>
            <w:bottom w:val="none" w:sz="0" w:space="0" w:color="auto"/>
            <w:right w:val="none" w:sz="0" w:space="0" w:color="auto"/>
          </w:divBdr>
        </w:div>
      </w:divsChild>
    </w:div>
    <w:div w:id="588345516">
      <w:bodyDiv w:val="1"/>
      <w:marLeft w:val="0"/>
      <w:marRight w:val="0"/>
      <w:marTop w:val="0"/>
      <w:marBottom w:val="0"/>
      <w:divBdr>
        <w:top w:val="none" w:sz="0" w:space="0" w:color="auto"/>
        <w:left w:val="none" w:sz="0" w:space="0" w:color="auto"/>
        <w:bottom w:val="none" w:sz="0" w:space="0" w:color="auto"/>
        <w:right w:val="none" w:sz="0" w:space="0" w:color="auto"/>
      </w:divBdr>
      <w:divsChild>
        <w:div w:id="446237934">
          <w:marLeft w:val="0"/>
          <w:marRight w:val="0"/>
          <w:marTop w:val="0"/>
          <w:marBottom w:val="0"/>
          <w:divBdr>
            <w:top w:val="none" w:sz="0" w:space="0" w:color="auto"/>
            <w:left w:val="none" w:sz="0" w:space="0" w:color="auto"/>
            <w:bottom w:val="none" w:sz="0" w:space="0" w:color="auto"/>
            <w:right w:val="none" w:sz="0" w:space="0" w:color="auto"/>
          </w:divBdr>
        </w:div>
      </w:divsChild>
    </w:div>
    <w:div w:id="593369294">
      <w:bodyDiv w:val="1"/>
      <w:marLeft w:val="0"/>
      <w:marRight w:val="0"/>
      <w:marTop w:val="0"/>
      <w:marBottom w:val="0"/>
      <w:divBdr>
        <w:top w:val="none" w:sz="0" w:space="0" w:color="auto"/>
        <w:left w:val="none" w:sz="0" w:space="0" w:color="auto"/>
        <w:bottom w:val="none" w:sz="0" w:space="0" w:color="auto"/>
        <w:right w:val="none" w:sz="0" w:space="0" w:color="auto"/>
      </w:divBdr>
    </w:div>
    <w:div w:id="659848425">
      <w:bodyDiv w:val="1"/>
      <w:marLeft w:val="0"/>
      <w:marRight w:val="0"/>
      <w:marTop w:val="0"/>
      <w:marBottom w:val="0"/>
      <w:divBdr>
        <w:top w:val="none" w:sz="0" w:space="0" w:color="auto"/>
        <w:left w:val="none" w:sz="0" w:space="0" w:color="auto"/>
        <w:bottom w:val="none" w:sz="0" w:space="0" w:color="auto"/>
        <w:right w:val="none" w:sz="0" w:space="0" w:color="auto"/>
      </w:divBdr>
      <w:divsChild>
        <w:div w:id="1952198100">
          <w:marLeft w:val="0"/>
          <w:marRight w:val="0"/>
          <w:marTop w:val="0"/>
          <w:marBottom w:val="0"/>
          <w:divBdr>
            <w:top w:val="none" w:sz="0" w:space="0" w:color="auto"/>
            <w:left w:val="none" w:sz="0" w:space="0" w:color="auto"/>
            <w:bottom w:val="none" w:sz="0" w:space="0" w:color="auto"/>
            <w:right w:val="none" w:sz="0" w:space="0" w:color="auto"/>
          </w:divBdr>
          <w:divsChild>
            <w:div w:id="29079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199008">
      <w:bodyDiv w:val="1"/>
      <w:marLeft w:val="0"/>
      <w:marRight w:val="0"/>
      <w:marTop w:val="0"/>
      <w:marBottom w:val="0"/>
      <w:divBdr>
        <w:top w:val="none" w:sz="0" w:space="0" w:color="auto"/>
        <w:left w:val="none" w:sz="0" w:space="0" w:color="auto"/>
        <w:bottom w:val="none" w:sz="0" w:space="0" w:color="auto"/>
        <w:right w:val="none" w:sz="0" w:space="0" w:color="auto"/>
      </w:divBdr>
    </w:div>
    <w:div w:id="990061503">
      <w:bodyDiv w:val="1"/>
      <w:marLeft w:val="0"/>
      <w:marRight w:val="0"/>
      <w:marTop w:val="0"/>
      <w:marBottom w:val="0"/>
      <w:divBdr>
        <w:top w:val="none" w:sz="0" w:space="0" w:color="auto"/>
        <w:left w:val="none" w:sz="0" w:space="0" w:color="auto"/>
        <w:bottom w:val="none" w:sz="0" w:space="0" w:color="auto"/>
        <w:right w:val="none" w:sz="0" w:space="0" w:color="auto"/>
      </w:divBdr>
    </w:div>
    <w:div w:id="1168904389">
      <w:bodyDiv w:val="1"/>
      <w:marLeft w:val="0"/>
      <w:marRight w:val="0"/>
      <w:marTop w:val="0"/>
      <w:marBottom w:val="0"/>
      <w:divBdr>
        <w:top w:val="none" w:sz="0" w:space="0" w:color="auto"/>
        <w:left w:val="none" w:sz="0" w:space="0" w:color="auto"/>
        <w:bottom w:val="none" w:sz="0" w:space="0" w:color="auto"/>
        <w:right w:val="none" w:sz="0" w:space="0" w:color="auto"/>
      </w:divBdr>
    </w:div>
    <w:div w:id="1616912423">
      <w:bodyDiv w:val="1"/>
      <w:marLeft w:val="0"/>
      <w:marRight w:val="0"/>
      <w:marTop w:val="0"/>
      <w:marBottom w:val="0"/>
      <w:divBdr>
        <w:top w:val="none" w:sz="0" w:space="0" w:color="auto"/>
        <w:left w:val="none" w:sz="0" w:space="0" w:color="auto"/>
        <w:bottom w:val="none" w:sz="0" w:space="0" w:color="auto"/>
        <w:right w:val="none" w:sz="0" w:space="0" w:color="auto"/>
      </w:divBdr>
    </w:div>
    <w:div w:id="1619333919">
      <w:bodyDiv w:val="1"/>
      <w:marLeft w:val="0"/>
      <w:marRight w:val="0"/>
      <w:marTop w:val="0"/>
      <w:marBottom w:val="0"/>
      <w:divBdr>
        <w:top w:val="none" w:sz="0" w:space="0" w:color="auto"/>
        <w:left w:val="none" w:sz="0" w:space="0" w:color="auto"/>
        <w:bottom w:val="none" w:sz="0" w:space="0" w:color="auto"/>
        <w:right w:val="none" w:sz="0" w:space="0" w:color="auto"/>
      </w:divBdr>
    </w:div>
    <w:div w:id="1742215366">
      <w:bodyDiv w:val="1"/>
      <w:marLeft w:val="0"/>
      <w:marRight w:val="0"/>
      <w:marTop w:val="0"/>
      <w:marBottom w:val="0"/>
      <w:divBdr>
        <w:top w:val="none" w:sz="0" w:space="0" w:color="auto"/>
        <w:left w:val="none" w:sz="0" w:space="0" w:color="auto"/>
        <w:bottom w:val="none" w:sz="0" w:space="0" w:color="auto"/>
        <w:right w:val="none" w:sz="0" w:space="0" w:color="auto"/>
      </w:divBdr>
      <w:divsChild>
        <w:div w:id="2013877613">
          <w:marLeft w:val="0"/>
          <w:marRight w:val="0"/>
          <w:marTop w:val="0"/>
          <w:marBottom w:val="0"/>
          <w:divBdr>
            <w:top w:val="none" w:sz="0" w:space="0" w:color="auto"/>
            <w:left w:val="none" w:sz="0" w:space="0" w:color="auto"/>
            <w:bottom w:val="none" w:sz="0" w:space="0" w:color="auto"/>
            <w:right w:val="none" w:sz="0" w:space="0" w:color="auto"/>
          </w:divBdr>
          <w:divsChild>
            <w:div w:id="17893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73168">
      <w:bodyDiv w:val="1"/>
      <w:marLeft w:val="0"/>
      <w:marRight w:val="0"/>
      <w:marTop w:val="0"/>
      <w:marBottom w:val="0"/>
      <w:divBdr>
        <w:top w:val="none" w:sz="0" w:space="0" w:color="auto"/>
        <w:left w:val="none" w:sz="0" w:space="0" w:color="auto"/>
        <w:bottom w:val="none" w:sz="0" w:space="0" w:color="auto"/>
        <w:right w:val="none" w:sz="0" w:space="0" w:color="auto"/>
      </w:divBdr>
    </w:div>
    <w:div w:id="2008823090">
      <w:bodyDiv w:val="1"/>
      <w:marLeft w:val="0"/>
      <w:marRight w:val="0"/>
      <w:marTop w:val="0"/>
      <w:marBottom w:val="0"/>
      <w:divBdr>
        <w:top w:val="none" w:sz="0" w:space="0" w:color="auto"/>
        <w:left w:val="none" w:sz="0" w:space="0" w:color="auto"/>
        <w:bottom w:val="none" w:sz="0" w:space="0" w:color="auto"/>
        <w:right w:val="none" w:sz="0" w:space="0" w:color="auto"/>
      </w:divBdr>
    </w:div>
    <w:div w:id="203758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077D3B0816741AC30838620F90393" ma:contentTypeVersion="6" ma:contentTypeDescription="Create a new document." ma:contentTypeScope="" ma:versionID="f6015912e30d47e540e6ab51dee4008a">
  <xsd:schema xmlns:xsd="http://www.w3.org/2001/XMLSchema" xmlns:xs="http://www.w3.org/2001/XMLSchema" xmlns:p="http://schemas.microsoft.com/office/2006/metadata/properties" xmlns:ns2="868f89da-f379-4fce-a8d2-7ac0fb84c701" xmlns:ns3="9725752e-01f6-4366-9913-b1935980c454" targetNamespace="http://schemas.microsoft.com/office/2006/metadata/properties" ma:root="true" ma:fieldsID="bc73334f2531701b066203fa41b2e3df" ns2:_="" ns3:_="">
    <xsd:import namespace="868f89da-f379-4fce-a8d2-7ac0fb84c701"/>
    <xsd:import namespace="9725752e-01f6-4366-9913-b1935980c45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f89da-f379-4fce-a8d2-7ac0fb84c70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25752e-01f6-4366-9913-b1935980c45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http://schemas.openxmlformats.org/officeDocument/2006/bibliography" xmlns:b="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61B7BBF-A359-4DC6-995F-F5175056E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f89da-f379-4fce-a8d2-7ac0fb84c701"/>
    <ds:schemaRef ds:uri="9725752e-01f6-4366-9913-b1935980c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D0C084-BC96-46F9-9D53-FCC7129EBAC2}">
  <ds:schemaRefs>
    <ds:schemaRef ds:uri="http://schemas.microsoft.com/sharepoint/v3/contenttype/forms"/>
  </ds:schemaRefs>
</ds:datastoreItem>
</file>

<file path=customXml/itemProps3.xml><?xml version="1.0" encoding="utf-8"?>
<ds:datastoreItem xmlns:ds="http://schemas.openxmlformats.org/officeDocument/2006/customXml" ds:itemID="{2F679AC8-EC8A-4CFF-ABB5-59DD5719F2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87E47E-66DA-44CD-A94F-45865548EA8A}">
  <ds:schemaRefs>
    <ds:schemaRef ds:uri="http://schemas.openxmlformats.org/officeDocument/2006/bibliography"/>
  </ds:schemaRefs>
</ds:datastoreItem>
</file>

<file path=customXml/itemProps5.xml><?xml version="1.0" encoding="utf-8"?>
<ds:datastoreItem xmlns:ds="http://schemas.openxmlformats.org/officeDocument/2006/customXml" ds:itemID="{FC9D6FA9-B5E0-450C-B799-341DC60AD8B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4686</Words>
  <Characters>26875</Characters>
  <Application>Microsoft Office Word</Application>
  <DocSecurity>0</DocSecurity>
  <Lines>223</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Study Guidebook template for GMA-CO disease registry</vt:lpstr>
      <vt:lpstr>Study Guidebook template for GMA-CO disease registry</vt:lpstr>
    </vt:vector>
  </TitlesOfParts>
  <Company>sanofi-aventis</Company>
  <LinksUpToDate>false</LinksUpToDate>
  <CharactersWithSpaces>31499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Guidebook template for GMA-CO disease registry</dc:title>
  <dc:subject>WW-MA-CO-GE0016-SD-03</dc:subject>
  <dc:creator>A. Gremminger</dc:creator>
  <cp:keywords>version 02</cp:keywords>
  <cp:lastModifiedBy>Futo, Kinga /HU</cp:lastModifiedBy>
  <cp:revision>31</cp:revision>
  <cp:lastPrinted>2012-03-19T13:22:00Z</cp:lastPrinted>
  <dcterms:created xsi:type="dcterms:W3CDTF">2025-06-25T18:00:00Z</dcterms:created>
  <dcterms:modified xsi:type="dcterms:W3CDTF">2025-06-25T19:57:00Z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0x010100109077D3B0816741AC30838620F90393</vt:lpwstr>
  </property>
  <property fmtid="{D5CDD505-2E9C-101B-9397-08002B2CF9AE}" pid="4" name="display_urn:schemas-microsoft-com:office:office#Editor">
    <vt:lpwstr>PAM-SA-PAM Service account for DWP Office 365 Migration project / SharePoint stream</vt:lpwstr>
  </property>
  <property fmtid="{D5CDD505-2E9C-101B-9397-08002B2CF9AE}" pid="5" name="display_urn:schemas-microsoft-com:office:office#Author">
    <vt:lpwstr>PAM-SA-PAM Service account for DWP Office 365 Migration project / SharePoint stream</vt:lpwstr>
  </property>
  <property fmtid="{D5CDD505-2E9C-101B-9397-08002B2CF9AE}" pid="6" name="MSIP_Label_d9088468-0951-4aef-9cc3-0a346e475ddc_Enabled">
    <vt:lpwstr>true</vt:lpwstr>
  </property>
  <property fmtid="{D5CDD505-2E9C-101B-9397-08002B2CF9AE}" pid="7" name="MSIP_Label_d9088468-0951-4aef-9cc3-0a346e475ddc_SetDate">
    <vt:lpwstr>2025-06-25T18:39:00Z</vt:lpwstr>
  </property>
  <property fmtid="{D5CDD505-2E9C-101B-9397-08002B2CF9AE}" pid="8" name="MSIP_Label_d9088468-0951-4aef-9cc3-0a346e475ddc_Method">
    <vt:lpwstr>Privileged</vt:lpwstr>
  </property>
  <property fmtid="{D5CDD505-2E9C-101B-9397-08002B2CF9AE}" pid="9" name="MSIP_Label_d9088468-0951-4aef-9cc3-0a346e475ddc_Name">
    <vt:lpwstr>Public</vt:lpwstr>
  </property>
  <property fmtid="{D5CDD505-2E9C-101B-9397-08002B2CF9AE}" pid="10" name="MSIP_Label_d9088468-0951-4aef-9cc3-0a346e475ddc_SiteId">
    <vt:lpwstr>aca3c8d6-aa71-4e1a-a10e-03572fc58c0b</vt:lpwstr>
  </property>
  <property fmtid="{D5CDD505-2E9C-101B-9397-08002B2CF9AE}" pid="11" name="MSIP_Label_d9088468-0951-4aef-9cc3-0a346e475ddc_ActionId">
    <vt:lpwstr>47879c84-e210-4301-8380-a8e369e4e22a</vt:lpwstr>
  </property>
  <property fmtid="{D5CDD505-2E9C-101B-9397-08002B2CF9AE}" pid="12" name="MSIP_Label_d9088468-0951-4aef-9cc3-0a346e475ddc_ContentBits">
    <vt:lpwstr>0</vt:lpwstr>
  </property>
</Properties>
</file>