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CCD" w:rsidRDefault="00AC7CCD" w:rsidP="00AF404E">
      <w:pPr>
        <w:spacing w:before="160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Abstract: </w:t>
      </w:r>
    </w:p>
    <w:p w:rsidR="00AF404E" w:rsidRPr="00AC7CCD" w:rsidRDefault="00AC7CCD" w:rsidP="00AF404E">
      <w:pPr>
        <w:spacing w:before="160"/>
        <w:rPr>
          <w:b/>
          <w:iCs/>
          <w:sz w:val="28"/>
          <w:szCs w:val="28"/>
        </w:rPr>
      </w:pPr>
      <w:bookmarkStart w:id="0" w:name="_GoBack"/>
      <w:bookmarkEnd w:id="0"/>
      <w:r>
        <w:rPr>
          <w:i/>
          <w:iCs/>
          <w:sz w:val="20"/>
        </w:rPr>
        <w:t>Purpose</w:t>
      </w:r>
      <w:r w:rsidR="00AF404E" w:rsidRPr="00523912">
        <w:rPr>
          <w:i/>
          <w:iCs/>
          <w:sz w:val="20"/>
        </w:rPr>
        <w:t>:</w:t>
      </w:r>
      <w:r w:rsidR="00AF404E" w:rsidRPr="00523912">
        <w:rPr>
          <w:sz w:val="20"/>
        </w:rPr>
        <w:t xml:space="preserve"> Botox is hypothesized to inhibit and desensitize pain generating nerve transmissions for 6 - 12 month. Patients with symptomatic developmental hip dysplasia may undergo periacetabular osteotomy and 10 % of these patients have pain more than 6 months after the operation. An </w:t>
      </w:r>
      <w:proofErr w:type="spellStart"/>
      <w:r w:rsidR="00AF404E" w:rsidRPr="00523912">
        <w:rPr>
          <w:sz w:val="20"/>
        </w:rPr>
        <w:t>intraarticular</w:t>
      </w:r>
      <w:proofErr w:type="spellEnd"/>
      <w:r w:rsidR="00AF404E" w:rsidRPr="00523912">
        <w:rPr>
          <w:sz w:val="20"/>
        </w:rPr>
        <w:t xml:space="preserve"> injection is used to determine if the pain comes from labral pathology in the hip joint or structures around the hip. To allow the patient a longer period of time to test the hip for the known pain even in the home environment, we wanted to test if an </w:t>
      </w:r>
      <w:proofErr w:type="spellStart"/>
      <w:r w:rsidR="00AF404E" w:rsidRPr="00523912">
        <w:rPr>
          <w:sz w:val="20"/>
        </w:rPr>
        <w:t>intraarticular</w:t>
      </w:r>
      <w:proofErr w:type="spellEnd"/>
      <w:r w:rsidR="00AF404E" w:rsidRPr="00523912">
        <w:rPr>
          <w:sz w:val="20"/>
        </w:rPr>
        <w:t xml:space="preserve"> injection of Botox combined with local anesthetic could reduce pain and allow the patient to test the hip joint for a longer period of time. </w:t>
      </w:r>
    </w:p>
    <w:p w:rsidR="00AF404E" w:rsidRPr="00523912" w:rsidRDefault="00AF404E" w:rsidP="00AF404E">
      <w:pPr>
        <w:spacing w:before="160"/>
        <w:rPr>
          <w:sz w:val="20"/>
        </w:rPr>
      </w:pPr>
      <w:r w:rsidRPr="00523912">
        <w:rPr>
          <w:sz w:val="20"/>
        </w:rPr>
        <w:br/>
      </w:r>
      <w:r w:rsidR="00AC7CCD">
        <w:rPr>
          <w:i/>
          <w:iCs/>
          <w:sz w:val="20"/>
        </w:rPr>
        <w:t xml:space="preserve">Material and </w:t>
      </w:r>
      <w:r w:rsidRPr="00523912">
        <w:rPr>
          <w:i/>
          <w:iCs/>
          <w:sz w:val="20"/>
        </w:rPr>
        <w:t>Methods:</w:t>
      </w:r>
      <w:r w:rsidRPr="00523912">
        <w:rPr>
          <w:sz w:val="20"/>
        </w:rPr>
        <w:t xml:space="preserve"> 11 patients who received a PAO and suffered from persistent pain at least 6 months postoperative had an </w:t>
      </w:r>
      <w:proofErr w:type="spellStart"/>
      <w:r w:rsidRPr="00523912">
        <w:rPr>
          <w:sz w:val="20"/>
        </w:rPr>
        <w:t>intraarticular</w:t>
      </w:r>
      <w:proofErr w:type="spellEnd"/>
      <w:r w:rsidRPr="00523912">
        <w:rPr>
          <w:sz w:val="20"/>
        </w:rPr>
        <w:t xml:space="preserve"> joint injection with 100IE Botox diluted in 3 ml NaCL water and added 3 ml lidocaine. Hip pain at the day of injection and after 6 weeks with was evaluated with VAS score, iHOT12, and HAGOS.   </w:t>
      </w:r>
    </w:p>
    <w:p w:rsidR="00AC7CCD" w:rsidRDefault="00AC7CCD" w:rsidP="00AF404E">
      <w:pPr>
        <w:spacing w:before="160"/>
        <w:rPr>
          <w:sz w:val="20"/>
        </w:rPr>
      </w:pPr>
      <w:r>
        <w:rPr>
          <w:i/>
          <w:iCs/>
          <w:sz w:val="20"/>
        </w:rPr>
        <w:t>Results</w:t>
      </w:r>
      <w:r w:rsidR="00AF404E" w:rsidRPr="00523912">
        <w:rPr>
          <w:i/>
          <w:iCs/>
          <w:sz w:val="20"/>
        </w:rPr>
        <w:t>:</w:t>
      </w:r>
      <w:r w:rsidR="00AF404E" w:rsidRPr="00523912">
        <w:rPr>
          <w:sz w:val="20"/>
        </w:rPr>
        <w:t xml:space="preserve"> Botox in the hip joint reduced the pain level and reduced the iHOT12 score statistically signif</w:t>
      </w:r>
      <w:r>
        <w:rPr>
          <w:sz w:val="20"/>
        </w:rPr>
        <w:t xml:space="preserve">icant 6 weeks after injection. </w:t>
      </w:r>
      <w:r w:rsidRPr="00523912">
        <w:rPr>
          <w:sz w:val="20"/>
          <w:lang w:val="en-GB"/>
        </w:rPr>
        <w:t>Hip joint injection of controlled dosage of 100 IU diluted in 3 ml NaCl solution mixed with lidocaine had no side effects in this study with a limited group of patients.</w:t>
      </w:r>
    </w:p>
    <w:p w:rsidR="00AF404E" w:rsidRPr="001B6200" w:rsidRDefault="00AC7CCD" w:rsidP="00AF404E">
      <w:pPr>
        <w:spacing w:before="160"/>
        <w:rPr>
          <w:b/>
          <w:bCs/>
          <w:sz w:val="20"/>
          <w:lang w:val="en-GB"/>
        </w:rPr>
      </w:pPr>
      <w:r w:rsidRPr="00AC7CCD">
        <w:rPr>
          <w:i/>
          <w:sz w:val="20"/>
        </w:rPr>
        <w:t>Conclusion:</w:t>
      </w:r>
      <w:r>
        <w:rPr>
          <w:sz w:val="20"/>
        </w:rPr>
        <w:t xml:space="preserve"> </w:t>
      </w:r>
      <w:r w:rsidR="00AF404E" w:rsidRPr="00523912">
        <w:rPr>
          <w:sz w:val="20"/>
        </w:rPr>
        <w:t xml:space="preserve">Botox has a promising pain reducing effect in the hip joint in the majority of patients comparable with findings in knee and shoulder joints. </w:t>
      </w:r>
      <w:r w:rsidR="00AF404E" w:rsidRPr="00523912">
        <w:rPr>
          <w:sz w:val="20"/>
          <w:lang w:val="en-GB"/>
        </w:rPr>
        <w:t xml:space="preserve">Hip joint injection of controlled dosage of 100 IU diluted in 3 ml NaCl solution mixed with lidocaine had no side effects in this study with a limited group of patients. </w:t>
      </w:r>
    </w:p>
    <w:p w:rsidR="005F222D" w:rsidRPr="00AF404E" w:rsidRDefault="005F222D" w:rsidP="00FF64A3">
      <w:pPr>
        <w:rPr>
          <w:lang w:val="en-GB"/>
        </w:rPr>
      </w:pPr>
    </w:p>
    <w:sectPr w:rsidR="005F222D" w:rsidRPr="00AF404E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04E"/>
    <w:rsid w:val="00216B27"/>
    <w:rsid w:val="00377AD4"/>
    <w:rsid w:val="005F222D"/>
    <w:rsid w:val="0078773B"/>
    <w:rsid w:val="00AC7CCD"/>
    <w:rsid w:val="00AF404E"/>
    <w:rsid w:val="00FF6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2E23D"/>
  <w15:chartTrackingRefBased/>
  <w15:docId w15:val="{D50BCE04-1EE0-4BC4-9EEB-39FEF8976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semiHidden="1" w:uiPriority="21" w:unhideWhenUsed="1" w:qFormat="1"/>
    <w:lsdException w:name="Subtle Reference" w:uiPriority="31" w:qFormat="1"/>
    <w:lsdException w:name="Intense Reference" w:semiHidden="1" w:uiPriority="32" w:unhideWhenUsed="1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04E"/>
    <w:pPr>
      <w:spacing w:line="360" w:lineRule="auto"/>
    </w:pPr>
    <w:rPr>
      <w:rFonts w:ascii="Times New Roman" w:eastAsia="SimSun" w:hAnsi="Times New Roman" w:cs="Times New Roman"/>
      <w:sz w:val="16"/>
      <w:lang w:val="en-US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5F222D"/>
    <w:pPr>
      <w:keepNext/>
      <w:keepLines/>
      <w:spacing w:before="240" w:after="0" w:line="259" w:lineRule="auto"/>
      <w:outlineLvl w:val="0"/>
    </w:pPr>
    <w:rPr>
      <w:rFonts w:ascii="Verdana" w:eastAsiaTheme="majorEastAsia" w:hAnsi="Verdana" w:cstheme="majorBidi"/>
      <w:sz w:val="28"/>
      <w:szCs w:val="32"/>
      <w:lang w:val="da-DK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5F222D"/>
    <w:pPr>
      <w:keepNext/>
      <w:keepLines/>
      <w:spacing w:before="40" w:after="0" w:line="259" w:lineRule="auto"/>
      <w:outlineLvl w:val="1"/>
    </w:pPr>
    <w:rPr>
      <w:rFonts w:ascii="Verdana" w:eastAsiaTheme="majorEastAsia" w:hAnsi="Verdana" w:cstheme="majorBidi"/>
      <w:sz w:val="24"/>
      <w:szCs w:val="26"/>
      <w:lang w:val="da-DK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5F222D"/>
    <w:pPr>
      <w:keepNext/>
      <w:keepLines/>
      <w:spacing w:before="40" w:after="0" w:line="259" w:lineRule="auto"/>
      <w:outlineLvl w:val="2"/>
    </w:pPr>
    <w:rPr>
      <w:rFonts w:ascii="Verdana" w:eastAsiaTheme="majorEastAsia" w:hAnsi="Verdana" w:cstheme="majorBidi"/>
      <w:sz w:val="20"/>
      <w:szCs w:val="24"/>
      <w:lang w:val="da-DK"/>
    </w:rPr>
  </w:style>
  <w:style w:type="paragraph" w:styleId="Overskrift4">
    <w:name w:val="heading 4"/>
    <w:basedOn w:val="Normal"/>
    <w:next w:val="Normal"/>
    <w:link w:val="Overskrift4Tegn"/>
    <w:uiPriority w:val="9"/>
    <w:unhideWhenUsed/>
    <w:qFormat/>
    <w:rsid w:val="005F222D"/>
    <w:pPr>
      <w:keepNext/>
      <w:keepLines/>
      <w:spacing w:before="40" w:after="0" w:line="259" w:lineRule="auto"/>
      <w:outlineLvl w:val="3"/>
    </w:pPr>
    <w:rPr>
      <w:rFonts w:ascii="Verdana" w:eastAsiaTheme="majorEastAsia" w:hAnsi="Verdana" w:cstheme="majorBidi"/>
      <w:i/>
      <w:iCs/>
      <w:sz w:val="20"/>
      <w:lang w:val="da-DK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5F222D"/>
    <w:pPr>
      <w:keepNext/>
      <w:keepLines/>
      <w:spacing w:before="40" w:after="0" w:line="259" w:lineRule="auto"/>
      <w:outlineLvl w:val="4"/>
    </w:pPr>
    <w:rPr>
      <w:rFonts w:ascii="Verdana" w:eastAsiaTheme="majorEastAsia" w:hAnsi="Verdana" w:cstheme="majorBidi"/>
      <w:sz w:val="20"/>
      <w:lang w:val="da-DK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5F222D"/>
    <w:rPr>
      <w:rFonts w:eastAsiaTheme="majorEastAsia" w:cstheme="majorBidi"/>
      <w:sz w:val="28"/>
      <w:szCs w:val="32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5F222D"/>
    <w:rPr>
      <w:rFonts w:eastAsiaTheme="majorEastAsia" w:cstheme="majorBidi"/>
      <w:sz w:val="24"/>
      <w:szCs w:val="26"/>
    </w:rPr>
  </w:style>
  <w:style w:type="paragraph" w:styleId="Ingenafstand">
    <w:name w:val="No Spacing"/>
    <w:uiPriority w:val="1"/>
    <w:qFormat/>
    <w:rsid w:val="005F222D"/>
    <w:pPr>
      <w:spacing w:after="0" w:line="240" w:lineRule="auto"/>
    </w:pPr>
  </w:style>
  <w:style w:type="character" w:customStyle="1" w:styleId="Overskrift3Tegn">
    <w:name w:val="Overskrift 3 Tegn"/>
    <w:basedOn w:val="Standardskrifttypeiafsnit"/>
    <w:link w:val="Overskrift3"/>
    <w:uiPriority w:val="9"/>
    <w:rsid w:val="005F222D"/>
    <w:rPr>
      <w:rFonts w:eastAsiaTheme="majorEastAsia" w:cstheme="majorBidi"/>
      <w:szCs w:val="24"/>
    </w:rPr>
  </w:style>
  <w:style w:type="character" w:customStyle="1" w:styleId="Overskrift4Tegn">
    <w:name w:val="Overskrift 4 Tegn"/>
    <w:basedOn w:val="Standardskrifttypeiafsnit"/>
    <w:link w:val="Overskrift4"/>
    <w:uiPriority w:val="9"/>
    <w:rsid w:val="005F222D"/>
    <w:rPr>
      <w:rFonts w:eastAsiaTheme="majorEastAsia" w:cstheme="majorBidi"/>
      <w:i/>
      <w:iCs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5F222D"/>
    <w:rPr>
      <w:rFonts w:eastAsiaTheme="majorEastAsia" w:cstheme="majorBidi"/>
    </w:rPr>
  </w:style>
  <w:style w:type="paragraph" w:customStyle="1" w:styleId="Els-Abstract-head">
    <w:name w:val="Els-Abstract-head"/>
    <w:next w:val="Normal"/>
    <w:rsid w:val="00AF404E"/>
    <w:pPr>
      <w:keepNext/>
      <w:suppressAutoHyphens/>
      <w:spacing w:before="440" w:after="200" w:line="240" w:lineRule="auto"/>
    </w:pPr>
    <w:rPr>
      <w:rFonts w:ascii="Times New Roman" w:eastAsia="SimSun" w:hAnsi="Times New Roman" w:cs="Times New Roman"/>
      <w:b/>
      <w:sz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4E895A-E062-40EE-AF93-D4538CE7F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Region Midtjylland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Niels Bang</dc:creator>
  <cp:keywords/>
  <dc:description/>
  <cp:lastModifiedBy>Niels Bang</cp:lastModifiedBy>
  <cp:revision>4</cp:revision>
  <dcterms:created xsi:type="dcterms:W3CDTF">2024-08-22T09:48:00Z</dcterms:created>
  <dcterms:modified xsi:type="dcterms:W3CDTF">2024-08-22T13:06:00Z</dcterms:modified>
</cp:coreProperties>
</file>