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4C74D" w14:textId="77777777" w:rsidR="00DE3AEF" w:rsidRPr="00E91031" w:rsidRDefault="00DE3AEF" w:rsidP="00DE3AE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E91031">
        <w:rPr>
          <w:rFonts w:ascii="Arial" w:hAnsi="Arial" w:cs="Arial"/>
          <w:sz w:val="24"/>
          <w:szCs w:val="24"/>
          <w:u w:val="single"/>
        </w:rPr>
        <w:t>Title</w:t>
      </w:r>
    </w:p>
    <w:p w14:paraId="51AEC477" w14:textId="77777777" w:rsidR="00DE3AEF" w:rsidRPr="001F10A8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Randomised c</w:t>
      </w:r>
      <w:r w:rsidRPr="00E91031">
        <w:rPr>
          <w:rFonts w:ascii="Arial" w:hAnsi="Arial" w:cs="Arial"/>
          <w:sz w:val="24"/>
          <w:szCs w:val="24"/>
        </w:rPr>
        <w:t>linical trial: The use of alginates during pre-investigation proton pump inhibitor washout</w:t>
      </w:r>
      <w:r w:rsidRPr="6B2E451F">
        <w:rPr>
          <w:rFonts w:ascii="Arial" w:hAnsi="Arial" w:cs="Arial"/>
          <w:sz w:val="24"/>
          <w:szCs w:val="24"/>
        </w:rPr>
        <w:t xml:space="preserve"> and their</w:t>
      </w:r>
      <w:r w:rsidRPr="00E91031">
        <w:rPr>
          <w:rFonts w:ascii="Arial" w:hAnsi="Arial" w:cs="Arial"/>
          <w:sz w:val="24"/>
          <w:szCs w:val="24"/>
        </w:rPr>
        <w:t xml:space="preserve"> impact on compliance and symptom burden</w:t>
      </w:r>
    </w:p>
    <w:p w14:paraId="38B3EDDC" w14:textId="77777777" w:rsidR="00DE3AEF" w:rsidRDefault="00DE3AEF" w:rsidP="00DE3AEF">
      <w:pPr>
        <w:spacing w:after="0" w:line="480" w:lineRule="auto"/>
        <w:rPr>
          <w:rFonts w:ascii="Arial" w:hAnsi="Arial" w:cs="Arial"/>
          <w:b/>
          <w:bCs/>
          <w:sz w:val="24"/>
          <w:szCs w:val="24"/>
        </w:rPr>
      </w:pPr>
    </w:p>
    <w:p w14:paraId="21461388" w14:textId="77777777" w:rsidR="00DE3AEF" w:rsidRPr="00DE4A2F" w:rsidRDefault="00DE3AEF" w:rsidP="00DE3AE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DE4A2F">
        <w:rPr>
          <w:rFonts w:ascii="Arial" w:hAnsi="Arial" w:cs="Arial"/>
          <w:sz w:val="24"/>
          <w:szCs w:val="24"/>
          <w:u w:val="single"/>
        </w:rPr>
        <w:t>Authors (Surname, First name)</w:t>
      </w:r>
    </w:p>
    <w:p w14:paraId="18680733" w14:textId="77777777" w:rsidR="00DE3AE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DE4A2F">
        <w:rPr>
          <w:rFonts w:ascii="Arial" w:hAnsi="Arial" w:cs="Arial"/>
          <w:sz w:val="24"/>
          <w:szCs w:val="24"/>
        </w:rPr>
        <w:t>Vales, Andres</w:t>
      </w:r>
      <w:r w:rsidRPr="0059604B">
        <w:rPr>
          <w:rFonts w:ascii="Arial" w:hAnsi="Arial" w:cs="Arial"/>
          <w:sz w:val="24"/>
          <w:szCs w:val="24"/>
          <w:vertAlign w:val="superscript"/>
        </w:rPr>
        <w:t>1</w:t>
      </w:r>
      <w:r>
        <w:rPr>
          <w:rFonts w:ascii="Arial" w:hAnsi="Arial" w:cs="Arial"/>
          <w:sz w:val="24"/>
          <w:szCs w:val="24"/>
        </w:rPr>
        <w:t xml:space="preserve">; </w:t>
      </w:r>
      <w:r w:rsidRPr="00DE4A2F">
        <w:rPr>
          <w:rFonts w:ascii="Arial" w:hAnsi="Arial" w:cs="Arial"/>
          <w:sz w:val="24"/>
          <w:szCs w:val="24"/>
        </w:rPr>
        <w:t>Coyle, Cathal</w:t>
      </w:r>
      <w:r w:rsidRPr="0059604B">
        <w:rPr>
          <w:rFonts w:ascii="Arial" w:hAnsi="Arial" w:cs="Arial"/>
          <w:sz w:val="24"/>
          <w:szCs w:val="24"/>
          <w:vertAlign w:val="superscript"/>
        </w:rPr>
        <w:t>2</w:t>
      </w:r>
      <w:r w:rsidRPr="00DE4A2F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DE4A2F">
        <w:rPr>
          <w:rFonts w:ascii="Arial" w:hAnsi="Arial" w:cs="Arial"/>
          <w:sz w:val="24"/>
          <w:szCs w:val="24"/>
        </w:rPr>
        <w:t>Plehhova</w:t>
      </w:r>
      <w:proofErr w:type="spellEnd"/>
      <w:r w:rsidRPr="00DE4A2F">
        <w:rPr>
          <w:rFonts w:ascii="Arial" w:hAnsi="Arial" w:cs="Arial"/>
          <w:sz w:val="24"/>
          <w:szCs w:val="24"/>
        </w:rPr>
        <w:t>, Kate</w:t>
      </w:r>
      <w:r w:rsidRPr="0059604B">
        <w:rPr>
          <w:rFonts w:ascii="Arial" w:hAnsi="Arial" w:cs="Arial"/>
          <w:sz w:val="24"/>
          <w:szCs w:val="24"/>
          <w:vertAlign w:val="superscript"/>
        </w:rPr>
        <w:t>2</w:t>
      </w:r>
      <w:r w:rsidRPr="00DE4A2F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  <w:r w:rsidRPr="00DE4A2F">
        <w:rPr>
          <w:rFonts w:ascii="Arial" w:hAnsi="Arial" w:cs="Arial"/>
          <w:sz w:val="24"/>
          <w:szCs w:val="24"/>
        </w:rPr>
        <w:t>Hobson, Anthony</w:t>
      </w:r>
      <w:r w:rsidRPr="0059604B">
        <w:rPr>
          <w:rFonts w:ascii="Arial" w:hAnsi="Arial" w:cs="Arial"/>
          <w:sz w:val="24"/>
          <w:szCs w:val="24"/>
          <w:vertAlign w:val="superscript"/>
        </w:rPr>
        <w:t>1</w:t>
      </w:r>
      <w:r w:rsidRPr="00DE4A2F">
        <w:rPr>
          <w:rFonts w:ascii="Arial" w:hAnsi="Arial" w:cs="Arial"/>
          <w:sz w:val="24"/>
          <w:szCs w:val="24"/>
        </w:rPr>
        <w:t>; Woodland, Philip</w:t>
      </w:r>
      <w:r w:rsidRPr="0059604B">
        <w:rPr>
          <w:rFonts w:ascii="Arial" w:hAnsi="Arial" w:cs="Arial"/>
          <w:sz w:val="24"/>
          <w:szCs w:val="24"/>
          <w:vertAlign w:val="superscript"/>
        </w:rPr>
        <w:t>3</w:t>
      </w:r>
    </w:p>
    <w:p w14:paraId="69E8EB3E" w14:textId="77777777" w:rsidR="00DE3AE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2795A0D0" w14:textId="77777777" w:rsidR="00DE3AE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Institutions</w:t>
      </w:r>
    </w:p>
    <w:p w14:paraId="324705A2" w14:textId="77777777" w:rsidR="00DE3AEF" w:rsidRPr="00DE4A2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DE4A2F">
        <w:rPr>
          <w:rFonts w:ascii="Arial" w:hAnsi="Arial" w:cs="Arial"/>
          <w:sz w:val="24"/>
          <w:szCs w:val="24"/>
        </w:rPr>
        <w:t>1. The Functional Gut Clinic, London, United Kingdom.</w:t>
      </w:r>
    </w:p>
    <w:p w14:paraId="69AFE8EC" w14:textId="77777777" w:rsidR="00DE3AEF" w:rsidRPr="00DE4A2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DE4A2F">
        <w:rPr>
          <w:rFonts w:ascii="Arial" w:hAnsi="Arial" w:cs="Arial"/>
          <w:sz w:val="24"/>
          <w:szCs w:val="24"/>
        </w:rPr>
        <w:t>2. Reckitt Benckiser Plc, Slough, United Kingdom.</w:t>
      </w:r>
    </w:p>
    <w:p w14:paraId="1C87941B" w14:textId="77777777" w:rsidR="00DE3AE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DE4A2F">
        <w:rPr>
          <w:rFonts w:ascii="Arial" w:hAnsi="Arial" w:cs="Arial"/>
          <w:sz w:val="24"/>
          <w:szCs w:val="24"/>
        </w:rPr>
        <w:t>3. Barts Health NHS Trust, London, United Kingdom.</w:t>
      </w:r>
    </w:p>
    <w:p w14:paraId="184998A4" w14:textId="77777777" w:rsidR="00DE3AE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3C52D833" w14:textId="77777777" w:rsidR="00DE3AE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Summary/Abstract</w:t>
      </w:r>
    </w:p>
    <w:p w14:paraId="513CEF19" w14:textId="77777777" w:rsidR="00DE3AEF" w:rsidRPr="004B266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4B266F">
        <w:rPr>
          <w:rFonts w:ascii="Arial" w:hAnsi="Arial" w:cs="Arial"/>
          <w:sz w:val="24"/>
          <w:szCs w:val="24"/>
        </w:rPr>
        <w:t>Background</w:t>
      </w:r>
      <w:r>
        <w:rPr>
          <w:rFonts w:ascii="Arial" w:hAnsi="Arial" w:cs="Arial"/>
          <w:sz w:val="24"/>
          <w:szCs w:val="24"/>
        </w:rPr>
        <w:t>/Aims</w:t>
      </w:r>
    </w:p>
    <w:p w14:paraId="29AD725E" w14:textId="77777777" w:rsidR="00DE3AEF" w:rsidRPr="004B266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4B266F">
        <w:rPr>
          <w:rFonts w:ascii="Arial" w:hAnsi="Arial" w:cs="Arial"/>
          <w:sz w:val="24"/>
          <w:szCs w:val="24"/>
        </w:rPr>
        <w:t>nvestigation of gastro</w:t>
      </w:r>
      <w:r>
        <w:rPr>
          <w:rFonts w:ascii="Arial" w:hAnsi="Arial" w:cs="Arial"/>
          <w:sz w:val="24"/>
          <w:szCs w:val="24"/>
        </w:rPr>
        <w:t>-o</w:t>
      </w:r>
      <w:r w:rsidRPr="004B266F">
        <w:rPr>
          <w:rFonts w:ascii="Arial" w:hAnsi="Arial" w:cs="Arial"/>
          <w:sz w:val="24"/>
          <w:szCs w:val="24"/>
        </w:rPr>
        <w:t>esophageal reflux</w:t>
      </w:r>
      <w:r>
        <w:rPr>
          <w:rFonts w:ascii="Arial" w:hAnsi="Arial" w:cs="Arial"/>
          <w:sz w:val="24"/>
          <w:szCs w:val="24"/>
        </w:rPr>
        <w:t xml:space="preserve"> disease is usually performed off Proton Pump Inhibitors (</w:t>
      </w:r>
      <w:r w:rsidRPr="0D1898CC">
        <w:rPr>
          <w:rFonts w:ascii="Arial" w:hAnsi="Arial" w:cs="Arial"/>
          <w:sz w:val="24"/>
          <w:szCs w:val="24"/>
        </w:rPr>
        <w:t>PPIs</w:t>
      </w:r>
      <w:r>
        <w:rPr>
          <w:rFonts w:ascii="Arial" w:hAnsi="Arial" w:cs="Arial"/>
          <w:sz w:val="24"/>
          <w:szCs w:val="24"/>
        </w:rPr>
        <w:t>)</w:t>
      </w:r>
      <w:r w:rsidRPr="004B266F">
        <w:rPr>
          <w:rFonts w:ascii="Arial" w:hAnsi="Arial" w:cs="Arial"/>
          <w:sz w:val="24"/>
          <w:szCs w:val="24"/>
        </w:rPr>
        <w:t xml:space="preserve">. This can </w:t>
      </w:r>
      <w:r>
        <w:rPr>
          <w:rFonts w:ascii="Arial" w:hAnsi="Arial" w:cs="Arial"/>
          <w:sz w:val="24"/>
          <w:szCs w:val="24"/>
        </w:rPr>
        <w:t xml:space="preserve">exacerbate symptoms, </w:t>
      </w:r>
      <w:r w:rsidRPr="004B266F">
        <w:rPr>
          <w:rFonts w:ascii="Arial" w:hAnsi="Arial" w:cs="Arial"/>
          <w:sz w:val="24"/>
          <w:szCs w:val="24"/>
        </w:rPr>
        <w:t>potential</w:t>
      </w:r>
      <w:r>
        <w:rPr>
          <w:rFonts w:ascii="Arial" w:hAnsi="Arial" w:cs="Arial"/>
          <w:sz w:val="24"/>
          <w:szCs w:val="24"/>
        </w:rPr>
        <w:t>ly</w:t>
      </w:r>
      <w:r w:rsidRPr="004B266F">
        <w:rPr>
          <w:rFonts w:ascii="Arial" w:hAnsi="Arial" w:cs="Arial"/>
          <w:sz w:val="24"/>
          <w:szCs w:val="24"/>
        </w:rPr>
        <w:t xml:space="preserve"> impact</w:t>
      </w:r>
      <w:r>
        <w:rPr>
          <w:rFonts w:ascii="Arial" w:hAnsi="Arial" w:cs="Arial"/>
          <w:sz w:val="24"/>
          <w:szCs w:val="24"/>
        </w:rPr>
        <w:t xml:space="preserve">ing </w:t>
      </w:r>
      <w:r w:rsidRPr="004B266F">
        <w:rPr>
          <w:rFonts w:ascii="Arial" w:hAnsi="Arial" w:cs="Arial"/>
          <w:sz w:val="24"/>
          <w:szCs w:val="24"/>
        </w:rPr>
        <w:t>investigation accuracy if patients circumvent the pre-investigation instructions. There are no standard recommendations on how to manage PPI withdrawal. We aimed to assess the impact of structured alginate use on symptom burden.</w:t>
      </w:r>
    </w:p>
    <w:p w14:paraId="7E094348" w14:textId="77777777" w:rsidR="00DE3AEF" w:rsidRPr="004B266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446717C5" w14:textId="77777777" w:rsidR="00DE3AEF" w:rsidRPr="004B266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4B266F">
        <w:rPr>
          <w:rFonts w:ascii="Arial" w:hAnsi="Arial" w:cs="Arial"/>
          <w:sz w:val="24"/>
          <w:szCs w:val="24"/>
        </w:rPr>
        <w:t>Methods</w:t>
      </w:r>
    </w:p>
    <w:p w14:paraId="4207A8B9" w14:textId="77777777" w:rsidR="00DE3AEF" w:rsidRPr="004B266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4B266F">
        <w:rPr>
          <w:rFonts w:ascii="Arial" w:hAnsi="Arial" w:cs="Arial"/>
          <w:sz w:val="24"/>
          <w:szCs w:val="24"/>
        </w:rPr>
        <w:t>articipants were already established on ≥</w:t>
      </w:r>
      <w:r>
        <w:rPr>
          <w:rFonts w:ascii="Arial" w:hAnsi="Arial" w:cs="Arial"/>
          <w:sz w:val="24"/>
          <w:szCs w:val="24"/>
        </w:rPr>
        <w:t>four-</w:t>
      </w:r>
      <w:r w:rsidRPr="004B266F">
        <w:rPr>
          <w:rFonts w:ascii="Arial" w:hAnsi="Arial" w:cs="Arial"/>
          <w:sz w:val="24"/>
          <w:szCs w:val="24"/>
        </w:rPr>
        <w:t xml:space="preserve">weeks of PPI therapy and being referred for manometry and 24-hour pH/impedance testing. </w:t>
      </w:r>
      <w:r>
        <w:rPr>
          <w:rFonts w:ascii="Arial" w:hAnsi="Arial" w:cs="Arial"/>
          <w:sz w:val="24"/>
          <w:szCs w:val="24"/>
        </w:rPr>
        <w:t>Pre-investigation instructions involved stopping</w:t>
      </w:r>
      <w:r w:rsidRPr="004B266F">
        <w:rPr>
          <w:rFonts w:ascii="Arial" w:hAnsi="Arial" w:cs="Arial"/>
          <w:sz w:val="24"/>
          <w:szCs w:val="24"/>
        </w:rPr>
        <w:t xml:space="preserve"> PPIs and H2 receptor antagonists for </w:t>
      </w:r>
      <w:r>
        <w:rPr>
          <w:rFonts w:ascii="Arial" w:hAnsi="Arial" w:cs="Arial"/>
          <w:sz w:val="24"/>
          <w:szCs w:val="24"/>
        </w:rPr>
        <w:t>one</w:t>
      </w:r>
      <w:r w:rsidRPr="004B266F">
        <w:rPr>
          <w:rFonts w:ascii="Arial" w:hAnsi="Arial" w:cs="Arial"/>
          <w:sz w:val="24"/>
          <w:szCs w:val="24"/>
        </w:rPr>
        <w:t xml:space="preserve">-week, but </w:t>
      </w:r>
      <w:r w:rsidRPr="004B266F">
        <w:rPr>
          <w:rFonts w:ascii="Arial" w:hAnsi="Arial" w:cs="Arial"/>
          <w:sz w:val="24"/>
          <w:szCs w:val="24"/>
        </w:rPr>
        <w:lastRenderedPageBreak/>
        <w:t xml:space="preserve">antacids and alginates </w:t>
      </w:r>
      <w:r>
        <w:rPr>
          <w:rFonts w:ascii="Arial" w:hAnsi="Arial" w:cs="Arial"/>
          <w:sz w:val="24"/>
          <w:szCs w:val="24"/>
        </w:rPr>
        <w:t>were allowed</w:t>
      </w:r>
      <w:r w:rsidRPr="004B266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until</w:t>
      </w:r>
      <w:r w:rsidRPr="004B266F">
        <w:rPr>
          <w:rFonts w:ascii="Arial" w:hAnsi="Arial" w:cs="Arial"/>
          <w:sz w:val="24"/>
          <w:szCs w:val="24"/>
        </w:rPr>
        <w:t xml:space="preserve"> the night before. Participants were randomised to</w:t>
      </w:r>
      <w:r>
        <w:rPr>
          <w:rFonts w:ascii="Arial" w:hAnsi="Arial" w:cs="Arial"/>
          <w:sz w:val="24"/>
          <w:szCs w:val="24"/>
        </w:rPr>
        <w:t xml:space="preserve"> </w:t>
      </w:r>
      <w:r w:rsidRPr="004B266F">
        <w:rPr>
          <w:rFonts w:ascii="Arial" w:hAnsi="Arial" w:cs="Arial"/>
          <w:sz w:val="24"/>
          <w:szCs w:val="24"/>
        </w:rPr>
        <w:t xml:space="preserve">follow </w:t>
      </w:r>
      <w:r>
        <w:rPr>
          <w:rFonts w:ascii="Arial" w:hAnsi="Arial" w:cs="Arial"/>
          <w:sz w:val="24"/>
          <w:szCs w:val="24"/>
        </w:rPr>
        <w:t xml:space="preserve">these </w:t>
      </w:r>
      <w:r w:rsidRPr="4C4C2649">
        <w:rPr>
          <w:rFonts w:ascii="Arial" w:hAnsi="Arial" w:cs="Arial"/>
          <w:sz w:val="24"/>
          <w:szCs w:val="24"/>
        </w:rPr>
        <w:t xml:space="preserve">standard </w:t>
      </w:r>
      <w:r>
        <w:rPr>
          <w:rFonts w:ascii="Arial" w:hAnsi="Arial" w:cs="Arial"/>
          <w:sz w:val="24"/>
          <w:szCs w:val="24"/>
        </w:rPr>
        <w:t>instructions</w:t>
      </w:r>
      <w:r w:rsidRPr="004B266F">
        <w:rPr>
          <w:rFonts w:ascii="Arial" w:hAnsi="Arial" w:cs="Arial"/>
          <w:sz w:val="24"/>
          <w:szCs w:val="24"/>
        </w:rPr>
        <w:t xml:space="preserve"> (control group), or the same </w:t>
      </w:r>
      <w:r>
        <w:rPr>
          <w:rFonts w:ascii="Arial" w:hAnsi="Arial" w:cs="Arial"/>
          <w:sz w:val="24"/>
          <w:szCs w:val="24"/>
        </w:rPr>
        <w:t xml:space="preserve">instructions </w:t>
      </w:r>
      <w:r w:rsidRPr="004B266F">
        <w:rPr>
          <w:rFonts w:ascii="Arial" w:hAnsi="Arial" w:cs="Arial"/>
          <w:sz w:val="24"/>
          <w:szCs w:val="24"/>
        </w:rPr>
        <w:t xml:space="preserve">with the provision of Gaviscon Advance to </w:t>
      </w:r>
      <w:r>
        <w:rPr>
          <w:rFonts w:ascii="Arial" w:hAnsi="Arial" w:cs="Arial"/>
          <w:sz w:val="24"/>
          <w:szCs w:val="24"/>
        </w:rPr>
        <w:t xml:space="preserve">be </w:t>
      </w:r>
      <w:r w:rsidRPr="004B266F">
        <w:rPr>
          <w:rFonts w:ascii="Arial" w:hAnsi="Arial" w:cs="Arial"/>
          <w:sz w:val="24"/>
          <w:szCs w:val="24"/>
        </w:rPr>
        <w:t>take</w:t>
      </w:r>
      <w:r>
        <w:rPr>
          <w:rFonts w:ascii="Arial" w:hAnsi="Arial" w:cs="Arial"/>
          <w:sz w:val="24"/>
          <w:szCs w:val="24"/>
        </w:rPr>
        <w:t xml:space="preserve">n four </w:t>
      </w:r>
      <w:r w:rsidRPr="004B266F">
        <w:rPr>
          <w:rFonts w:ascii="Arial" w:hAnsi="Arial" w:cs="Arial"/>
          <w:sz w:val="24"/>
          <w:szCs w:val="24"/>
        </w:rPr>
        <w:t xml:space="preserve">times </w:t>
      </w:r>
      <w:r>
        <w:rPr>
          <w:rFonts w:ascii="Arial" w:hAnsi="Arial" w:cs="Arial"/>
          <w:sz w:val="24"/>
          <w:szCs w:val="24"/>
        </w:rPr>
        <w:t xml:space="preserve">daily </w:t>
      </w:r>
      <w:r w:rsidRPr="004B266F">
        <w:rPr>
          <w:rFonts w:ascii="Arial" w:hAnsi="Arial" w:cs="Arial"/>
          <w:sz w:val="24"/>
          <w:szCs w:val="24"/>
        </w:rPr>
        <w:t>(treatment group). The primary outcome assessed change in Gastroesophageal Reflux Disease Health Related Quality of Life Score.</w:t>
      </w:r>
    </w:p>
    <w:p w14:paraId="3AE097FA" w14:textId="77777777" w:rsidR="00DE3AEF" w:rsidRPr="004B266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55331255" w14:textId="77777777" w:rsidR="00DE3AEF" w:rsidRPr="004B266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4B266F">
        <w:rPr>
          <w:rFonts w:ascii="Arial" w:hAnsi="Arial" w:cs="Arial"/>
          <w:sz w:val="24"/>
          <w:szCs w:val="24"/>
        </w:rPr>
        <w:t>Key Results</w:t>
      </w:r>
    </w:p>
    <w:p w14:paraId="23532FC8" w14:textId="77777777" w:rsidR="00DE3AEF" w:rsidRPr="00AB7BD1" w:rsidRDefault="00DE3AEF" w:rsidP="00DE3AEF">
      <w:pPr>
        <w:spacing w:after="0"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4B266F">
        <w:rPr>
          <w:rFonts w:ascii="Arial" w:hAnsi="Arial" w:cs="Arial"/>
          <w:sz w:val="24"/>
          <w:szCs w:val="24"/>
        </w:rPr>
        <w:t>Data for 48 patients were available for primary outcome</w:t>
      </w:r>
      <w:r>
        <w:rPr>
          <w:rFonts w:ascii="Arial" w:hAnsi="Arial" w:cs="Arial"/>
          <w:sz w:val="24"/>
          <w:szCs w:val="24"/>
        </w:rPr>
        <w:t xml:space="preserve"> assessment</w:t>
      </w:r>
      <w:r w:rsidRPr="004B266F">
        <w:rPr>
          <w:rFonts w:ascii="Arial" w:hAnsi="Arial" w:cs="Arial"/>
          <w:sz w:val="24"/>
          <w:szCs w:val="24"/>
        </w:rPr>
        <w:t xml:space="preserve">. Whilst patients in the control group had a significant increase in symptoms </w:t>
      </w:r>
      <w:r w:rsidRPr="00104CD0">
        <w:rPr>
          <w:rFonts w:ascii="Arial" w:hAnsi="Arial" w:cs="Arial"/>
          <w:sz w:val="24"/>
          <w:szCs w:val="24"/>
        </w:rPr>
        <w:t>(median difference 6.5, 95% CI (1, 7), p=0.04)</w:t>
      </w:r>
      <w:r w:rsidRPr="004B266F">
        <w:rPr>
          <w:rFonts w:ascii="Arial" w:hAnsi="Arial" w:cs="Arial"/>
          <w:sz w:val="24"/>
          <w:szCs w:val="24"/>
        </w:rPr>
        <w:t xml:space="preserve">, no change </w:t>
      </w:r>
      <w:r>
        <w:rPr>
          <w:rFonts w:ascii="Arial" w:hAnsi="Arial" w:cs="Arial"/>
          <w:sz w:val="24"/>
          <w:szCs w:val="24"/>
        </w:rPr>
        <w:t xml:space="preserve">occurred </w:t>
      </w:r>
      <w:r w:rsidRPr="004B266F">
        <w:rPr>
          <w:rFonts w:ascii="Arial" w:hAnsi="Arial" w:cs="Arial"/>
          <w:sz w:val="24"/>
          <w:szCs w:val="24"/>
        </w:rPr>
        <w:t xml:space="preserve">in the treatment arm </w:t>
      </w:r>
      <w:r w:rsidRPr="00C22007">
        <w:rPr>
          <w:rFonts w:ascii="Arial" w:hAnsi="Arial" w:cs="Arial"/>
          <w:sz w:val="24"/>
          <w:szCs w:val="24"/>
        </w:rPr>
        <w:t>(median difference -3, 95% CI (-7, 1), p=0.10)</w:t>
      </w:r>
      <w:r w:rsidRPr="004B266F">
        <w:rPr>
          <w:rFonts w:ascii="Arial" w:hAnsi="Arial" w:cs="Arial"/>
          <w:sz w:val="24"/>
          <w:szCs w:val="24"/>
        </w:rPr>
        <w:t>.</w:t>
      </w:r>
      <w:r w:rsidRPr="00C22007">
        <w:rPr>
          <w:rFonts w:ascii="Arial" w:hAnsi="Arial" w:cs="Arial"/>
          <w:sz w:val="24"/>
          <w:szCs w:val="24"/>
        </w:rPr>
        <w:t xml:space="preserve"> There were no serious adverse events.</w:t>
      </w:r>
    </w:p>
    <w:p w14:paraId="495CCA85" w14:textId="77777777" w:rsidR="00DE3AEF" w:rsidRPr="004B266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07D2395F" w14:textId="77777777" w:rsidR="00DE3AEF" w:rsidRPr="004B266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4B266F">
        <w:rPr>
          <w:rFonts w:ascii="Arial" w:hAnsi="Arial" w:cs="Arial"/>
          <w:sz w:val="24"/>
          <w:szCs w:val="24"/>
        </w:rPr>
        <w:t>Conclusions</w:t>
      </w:r>
    </w:p>
    <w:p w14:paraId="26EF97F4" w14:textId="77777777" w:rsidR="00DE3AEF" w:rsidRPr="004B266F" w:rsidRDefault="00DE3AEF" w:rsidP="00DE3AEF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4B266F">
        <w:rPr>
          <w:rFonts w:ascii="Arial" w:hAnsi="Arial" w:cs="Arial"/>
          <w:sz w:val="24"/>
          <w:szCs w:val="24"/>
        </w:rPr>
        <w:t>tructured alginate</w:t>
      </w:r>
      <w:r>
        <w:rPr>
          <w:rFonts w:ascii="Arial" w:hAnsi="Arial" w:cs="Arial"/>
          <w:sz w:val="24"/>
          <w:szCs w:val="24"/>
        </w:rPr>
        <w:t xml:space="preserve"> u</w:t>
      </w:r>
      <w:r w:rsidRPr="004B266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e</w:t>
      </w:r>
      <w:r w:rsidRPr="004B266F">
        <w:rPr>
          <w:rFonts w:ascii="Arial" w:hAnsi="Arial" w:cs="Arial"/>
          <w:sz w:val="24"/>
          <w:szCs w:val="24"/>
        </w:rPr>
        <w:t xml:space="preserve"> prevent</w:t>
      </w:r>
      <w:r>
        <w:rPr>
          <w:rFonts w:ascii="Arial" w:hAnsi="Arial" w:cs="Arial"/>
          <w:sz w:val="24"/>
          <w:szCs w:val="24"/>
        </w:rPr>
        <w:t>s</w:t>
      </w:r>
      <w:r w:rsidRPr="004B266F">
        <w:rPr>
          <w:rFonts w:ascii="Arial" w:hAnsi="Arial" w:cs="Arial"/>
          <w:sz w:val="24"/>
          <w:szCs w:val="24"/>
        </w:rPr>
        <w:t xml:space="preserve"> symptom exacerbation </w:t>
      </w:r>
      <w:r>
        <w:rPr>
          <w:rFonts w:ascii="Arial" w:hAnsi="Arial" w:cs="Arial"/>
          <w:sz w:val="24"/>
          <w:szCs w:val="24"/>
        </w:rPr>
        <w:t xml:space="preserve">during pre-investigation </w:t>
      </w:r>
      <w:r w:rsidRPr="004B266F">
        <w:rPr>
          <w:rFonts w:ascii="Arial" w:hAnsi="Arial" w:cs="Arial"/>
          <w:sz w:val="24"/>
          <w:szCs w:val="24"/>
        </w:rPr>
        <w:t xml:space="preserve">PPI </w:t>
      </w:r>
      <w:r>
        <w:rPr>
          <w:rFonts w:ascii="Arial" w:hAnsi="Arial" w:cs="Arial"/>
          <w:sz w:val="24"/>
          <w:szCs w:val="24"/>
        </w:rPr>
        <w:t>washout</w:t>
      </w:r>
      <w:r w:rsidRPr="004B266F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These findings</w:t>
      </w:r>
      <w:r w:rsidRPr="004B266F">
        <w:rPr>
          <w:rFonts w:ascii="Arial" w:hAnsi="Arial" w:cs="Arial"/>
          <w:sz w:val="24"/>
          <w:szCs w:val="24"/>
        </w:rPr>
        <w:t xml:space="preserve"> are limited to the </w:t>
      </w:r>
      <w:r>
        <w:rPr>
          <w:rFonts w:ascii="Arial" w:hAnsi="Arial" w:cs="Arial"/>
          <w:sz w:val="24"/>
          <w:szCs w:val="24"/>
        </w:rPr>
        <w:t>one</w:t>
      </w:r>
      <w:r w:rsidRPr="004B266F">
        <w:rPr>
          <w:rFonts w:ascii="Arial" w:hAnsi="Arial" w:cs="Arial"/>
          <w:sz w:val="24"/>
          <w:szCs w:val="24"/>
        </w:rPr>
        <w:t>-week washout period but can benefit</w:t>
      </w:r>
      <w:r>
        <w:rPr>
          <w:rFonts w:ascii="Arial" w:hAnsi="Arial" w:cs="Arial"/>
          <w:sz w:val="24"/>
          <w:szCs w:val="24"/>
        </w:rPr>
        <w:t xml:space="preserve"> </w:t>
      </w:r>
      <w:r w:rsidRPr="004B266F">
        <w:rPr>
          <w:rFonts w:ascii="Arial" w:hAnsi="Arial" w:cs="Arial"/>
          <w:sz w:val="24"/>
          <w:szCs w:val="24"/>
        </w:rPr>
        <w:t>thousands of patients undergoing investigation for gastro</w:t>
      </w:r>
      <w:r>
        <w:rPr>
          <w:rFonts w:ascii="Arial" w:hAnsi="Arial" w:cs="Arial"/>
          <w:sz w:val="24"/>
          <w:szCs w:val="24"/>
        </w:rPr>
        <w:t>-o</w:t>
      </w:r>
      <w:r w:rsidRPr="004B266F">
        <w:rPr>
          <w:rFonts w:ascii="Arial" w:hAnsi="Arial" w:cs="Arial"/>
          <w:sz w:val="24"/>
          <w:szCs w:val="24"/>
        </w:rPr>
        <w:t>esophageal reflux each year. Further research is required to assess this effect in other settings, such as sustained PPI deprescription.</w:t>
      </w:r>
      <w:r w:rsidRPr="0088B501">
        <w:rPr>
          <w:rFonts w:ascii="Arial" w:hAnsi="Arial" w:cs="Arial"/>
          <w:sz w:val="24"/>
          <w:szCs w:val="24"/>
        </w:rPr>
        <w:t xml:space="preserve"> EudraCT registration 2019-004561-41.</w:t>
      </w:r>
      <w:r>
        <w:rPr>
          <w:rFonts w:ascii="Arial" w:hAnsi="Arial" w:cs="Arial"/>
          <w:sz w:val="24"/>
          <w:szCs w:val="24"/>
        </w:rPr>
        <w:t xml:space="preserve"> The trial was funded by Reckitt Benckiser.</w:t>
      </w:r>
    </w:p>
    <w:p w14:paraId="194E7DD4" w14:textId="77777777" w:rsidR="00DE3AEF" w:rsidRDefault="00DE3AEF"/>
    <w:sectPr w:rsidR="00DE3A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A503D"/>
    <w:multiLevelType w:val="hybridMultilevel"/>
    <w:tmpl w:val="D04472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D9B78F5"/>
    <w:multiLevelType w:val="hybridMultilevel"/>
    <w:tmpl w:val="9C0ACF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2952498">
    <w:abstractNumId w:val="1"/>
  </w:num>
  <w:num w:numId="2" w16cid:durableId="1818765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revisionView w:comments="0" w:insDel="0" w:formatting="0"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AEF"/>
    <w:rsid w:val="00DE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63030"/>
  <w15:chartTrackingRefBased/>
  <w15:docId w15:val="{762E70DD-4726-4285-9E08-A0C203B4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A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A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Vales</dc:creator>
  <cp:keywords/>
  <dc:description/>
  <cp:lastModifiedBy>Andres Vales</cp:lastModifiedBy>
  <cp:revision>1</cp:revision>
  <dcterms:created xsi:type="dcterms:W3CDTF">2022-11-08T13:47:00Z</dcterms:created>
  <dcterms:modified xsi:type="dcterms:W3CDTF">2022-11-08T13:48:00Z</dcterms:modified>
</cp:coreProperties>
</file>