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3CE" w:rsidRPr="000943CE" w:rsidRDefault="000943CE" w:rsidP="000943CE">
      <w:pPr>
        <w:spacing w:line="240" w:lineRule="auto"/>
        <w:ind w:left="357"/>
        <w:rPr>
          <w:b/>
          <w:sz w:val="20"/>
          <w:szCs w:val="20"/>
          <w:u w:val="single"/>
          <w:lang w:val="en-GB"/>
        </w:rPr>
      </w:pPr>
      <w:r w:rsidRPr="000943CE">
        <w:rPr>
          <w:b/>
          <w:sz w:val="20"/>
          <w:szCs w:val="20"/>
          <w:u w:val="single"/>
          <w:lang w:val="en-GB"/>
        </w:rPr>
        <w:t>Summary</w:t>
      </w:r>
    </w:p>
    <w:p w:rsidR="000943CE" w:rsidRPr="00043CDC" w:rsidRDefault="000943CE" w:rsidP="000943CE">
      <w:pPr>
        <w:spacing w:line="240" w:lineRule="auto"/>
        <w:ind w:left="357"/>
        <w:rPr>
          <w:sz w:val="20"/>
          <w:szCs w:val="20"/>
          <w:lang w:val="en-GB"/>
        </w:rPr>
      </w:pPr>
      <w:r w:rsidRPr="0074467C">
        <w:rPr>
          <w:sz w:val="20"/>
          <w:szCs w:val="20"/>
          <w:lang w:val="en-GB"/>
        </w:rPr>
        <w:t xml:space="preserve">This </w:t>
      </w:r>
      <w:r>
        <w:rPr>
          <w:sz w:val="20"/>
          <w:szCs w:val="20"/>
          <w:lang w:val="en-GB"/>
        </w:rPr>
        <w:t xml:space="preserve">project was aimed at studying an innovative </w:t>
      </w:r>
      <w:r w:rsidRPr="0074467C">
        <w:rPr>
          <w:sz w:val="20"/>
          <w:szCs w:val="20"/>
          <w:lang w:val="en-GB"/>
        </w:rPr>
        <w:t>application of the clinical therapeutic compound (</w:t>
      </w:r>
      <w:r w:rsidRPr="0074467C">
        <w:rPr>
          <w:sz w:val="20"/>
          <w:szCs w:val="20"/>
          <w:lang w:val="en-GB" w:eastAsia="en-US"/>
        </w:rPr>
        <w:t>Alkaline Phosphatase</w:t>
      </w:r>
      <w:r>
        <w:rPr>
          <w:sz w:val="20"/>
          <w:szCs w:val="20"/>
          <w:lang w:val="en-GB" w:eastAsia="en-US"/>
        </w:rPr>
        <w:t>, AP</w:t>
      </w:r>
      <w:r w:rsidRPr="0074467C">
        <w:rPr>
          <w:sz w:val="20"/>
          <w:szCs w:val="20"/>
          <w:lang w:val="en-GB"/>
        </w:rPr>
        <w:t>) and an in-</w:t>
      </w:r>
      <w:proofErr w:type="spellStart"/>
      <w:r w:rsidRPr="0074467C">
        <w:rPr>
          <w:sz w:val="20"/>
          <w:szCs w:val="20"/>
          <w:lang w:val="en-GB"/>
        </w:rPr>
        <w:t>silico</w:t>
      </w:r>
      <w:proofErr w:type="spellEnd"/>
      <w:r w:rsidRPr="0074467C">
        <w:rPr>
          <w:sz w:val="20"/>
          <w:szCs w:val="20"/>
          <w:lang w:val="en-GB"/>
        </w:rPr>
        <w:t xml:space="preserve"> study aiming to optimise treatment of burn wounds in clinical care procedures that facilitate intensive care decision processes towards individ</w:t>
      </w:r>
      <w:r>
        <w:rPr>
          <w:sz w:val="20"/>
          <w:szCs w:val="20"/>
          <w:lang w:val="en-GB"/>
        </w:rPr>
        <w:t xml:space="preserve">ual patient specific treatment. Patients with major burns experience a profound </w:t>
      </w:r>
      <w:proofErr w:type="spellStart"/>
      <w:r>
        <w:rPr>
          <w:sz w:val="20"/>
          <w:szCs w:val="20"/>
          <w:lang w:val="en-GB"/>
        </w:rPr>
        <w:t>hypermetabolic</w:t>
      </w:r>
      <w:proofErr w:type="spellEnd"/>
      <w:r>
        <w:rPr>
          <w:sz w:val="20"/>
          <w:szCs w:val="20"/>
          <w:lang w:val="en-GB"/>
        </w:rPr>
        <w:t xml:space="preserve"> inflammatory response which not only affects the skin but also has systemic effects in other organs. </w:t>
      </w:r>
      <w:r w:rsidRPr="00AD5ACC">
        <w:rPr>
          <w:sz w:val="20"/>
          <w:szCs w:val="20"/>
          <w:lang w:val="en-GB"/>
        </w:rPr>
        <w:t xml:space="preserve">Although </w:t>
      </w:r>
      <w:proofErr w:type="spellStart"/>
      <w:r w:rsidRPr="00AD5ACC">
        <w:rPr>
          <w:sz w:val="20"/>
          <w:szCs w:val="20"/>
          <w:lang w:val="en-GB"/>
        </w:rPr>
        <w:t>polytrauma</w:t>
      </w:r>
      <w:proofErr w:type="spellEnd"/>
      <w:r w:rsidRPr="00AD5ACC">
        <w:rPr>
          <w:sz w:val="20"/>
          <w:szCs w:val="20"/>
          <w:lang w:val="en-GB"/>
        </w:rPr>
        <w:t xml:space="preserve"> and sepsis both result in a state of</w:t>
      </w:r>
      <w:r>
        <w:rPr>
          <w:sz w:val="20"/>
          <w:szCs w:val="20"/>
          <w:lang w:val="en-GB"/>
        </w:rPr>
        <w:t xml:space="preserve"> </w:t>
      </w:r>
      <w:proofErr w:type="spellStart"/>
      <w:r w:rsidRPr="00AD5ACC">
        <w:rPr>
          <w:sz w:val="20"/>
          <w:szCs w:val="20"/>
          <w:lang w:val="en-GB"/>
        </w:rPr>
        <w:t>hypermetabolism</w:t>
      </w:r>
      <w:proofErr w:type="spellEnd"/>
      <w:r w:rsidRPr="00AD5ACC">
        <w:rPr>
          <w:sz w:val="20"/>
          <w:szCs w:val="20"/>
          <w:lang w:val="en-GB"/>
        </w:rPr>
        <w:t xml:space="preserve">, the degree of </w:t>
      </w:r>
      <w:proofErr w:type="spellStart"/>
      <w:r w:rsidRPr="00AD5ACC">
        <w:rPr>
          <w:sz w:val="20"/>
          <w:szCs w:val="20"/>
          <w:lang w:val="en-GB"/>
        </w:rPr>
        <w:t>hypermetabolism</w:t>
      </w:r>
      <w:proofErr w:type="spellEnd"/>
      <w:r w:rsidRPr="00AD5ACC">
        <w:rPr>
          <w:sz w:val="20"/>
          <w:szCs w:val="20"/>
          <w:lang w:val="en-GB"/>
        </w:rPr>
        <w:t xml:space="preserve"> in burns is substantially higher. As a</w:t>
      </w:r>
      <w:r>
        <w:rPr>
          <w:sz w:val="20"/>
          <w:szCs w:val="20"/>
          <w:lang w:val="en-GB"/>
        </w:rPr>
        <w:t xml:space="preserve"> </w:t>
      </w:r>
      <w:r w:rsidRPr="00AD5ACC">
        <w:rPr>
          <w:sz w:val="20"/>
          <w:szCs w:val="20"/>
          <w:lang w:val="en-GB"/>
        </w:rPr>
        <w:t>result there is a pressing need for novel strategies to diminish</w:t>
      </w:r>
      <w:r>
        <w:rPr>
          <w:sz w:val="20"/>
          <w:szCs w:val="20"/>
          <w:lang w:val="en-GB"/>
        </w:rPr>
        <w:t xml:space="preserve"> and regulate this response. At present no treatment for this condition exists, and no prediction model is available to support clinical decision making. Our</w:t>
      </w:r>
      <w:r w:rsidRPr="0074467C">
        <w:rPr>
          <w:sz w:val="20"/>
          <w:szCs w:val="20"/>
          <w:lang w:val="en-GB" w:eastAsia="en-US"/>
        </w:rPr>
        <w:t xml:space="preserve"> objectives were 1) to assess the safety and preliminary efficacy of </w:t>
      </w:r>
      <w:r>
        <w:rPr>
          <w:sz w:val="20"/>
          <w:szCs w:val="20"/>
          <w:lang w:val="en-GB" w:eastAsia="en-US"/>
        </w:rPr>
        <w:t>AP</w:t>
      </w:r>
      <w:r w:rsidRPr="0074467C">
        <w:rPr>
          <w:sz w:val="20"/>
          <w:szCs w:val="20"/>
          <w:lang w:val="en-GB" w:eastAsia="en-US"/>
        </w:rPr>
        <w:t xml:space="preserve"> in reducing the inflammatory reaction in severely burned patie</w:t>
      </w:r>
      <w:bookmarkStart w:id="0" w:name="_GoBack"/>
      <w:bookmarkEnd w:id="0"/>
      <w:r w:rsidRPr="0074467C">
        <w:rPr>
          <w:sz w:val="20"/>
          <w:szCs w:val="20"/>
          <w:lang w:val="en-GB" w:eastAsia="en-US"/>
        </w:rPr>
        <w:t xml:space="preserve">nts admitted to the intensive care unit and 2) to develop a mathematical model of the dynamics of the innate immune response in these burns patients </w:t>
      </w:r>
      <w:r w:rsidRPr="0074467C">
        <w:rPr>
          <w:sz w:val="20"/>
          <w:szCs w:val="20"/>
          <w:lang w:val="en-GB"/>
        </w:rPr>
        <w:t xml:space="preserve">to quantitatively understand the dynamics of the inflammatory response, with and without </w:t>
      </w:r>
      <w:r>
        <w:rPr>
          <w:sz w:val="20"/>
          <w:szCs w:val="20"/>
          <w:lang w:val="en-GB" w:eastAsia="en-US"/>
        </w:rPr>
        <w:t>AP</w:t>
      </w:r>
      <w:r w:rsidRPr="0074467C">
        <w:rPr>
          <w:sz w:val="20"/>
          <w:szCs w:val="20"/>
          <w:lang w:val="en-GB"/>
        </w:rPr>
        <w:t>, and to predict and assess the possible effects of the size of the burn wound, time-window to burn excision and wound healing dynamics at large.</w:t>
      </w:r>
    </w:p>
    <w:p w:rsidR="000943CE" w:rsidRPr="00D531BD" w:rsidRDefault="000943CE" w:rsidP="000943CE">
      <w:pPr>
        <w:spacing w:line="240" w:lineRule="auto"/>
        <w:ind w:left="357"/>
        <w:rPr>
          <w:color w:val="FF0000"/>
          <w:sz w:val="20"/>
          <w:szCs w:val="20"/>
          <w:lang w:val="en-GB"/>
        </w:rPr>
      </w:pPr>
    </w:p>
    <w:p w:rsidR="000943CE" w:rsidRPr="00673E3E" w:rsidRDefault="000943CE" w:rsidP="000943CE">
      <w:pPr>
        <w:pStyle w:val="Lijstalinea"/>
        <w:spacing w:after="200" w:line="240" w:lineRule="auto"/>
        <w:ind w:left="357"/>
        <w:rPr>
          <w:sz w:val="20"/>
          <w:szCs w:val="20"/>
          <w:u w:val="single"/>
          <w:lang w:val="en-GB"/>
        </w:rPr>
      </w:pPr>
      <w:r w:rsidRPr="00673E3E">
        <w:rPr>
          <w:sz w:val="20"/>
          <w:szCs w:val="20"/>
          <w:u w:val="single"/>
          <w:lang w:val="en-GB"/>
        </w:rPr>
        <w:t>Methods</w:t>
      </w:r>
    </w:p>
    <w:p w:rsidR="000943CE" w:rsidRPr="00043CDC" w:rsidRDefault="000943CE" w:rsidP="000943CE">
      <w:pPr>
        <w:pStyle w:val="Lijstalinea"/>
        <w:spacing w:after="200" w:line="240" w:lineRule="auto"/>
        <w:ind w:left="357"/>
        <w:rPr>
          <w:sz w:val="20"/>
          <w:szCs w:val="20"/>
          <w:lang w:val="en-GB" w:eastAsia="en-US"/>
        </w:rPr>
      </w:pPr>
      <w:r w:rsidRPr="00942C5E">
        <w:rPr>
          <w:sz w:val="20"/>
          <w:szCs w:val="20"/>
          <w:lang w:val="en-GB" w:eastAsia="en-US"/>
        </w:rPr>
        <w:t xml:space="preserve">To assess the safety and preliminary efficacy of </w:t>
      </w:r>
      <w:r>
        <w:rPr>
          <w:sz w:val="20"/>
          <w:szCs w:val="20"/>
          <w:lang w:val="en-GB" w:eastAsia="en-US"/>
        </w:rPr>
        <w:t>AP</w:t>
      </w:r>
      <w:r w:rsidRPr="00942C5E">
        <w:rPr>
          <w:sz w:val="20"/>
          <w:szCs w:val="20"/>
          <w:lang w:val="en-GB" w:eastAsia="en-US"/>
        </w:rPr>
        <w:t xml:space="preserve"> in severely burned patients</w:t>
      </w:r>
      <w:r>
        <w:rPr>
          <w:sz w:val="20"/>
          <w:szCs w:val="20"/>
          <w:lang w:val="en-GB" w:eastAsia="en-US"/>
        </w:rPr>
        <w:t>,</w:t>
      </w:r>
      <w:r w:rsidRPr="00942C5E">
        <w:rPr>
          <w:sz w:val="20"/>
          <w:szCs w:val="20"/>
          <w:lang w:val="en-GB" w:eastAsia="en-US"/>
        </w:rPr>
        <w:t xml:space="preserve"> we conducted a </w:t>
      </w:r>
      <w:r w:rsidRPr="00942C5E">
        <w:rPr>
          <w:sz w:val="20"/>
          <w:szCs w:val="20"/>
          <w:lang w:val="en-GB"/>
        </w:rPr>
        <w:t>si</w:t>
      </w:r>
      <w:r>
        <w:rPr>
          <w:sz w:val="20"/>
          <w:szCs w:val="20"/>
          <w:lang w:val="en-GB"/>
        </w:rPr>
        <w:t xml:space="preserve">ngle-arm </w:t>
      </w:r>
      <w:r w:rsidRPr="00942C5E">
        <w:rPr>
          <w:sz w:val="20"/>
          <w:szCs w:val="20"/>
          <w:lang w:val="en-GB"/>
        </w:rPr>
        <w:t>exploratory combined phase I/</w:t>
      </w:r>
      <w:proofErr w:type="spellStart"/>
      <w:r w:rsidRPr="00942C5E">
        <w:rPr>
          <w:sz w:val="20"/>
          <w:szCs w:val="20"/>
          <w:lang w:val="en-GB"/>
        </w:rPr>
        <w:t>IIa</w:t>
      </w:r>
      <w:proofErr w:type="spellEnd"/>
      <w:r w:rsidRPr="00942C5E">
        <w:rPr>
          <w:sz w:val="20"/>
          <w:szCs w:val="20"/>
          <w:lang w:val="en-GB"/>
        </w:rPr>
        <w:t xml:space="preserve"> trial</w:t>
      </w:r>
      <w:r>
        <w:rPr>
          <w:sz w:val="20"/>
          <w:szCs w:val="20"/>
          <w:lang w:val="en-GB"/>
        </w:rPr>
        <w:t xml:space="preserve"> </w:t>
      </w:r>
      <w:r w:rsidRPr="00942C5E">
        <w:rPr>
          <w:sz w:val="20"/>
          <w:szCs w:val="20"/>
          <w:lang w:val="en-GB"/>
        </w:rPr>
        <w:t xml:space="preserve">in 10 adult patients with partial/full thickness acute thermal burns of at least 15% of the total body surface area, admitted to the burn Intensive Care Unit in the Red Cross hospital, Beverwijk, the Netherlands. The study </w:t>
      </w:r>
      <w:r>
        <w:rPr>
          <w:sz w:val="20"/>
          <w:szCs w:val="20"/>
          <w:lang w:val="en-GB"/>
        </w:rPr>
        <w:t>ran</w:t>
      </w:r>
      <w:r w:rsidRPr="00942C5E">
        <w:rPr>
          <w:sz w:val="20"/>
          <w:szCs w:val="20"/>
          <w:lang w:val="en-GB"/>
        </w:rPr>
        <w:t xml:space="preserve"> between August 2021 and July 2023. </w:t>
      </w:r>
      <w:r>
        <w:rPr>
          <w:sz w:val="20"/>
          <w:szCs w:val="20"/>
          <w:lang w:val="en-GB"/>
        </w:rPr>
        <w:t xml:space="preserve">For 7 days, </w:t>
      </w:r>
      <w:r w:rsidRPr="00942C5E">
        <w:rPr>
          <w:sz w:val="20"/>
          <w:szCs w:val="20"/>
          <w:lang w:val="en-GB"/>
        </w:rPr>
        <w:t>patient</w:t>
      </w:r>
      <w:r>
        <w:rPr>
          <w:sz w:val="20"/>
          <w:szCs w:val="20"/>
          <w:lang w:val="en-GB"/>
        </w:rPr>
        <w:t>s</w:t>
      </w:r>
      <w:r w:rsidRPr="00942C5E">
        <w:rPr>
          <w:sz w:val="20"/>
          <w:szCs w:val="20"/>
          <w:lang w:val="en-GB"/>
        </w:rPr>
        <w:t xml:space="preserve"> receive</w:t>
      </w:r>
      <w:r>
        <w:rPr>
          <w:sz w:val="20"/>
          <w:szCs w:val="20"/>
          <w:lang w:val="en-GB"/>
        </w:rPr>
        <w:t>d</w:t>
      </w:r>
      <w:r w:rsidRPr="00942C5E">
        <w:rPr>
          <w:sz w:val="20"/>
          <w:szCs w:val="20"/>
          <w:lang w:val="en-GB"/>
        </w:rPr>
        <w:t xml:space="preserve"> </w:t>
      </w:r>
      <w:r>
        <w:rPr>
          <w:sz w:val="20"/>
          <w:szCs w:val="20"/>
          <w:lang w:val="en-GB"/>
        </w:rPr>
        <w:t xml:space="preserve">a daily dose of 10.000 units of intravenous AP. </w:t>
      </w:r>
      <w:r w:rsidRPr="00942C5E">
        <w:rPr>
          <w:sz w:val="20"/>
          <w:szCs w:val="20"/>
          <w:lang w:val="en-GB"/>
        </w:rPr>
        <w:t xml:space="preserve">The safety as in number of (serious) adverse events within 30 days or </w:t>
      </w:r>
      <w:r>
        <w:rPr>
          <w:sz w:val="20"/>
          <w:szCs w:val="20"/>
          <w:lang w:val="en-GB"/>
        </w:rPr>
        <w:t xml:space="preserve">until </w:t>
      </w:r>
      <w:r w:rsidRPr="00942C5E">
        <w:rPr>
          <w:sz w:val="20"/>
          <w:szCs w:val="20"/>
          <w:lang w:val="en-GB"/>
        </w:rPr>
        <w:t>discharge out of hospital after initiation</w:t>
      </w:r>
      <w:r>
        <w:rPr>
          <w:sz w:val="20"/>
          <w:szCs w:val="20"/>
          <w:lang w:val="en-GB"/>
        </w:rPr>
        <w:t xml:space="preserve"> of AP treatment was the primary </w:t>
      </w:r>
      <w:r w:rsidRPr="00942C5E">
        <w:rPr>
          <w:sz w:val="20"/>
          <w:szCs w:val="20"/>
          <w:lang w:val="en-GB"/>
        </w:rPr>
        <w:t xml:space="preserve">endpoint. Preliminary efficacy </w:t>
      </w:r>
      <w:r>
        <w:rPr>
          <w:sz w:val="20"/>
          <w:szCs w:val="20"/>
          <w:lang w:val="en-GB"/>
        </w:rPr>
        <w:t xml:space="preserve">was </w:t>
      </w:r>
      <w:r w:rsidRPr="00942C5E">
        <w:rPr>
          <w:sz w:val="20"/>
          <w:szCs w:val="20"/>
          <w:lang w:val="en-GB"/>
        </w:rPr>
        <w:t>assessed by comparative analyses</w:t>
      </w:r>
      <w:r>
        <w:rPr>
          <w:sz w:val="20"/>
          <w:szCs w:val="20"/>
          <w:lang w:val="en-GB"/>
        </w:rPr>
        <w:t xml:space="preserve"> with a standa</w:t>
      </w:r>
      <w:r w:rsidRPr="00942C5E">
        <w:rPr>
          <w:sz w:val="20"/>
          <w:szCs w:val="20"/>
          <w:lang w:val="en-GB"/>
        </w:rPr>
        <w:t>rd of care (control) group consisting of 20</w:t>
      </w:r>
      <w:r w:rsidRPr="00942C5E">
        <w:rPr>
          <w:sz w:val="20"/>
          <w:szCs w:val="20"/>
          <w:lang w:val="en-US"/>
        </w:rPr>
        <w:t xml:space="preserve"> pa</w:t>
      </w:r>
      <w:r w:rsidRPr="00673E3E">
        <w:rPr>
          <w:sz w:val="20"/>
          <w:szCs w:val="20"/>
          <w:lang w:val="en-US"/>
        </w:rPr>
        <w:t xml:space="preserve">tients admitted to the Intensive Care Unit of the Red Cross Hospital (SLIB study, NL56217.094.15). Samples of </w:t>
      </w:r>
      <w:r w:rsidRPr="00673E3E">
        <w:rPr>
          <w:sz w:val="20"/>
          <w:szCs w:val="20"/>
          <w:lang w:val="en-GB"/>
        </w:rPr>
        <w:t>both the SLIB study and AP study were analysed according to standardized and/or validated procedures</w:t>
      </w:r>
      <w:r>
        <w:rPr>
          <w:sz w:val="20"/>
          <w:szCs w:val="20"/>
          <w:lang w:val="en-GB"/>
        </w:rPr>
        <w:t xml:space="preserve"> (</w:t>
      </w:r>
      <w:proofErr w:type="spellStart"/>
      <w:r>
        <w:rPr>
          <w:sz w:val="20"/>
          <w:szCs w:val="20"/>
          <w:lang w:val="en-GB"/>
        </w:rPr>
        <w:t>i.e</w:t>
      </w:r>
      <w:proofErr w:type="spellEnd"/>
      <w:r>
        <w:rPr>
          <w:sz w:val="20"/>
          <w:szCs w:val="20"/>
          <w:lang w:val="en-GB"/>
        </w:rPr>
        <w:t xml:space="preserve"> Clinical Chemistry lab hospital, </w:t>
      </w:r>
      <w:proofErr w:type="spellStart"/>
      <w:r>
        <w:rPr>
          <w:sz w:val="20"/>
          <w:szCs w:val="20"/>
          <w:lang w:val="en-GB"/>
        </w:rPr>
        <w:t>FLEXmap</w:t>
      </w:r>
      <w:proofErr w:type="spellEnd"/>
      <w:r>
        <w:rPr>
          <w:sz w:val="20"/>
          <w:szCs w:val="20"/>
          <w:lang w:val="en-GB"/>
        </w:rPr>
        <w:t>, flow cytometry)</w:t>
      </w:r>
      <w:r w:rsidRPr="00673E3E">
        <w:rPr>
          <w:sz w:val="20"/>
          <w:szCs w:val="20"/>
          <w:lang w:val="en-GB"/>
        </w:rPr>
        <w:t>.</w:t>
      </w:r>
    </w:p>
    <w:p w:rsidR="000943CE" w:rsidRDefault="000943CE" w:rsidP="000943CE">
      <w:pPr>
        <w:pStyle w:val="Lijstalinea"/>
        <w:spacing w:after="200" w:line="240" w:lineRule="auto"/>
        <w:ind w:left="357" w:firstLine="267"/>
        <w:rPr>
          <w:sz w:val="20"/>
          <w:szCs w:val="20"/>
          <w:lang w:val="en-GB" w:eastAsia="en-US"/>
        </w:rPr>
      </w:pPr>
      <w:r>
        <w:rPr>
          <w:sz w:val="20"/>
          <w:szCs w:val="20"/>
          <w:lang w:val="en-GB" w:eastAsia="en-US"/>
        </w:rPr>
        <w:t>T</w:t>
      </w:r>
      <w:r w:rsidRPr="0074467C">
        <w:rPr>
          <w:sz w:val="20"/>
          <w:szCs w:val="20"/>
          <w:lang w:val="en-GB" w:eastAsia="en-US"/>
        </w:rPr>
        <w:t>o develop a</w:t>
      </w:r>
      <w:r>
        <w:rPr>
          <w:sz w:val="20"/>
          <w:szCs w:val="20"/>
          <w:lang w:val="en-GB" w:eastAsia="en-US"/>
        </w:rPr>
        <w:t>n innovative</w:t>
      </w:r>
      <w:r w:rsidRPr="0074467C">
        <w:rPr>
          <w:sz w:val="20"/>
          <w:szCs w:val="20"/>
          <w:lang w:val="en-GB" w:eastAsia="en-US"/>
        </w:rPr>
        <w:t xml:space="preserve"> mathematical model of the dynamics of the innate immune response in burn patients</w:t>
      </w:r>
      <w:r>
        <w:rPr>
          <w:sz w:val="20"/>
          <w:szCs w:val="20"/>
          <w:lang w:val="en-GB" w:eastAsia="en-US"/>
        </w:rPr>
        <w:t xml:space="preserve"> we developed a basic conceptual model, based on expert knowledge and relevant literature regarding the post-burn innate immune response. This conceptual model was used to explore the relevant key players in innate immune response. Using the findings from conceptual model as model definitions, w</w:t>
      </w:r>
      <w:r w:rsidRPr="00010E25">
        <w:rPr>
          <w:sz w:val="20"/>
          <w:szCs w:val="20"/>
          <w:lang w:val="en-GB" w:eastAsia="en-US"/>
        </w:rPr>
        <w:t xml:space="preserve">e developed an agent-based </w:t>
      </w:r>
      <w:r>
        <w:rPr>
          <w:sz w:val="20"/>
          <w:szCs w:val="20"/>
          <w:lang w:val="en-GB" w:eastAsia="en-US"/>
        </w:rPr>
        <w:t xml:space="preserve">mathematical </w:t>
      </w:r>
      <w:r w:rsidRPr="00010E25">
        <w:rPr>
          <w:sz w:val="20"/>
          <w:szCs w:val="20"/>
          <w:lang w:val="en-GB" w:eastAsia="en-US"/>
        </w:rPr>
        <w:t xml:space="preserve">model (ABM) with the dynamics of inflammation after burn injuries, including changes in cell counts and cytokine levels. The simulation domain was separated into blood and tissue compartments. Each of these compartments contained solutes and cell agents. Solutes comprise pro-inflammatory cytokines, anti-inflammatory cytokines and inflammation triggering factors. The solutes diffuse around the domain based on their concentration profiles. The cells include mast cells, neutrophils, and macrophages, and were </w:t>
      </w:r>
      <w:proofErr w:type="spellStart"/>
      <w:r w:rsidRPr="00010E25">
        <w:rPr>
          <w:sz w:val="20"/>
          <w:szCs w:val="20"/>
          <w:lang w:val="en-GB" w:eastAsia="en-US"/>
        </w:rPr>
        <w:t>modeled</w:t>
      </w:r>
      <w:proofErr w:type="spellEnd"/>
      <w:r w:rsidRPr="00010E25">
        <w:rPr>
          <w:sz w:val="20"/>
          <w:szCs w:val="20"/>
          <w:lang w:val="en-GB" w:eastAsia="en-US"/>
        </w:rPr>
        <w:t xml:space="preserve"> as independent agents. The cells are motile and exhibit chemotaxis based on concentrations gradients of the solutes. In addition, the cells secrete various solutes that in turn alter the dynamics and responses of the burn wound system.</w:t>
      </w:r>
    </w:p>
    <w:p w:rsidR="000943CE" w:rsidRDefault="000943CE" w:rsidP="000943CE">
      <w:pPr>
        <w:pStyle w:val="Lijstalinea"/>
        <w:spacing w:after="200" w:line="240" w:lineRule="auto"/>
        <w:ind w:left="357"/>
        <w:rPr>
          <w:sz w:val="20"/>
          <w:szCs w:val="20"/>
          <w:lang w:val="en-GB" w:eastAsia="en-US"/>
        </w:rPr>
      </w:pPr>
    </w:p>
    <w:p w:rsidR="000943CE" w:rsidRPr="00673E3E" w:rsidRDefault="000943CE" w:rsidP="000943CE">
      <w:pPr>
        <w:pStyle w:val="Lijstalinea"/>
        <w:spacing w:after="200" w:line="240" w:lineRule="auto"/>
        <w:ind w:left="357"/>
        <w:rPr>
          <w:sz w:val="20"/>
          <w:szCs w:val="20"/>
          <w:u w:val="single"/>
          <w:lang w:val="en-GB"/>
        </w:rPr>
      </w:pPr>
      <w:r w:rsidRPr="00673E3E">
        <w:rPr>
          <w:sz w:val="20"/>
          <w:szCs w:val="20"/>
          <w:u w:val="single"/>
          <w:lang w:val="en-GB"/>
        </w:rPr>
        <w:t>Results</w:t>
      </w:r>
    </w:p>
    <w:p w:rsidR="000943CE" w:rsidRDefault="000943CE" w:rsidP="000943CE">
      <w:pPr>
        <w:pStyle w:val="Lijstalinea"/>
        <w:spacing w:after="200" w:line="240" w:lineRule="auto"/>
        <w:ind w:left="357"/>
        <w:rPr>
          <w:rFonts w:cs="Segoe UI"/>
          <w:sz w:val="20"/>
          <w:szCs w:val="20"/>
          <w:shd w:val="clear" w:color="auto" w:fill="FFFFFF"/>
          <w:lang w:val="en-GB"/>
        </w:rPr>
      </w:pPr>
      <w:r w:rsidRPr="00673E3E">
        <w:rPr>
          <w:sz w:val="20"/>
          <w:szCs w:val="20"/>
          <w:lang w:val="en-US"/>
        </w:rPr>
        <w:t xml:space="preserve">The local and systemic cytokine and immune cell profile of the </w:t>
      </w:r>
      <w:r>
        <w:rPr>
          <w:sz w:val="20"/>
          <w:szCs w:val="20"/>
          <w:lang w:val="en-US"/>
        </w:rPr>
        <w:t xml:space="preserve">group of </w:t>
      </w:r>
      <w:r w:rsidRPr="00673E3E">
        <w:rPr>
          <w:sz w:val="20"/>
          <w:szCs w:val="20"/>
          <w:lang w:val="en-US"/>
        </w:rPr>
        <w:t>20 burn patients</w:t>
      </w:r>
      <w:r>
        <w:rPr>
          <w:sz w:val="20"/>
          <w:szCs w:val="20"/>
          <w:lang w:val="en-US"/>
        </w:rPr>
        <w:t xml:space="preserve"> </w:t>
      </w:r>
      <w:r>
        <w:rPr>
          <w:sz w:val="20"/>
          <w:szCs w:val="20"/>
          <w:lang w:val="en-GB"/>
        </w:rPr>
        <w:t>(80% male; 80% flame burns; %burns 15-55%)</w:t>
      </w:r>
      <w:r w:rsidRPr="00673E3E">
        <w:rPr>
          <w:sz w:val="20"/>
          <w:szCs w:val="20"/>
          <w:lang w:val="en-US"/>
        </w:rPr>
        <w:t xml:space="preserve">, serving as </w:t>
      </w:r>
      <w:r w:rsidRPr="00673E3E">
        <w:rPr>
          <w:sz w:val="20"/>
          <w:szCs w:val="20"/>
          <w:lang w:val="en-GB"/>
        </w:rPr>
        <w:t>standard of care (control) group,</w:t>
      </w:r>
      <w:r w:rsidRPr="00673E3E">
        <w:rPr>
          <w:sz w:val="20"/>
          <w:szCs w:val="20"/>
          <w:lang w:val="en-US"/>
        </w:rPr>
        <w:t xml:space="preserve"> is completed and published</w:t>
      </w:r>
      <w:r>
        <w:rPr>
          <w:sz w:val="20"/>
          <w:szCs w:val="20"/>
          <w:lang w:val="en-US"/>
        </w:rPr>
        <w:t xml:space="preserve"> (Mulder et al Front </w:t>
      </w:r>
      <w:proofErr w:type="spellStart"/>
      <w:r>
        <w:rPr>
          <w:sz w:val="20"/>
          <w:szCs w:val="20"/>
          <w:lang w:val="en-US"/>
        </w:rPr>
        <w:t>Immunol</w:t>
      </w:r>
      <w:proofErr w:type="spellEnd"/>
      <w:r>
        <w:rPr>
          <w:sz w:val="20"/>
          <w:szCs w:val="20"/>
          <w:lang w:val="en-US"/>
        </w:rPr>
        <w:t xml:space="preserve"> 2021&amp;2022)</w:t>
      </w:r>
      <w:r w:rsidRPr="00673E3E">
        <w:rPr>
          <w:rFonts w:cs="Segoe UI"/>
          <w:sz w:val="20"/>
          <w:szCs w:val="20"/>
          <w:shd w:val="clear" w:color="auto" w:fill="FFFFFF"/>
          <w:lang w:val="en-GB"/>
        </w:rPr>
        <w:t xml:space="preserve">. </w:t>
      </w:r>
      <w:r>
        <w:rPr>
          <w:rFonts w:cs="Segoe UI"/>
          <w:sz w:val="20"/>
          <w:szCs w:val="20"/>
          <w:shd w:val="clear" w:color="auto" w:fill="FFFFFF"/>
          <w:lang w:val="en-GB"/>
        </w:rPr>
        <w:t>We observed that s</w:t>
      </w:r>
      <w:r w:rsidRPr="00673E3E">
        <w:rPr>
          <w:rFonts w:cs="Segoe UI"/>
          <w:sz w:val="20"/>
          <w:szCs w:val="20"/>
          <w:shd w:val="clear" w:color="auto" w:fill="FFFFFF"/>
          <w:lang w:val="en-GB"/>
        </w:rPr>
        <w:t xml:space="preserve">evere burn injury induces a persistent innate inflammatory response, including a release of immature neutrophils, and shifts in the T cell composition toward an overall more pro-inflammatory phenotype, thereby </w:t>
      </w:r>
      <w:r w:rsidRPr="00673E3E">
        <w:rPr>
          <w:rFonts w:cs="Segoe UI"/>
          <w:sz w:val="20"/>
          <w:szCs w:val="20"/>
          <w:shd w:val="clear" w:color="auto" w:fill="FFFFFF"/>
          <w:lang w:val="en-GB"/>
        </w:rPr>
        <w:lastRenderedPageBreak/>
        <w:t>continuing systemic inflammation and increasing the risk of secondary complications. The local burn immune response shows similarities to the systemic immune reaction, but differs in neutrophil maturity and lymphocyte composition. Altogether, the neutrophil surges, high levels of pro-inflammatory cytokines and limited immunosuppression might be key factors that prolong the inflammation phase and delay the wound healing process in burns.</w:t>
      </w:r>
    </w:p>
    <w:p w:rsidR="000943CE" w:rsidRDefault="000943CE" w:rsidP="000943CE">
      <w:pPr>
        <w:pStyle w:val="Lijstalinea"/>
        <w:spacing w:after="200" w:line="240" w:lineRule="auto"/>
        <w:ind w:left="357" w:firstLine="267"/>
        <w:rPr>
          <w:sz w:val="20"/>
          <w:szCs w:val="20"/>
          <w:lang w:val="en-GB" w:eastAsia="en-US"/>
        </w:rPr>
      </w:pPr>
      <w:r>
        <w:rPr>
          <w:sz w:val="20"/>
          <w:szCs w:val="20"/>
          <w:lang w:val="en-GB"/>
        </w:rPr>
        <w:t>For the group of 10 AP treated burn patients (70% male; 70% flame burns; %burns 16-38%), a</w:t>
      </w:r>
      <w:r w:rsidRPr="00673E3E">
        <w:rPr>
          <w:sz w:val="20"/>
          <w:szCs w:val="20"/>
          <w:lang w:val="en-GB"/>
        </w:rPr>
        <w:t>t present, the validation of the</w:t>
      </w:r>
      <w:r>
        <w:rPr>
          <w:sz w:val="20"/>
          <w:szCs w:val="20"/>
          <w:lang w:val="en-GB"/>
        </w:rPr>
        <w:t xml:space="preserve"> complete</w:t>
      </w:r>
      <w:r w:rsidRPr="00673E3E">
        <w:rPr>
          <w:sz w:val="20"/>
          <w:szCs w:val="20"/>
          <w:lang w:val="en-GB"/>
        </w:rPr>
        <w:t xml:space="preserve"> data</w:t>
      </w:r>
      <w:r>
        <w:rPr>
          <w:sz w:val="20"/>
          <w:szCs w:val="20"/>
          <w:lang w:val="en-GB"/>
        </w:rPr>
        <w:t>set</w:t>
      </w:r>
      <w:r w:rsidRPr="00673E3E">
        <w:rPr>
          <w:sz w:val="20"/>
          <w:szCs w:val="20"/>
          <w:lang w:val="en-GB"/>
        </w:rPr>
        <w:t xml:space="preserve"> is being finalized.</w:t>
      </w:r>
      <w:r>
        <w:rPr>
          <w:sz w:val="20"/>
          <w:szCs w:val="20"/>
          <w:lang w:val="en-GB"/>
        </w:rPr>
        <w:t xml:space="preserve"> After the first four patients, in April 2022, the safety committee reviewed and approved the interim report after which we included the</w:t>
      </w:r>
      <w:r w:rsidRPr="00673E3E">
        <w:rPr>
          <w:sz w:val="20"/>
          <w:szCs w:val="20"/>
          <w:lang w:val="en-GB"/>
        </w:rPr>
        <w:t xml:space="preserve"> remaining six patients.</w:t>
      </w:r>
      <w:r>
        <w:rPr>
          <w:sz w:val="20"/>
          <w:szCs w:val="20"/>
          <w:lang w:val="en-GB"/>
        </w:rPr>
        <w:t xml:space="preserve"> Definitive results of this study and that of the comparative analyses are expected in 2024. </w:t>
      </w:r>
      <w:r w:rsidRPr="00673E3E">
        <w:rPr>
          <w:sz w:val="20"/>
          <w:szCs w:val="20"/>
          <w:lang w:val="en-GB"/>
        </w:rPr>
        <w:t xml:space="preserve">We hypothesize that </w:t>
      </w:r>
      <w:r>
        <w:rPr>
          <w:sz w:val="20"/>
          <w:szCs w:val="20"/>
          <w:lang w:val="en-GB" w:eastAsia="en-US"/>
        </w:rPr>
        <w:t>AP</w:t>
      </w:r>
      <w:r w:rsidRPr="00673E3E">
        <w:rPr>
          <w:sz w:val="20"/>
          <w:szCs w:val="20"/>
          <w:lang w:val="en-GB" w:eastAsia="en-US"/>
        </w:rPr>
        <w:t xml:space="preserve"> can be applied safely in severe burn patients and that the product will show preliminary efficacy in reducing concentrations of inflammatory markers when</w:t>
      </w:r>
      <w:r w:rsidRPr="00673E3E">
        <w:rPr>
          <w:sz w:val="20"/>
          <w:szCs w:val="20"/>
          <w:lang w:val="en-GB"/>
        </w:rPr>
        <w:t xml:space="preserve"> compared </w:t>
      </w:r>
      <w:r w:rsidRPr="00673E3E">
        <w:rPr>
          <w:sz w:val="20"/>
          <w:szCs w:val="20"/>
          <w:lang w:val="en-GB" w:eastAsia="en-US"/>
        </w:rPr>
        <w:t>to regular care.</w:t>
      </w:r>
    </w:p>
    <w:p w:rsidR="000943CE" w:rsidRPr="00673E3E" w:rsidRDefault="000943CE" w:rsidP="000943CE">
      <w:pPr>
        <w:pStyle w:val="Lijstalinea"/>
        <w:spacing w:after="200" w:line="240" w:lineRule="auto"/>
        <w:ind w:left="357" w:firstLine="267"/>
        <w:rPr>
          <w:rFonts w:cs="Segoe UI"/>
          <w:color w:val="FF0000"/>
          <w:sz w:val="20"/>
          <w:szCs w:val="20"/>
          <w:shd w:val="clear" w:color="auto" w:fill="FFFFFF"/>
          <w:lang w:val="en-GB"/>
        </w:rPr>
      </w:pPr>
      <w:r>
        <w:rPr>
          <w:sz w:val="20"/>
          <w:szCs w:val="20"/>
          <w:lang w:val="en-GB" w:eastAsia="en-US"/>
        </w:rPr>
        <w:t xml:space="preserve">By numerically simulating the agent-based model from 0-4 days of post-burn, </w:t>
      </w:r>
      <w:r w:rsidRPr="00010E25">
        <w:rPr>
          <w:sz w:val="20"/>
          <w:szCs w:val="20"/>
          <w:lang w:val="en-GB" w:eastAsia="en-US"/>
        </w:rPr>
        <w:t>we successfully identified key factors influencing the acute inflammatory response</w:t>
      </w:r>
      <w:r>
        <w:rPr>
          <w:sz w:val="20"/>
          <w:szCs w:val="20"/>
          <w:lang w:val="en-GB" w:eastAsia="en-US"/>
        </w:rPr>
        <w:t>. This includes</w:t>
      </w:r>
      <w:r w:rsidRPr="00010E25">
        <w:rPr>
          <w:sz w:val="20"/>
          <w:szCs w:val="20"/>
          <w:lang w:val="en-GB" w:eastAsia="en-US"/>
        </w:rPr>
        <w:t xml:space="preserve"> the initial number of endothelial cells, the chemotaxis threshold, and the level of chemo attractants.</w:t>
      </w:r>
      <w:r w:rsidRPr="00BA0D95">
        <w:rPr>
          <w:lang w:val="en-GB"/>
        </w:rPr>
        <w:t xml:space="preserve"> </w:t>
      </w:r>
      <w:r w:rsidRPr="00010E25">
        <w:rPr>
          <w:sz w:val="20"/>
          <w:szCs w:val="20"/>
          <w:lang w:val="en-GB" w:eastAsia="en-US"/>
        </w:rPr>
        <w:t xml:space="preserve">Our findings highlight the pivotal role of the initial </w:t>
      </w:r>
      <w:r>
        <w:rPr>
          <w:sz w:val="20"/>
          <w:szCs w:val="20"/>
          <w:lang w:val="en-GB" w:eastAsia="en-US"/>
        </w:rPr>
        <w:t xml:space="preserve">endothelial </w:t>
      </w:r>
      <w:r w:rsidRPr="00010E25">
        <w:rPr>
          <w:sz w:val="20"/>
          <w:szCs w:val="20"/>
          <w:lang w:val="en-GB" w:eastAsia="en-US"/>
        </w:rPr>
        <w:t xml:space="preserve">cell count </w:t>
      </w:r>
      <w:r>
        <w:rPr>
          <w:sz w:val="20"/>
          <w:szCs w:val="20"/>
          <w:lang w:val="en-GB" w:eastAsia="en-US"/>
        </w:rPr>
        <w:t xml:space="preserve">in altering the dynamics, </w:t>
      </w:r>
      <w:r w:rsidRPr="00010E25">
        <w:rPr>
          <w:sz w:val="20"/>
          <w:szCs w:val="20"/>
          <w:lang w:val="en-GB" w:eastAsia="en-US"/>
        </w:rPr>
        <w:t>the intensity of inflammation and the timeline of acute inflammation, 0–4 days post-burn</w:t>
      </w:r>
      <w:r>
        <w:rPr>
          <w:sz w:val="20"/>
          <w:szCs w:val="20"/>
          <w:lang w:val="en-GB" w:eastAsia="en-US"/>
        </w:rPr>
        <w:t xml:space="preserve">. </w:t>
      </w:r>
    </w:p>
    <w:p w:rsidR="000943CE" w:rsidRDefault="000943CE" w:rsidP="000943CE">
      <w:pPr>
        <w:pStyle w:val="Lijstalinea"/>
        <w:spacing w:after="200" w:line="240" w:lineRule="auto"/>
        <w:ind w:left="357"/>
        <w:rPr>
          <w:sz w:val="20"/>
          <w:szCs w:val="20"/>
          <w:u w:val="single"/>
          <w:lang w:val="en-GB"/>
        </w:rPr>
      </w:pPr>
    </w:p>
    <w:p w:rsidR="000943CE" w:rsidRPr="000943CE" w:rsidRDefault="000943CE" w:rsidP="000943CE">
      <w:pPr>
        <w:pStyle w:val="Lijstalinea"/>
        <w:spacing w:after="200" w:line="240" w:lineRule="auto"/>
        <w:ind w:left="357"/>
        <w:rPr>
          <w:sz w:val="20"/>
          <w:szCs w:val="20"/>
          <w:u w:val="single"/>
          <w:lang w:val="en-GB"/>
        </w:rPr>
      </w:pPr>
      <w:r w:rsidRPr="00B70F9C">
        <w:rPr>
          <w:sz w:val="20"/>
          <w:szCs w:val="20"/>
          <w:u w:val="single"/>
          <w:lang w:val="en-GB"/>
        </w:rPr>
        <w:t>Conclusion</w:t>
      </w:r>
      <w:r>
        <w:rPr>
          <w:sz w:val="20"/>
          <w:szCs w:val="20"/>
          <w:u w:val="single"/>
          <w:lang w:val="en-GB"/>
        </w:rPr>
        <w:br/>
      </w:r>
      <w:r>
        <w:rPr>
          <w:rFonts w:eastAsia="Calibri"/>
          <w:sz w:val="20"/>
          <w:szCs w:val="20"/>
          <w:lang w:val="en-GB"/>
        </w:rPr>
        <w:t>A standard</w:t>
      </w:r>
      <w:r w:rsidRPr="00772456">
        <w:rPr>
          <w:rFonts w:eastAsia="Calibri"/>
          <w:sz w:val="20"/>
          <w:szCs w:val="20"/>
          <w:lang w:val="en-GB"/>
        </w:rPr>
        <w:t xml:space="preserve">-of-care systemic and local inflammatory response profile in severely burned patients was created. Insight into inflammatory cells and markers during the course of burn wound healing was gained. For studying potential relations with </w:t>
      </w:r>
      <w:r>
        <w:rPr>
          <w:rFonts w:eastAsia="Calibri"/>
          <w:sz w:val="20"/>
          <w:szCs w:val="20"/>
          <w:lang w:val="en-GB"/>
        </w:rPr>
        <w:t>patient</w:t>
      </w:r>
      <w:r w:rsidRPr="00772456">
        <w:rPr>
          <w:rFonts w:eastAsia="Calibri"/>
          <w:sz w:val="20"/>
          <w:szCs w:val="20"/>
          <w:lang w:val="en-GB"/>
        </w:rPr>
        <w:t xml:space="preserve"> an</w:t>
      </w:r>
      <w:r>
        <w:rPr>
          <w:rFonts w:eastAsia="Calibri"/>
          <w:sz w:val="20"/>
          <w:szCs w:val="20"/>
          <w:lang w:val="en-GB"/>
        </w:rPr>
        <w:t>d</w:t>
      </w:r>
      <w:r w:rsidRPr="00772456">
        <w:rPr>
          <w:rFonts w:eastAsia="Calibri"/>
          <w:sz w:val="20"/>
          <w:szCs w:val="20"/>
          <w:lang w:val="en-GB"/>
        </w:rPr>
        <w:t xml:space="preserve"> burn wound characteristics larger number</w:t>
      </w:r>
      <w:r>
        <w:rPr>
          <w:rFonts w:eastAsia="Calibri"/>
          <w:sz w:val="20"/>
          <w:szCs w:val="20"/>
          <w:lang w:val="en-GB"/>
        </w:rPr>
        <w:t>s</w:t>
      </w:r>
      <w:r w:rsidRPr="00772456">
        <w:rPr>
          <w:rFonts w:eastAsia="Calibri"/>
          <w:sz w:val="20"/>
          <w:szCs w:val="20"/>
          <w:lang w:val="en-GB"/>
        </w:rPr>
        <w:t xml:space="preserve"> of patients are needed. For the first time, AP was administered in severely burn</w:t>
      </w:r>
      <w:r>
        <w:rPr>
          <w:rFonts w:eastAsia="Calibri"/>
          <w:sz w:val="20"/>
          <w:szCs w:val="20"/>
          <w:lang w:val="en-GB"/>
        </w:rPr>
        <w:t>ed</w:t>
      </w:r>
      <w:r w:rsidRPr="00772456">
        <w:rPr>
          <w:rFonts w:eastAsia="Calibri"/>
          <w:sz w:val="20"/>
          <w:szCs w:val="20"/>
          <w:lang w:val="en-GB"/>
        </w:rPr>
        <w:t xml:space="preserve"> patients</w:t>
      </w:r>
      <w:r>
        <w:rPr>
          <w:rFonts w:eastAsia="Calibri"/>
          <w:sz w:val="20"/>
          <w:szCs w:val="20"/>
          <w:lang w:val="en-GB"/>
        </w:rPr>
        <w:t xml:space="preserve"> for the purpose of studying safety and preliminary efficacy</w:t>
      </w:r>
      <w:r w:rsidRPr="00772456">
        <w:rPr>
          <w:rFonts w:eastAsia="Calibri"/>
          <w:sz w:val="20"/>
          <w:szCs w:val="20"/>
          <w:lang w:val="en-GB"/>
        </w:rPr>
        <w:t xml:space="preserve">. </w:t>
      </w:r>
      <w:r w:rsidRPr="00772456">
        <w:rPr>
          <w:sz w:val="20"/>
          <w:szCs w:val="20"/>
          <w:lang w:val="en-GB"/>
        </w:rPr>
        <w:t>An agent-based c</w:t>
      </w:r>
      <w:r w:rsidRPr="00772456">
        <w:rPr>
          <w:rFonts w:cs="Arial"/>
          <w:sz w:val="20"/>
          <w:szCs w:val="20"/>
          <w:lang w:val="en-GB"/>
        </w:rPr>
        <w:t>omputational model of the post-burn innate immune response was buil</w:t>
      </w:r>
      <w:r>
        <w:rPr>
          <w:rFonts w:cs="Arial"/>
          <w:sz w:val="20"/>
          <w:szCs w:val="20"/>
          <w:lang w:val="en-GB"/>
        </w:rPr>
        <w:t>t</w:t>
      </w:r>
      <w:r w:rsidRPr="00772456">
        <w:rPr>
          <w:rFonts w:cs="Arial"/>
          <w:sz w:val="20"/>
          <w:szCs w:val="20"/>
          <w:lang w:val="en-GB"/>
        </w:rPr>
        <w:t xml:space="preserve">. This will be validated with clinical data upon availability. </w:t>
      </w:r>
      <w:r w:rsidRPr="00772456">
        <w:rPr>
          <w:sz w:val="20"/>
          <w:szCs w:val="20"/>
          <w:lang w:val="en-GB"/>
        </w:rPr>
        <w:t>Not all milestones and deliverables were achieved within the timeline of the project but these are expected in 2024.</w:t>
      </w:r>
      <w:r>
        <w:rPr>
          <w:sz w:val="20"/>
          <w:szCs w:val="20"/>
          <w:lang w:val="en-GB"/>
        </w:rPr>
        <w:t xml:space="preserve"> </w:t>
      </w:r>
      <w:r w:rsidRPr="00B70F9C">
        <w:rPr>
          <w:sz w:val="20"/>
          <w:szCs w:val="20"/>
          <w:lang w:val="en-GB"/>
        </w:rPr>
        <w:t xml:space="preserve">The results of this study can be used to further unravel the burn wound healing process, allow the development </w:t>
      </w:r>
      <w:r>
        <w:rPr>
          <w:sz w:val="20"/>
          <w:szCs w:val="20"/>
          <w:lang w:val="en-GB"/>
        </w:rPr>
        <w:t xml:space="preserve"> of </w:t>
      </w:r>
      <w:r w:rsidRPr="00B70F9C">
        <w:rPr>
          <w:sz w:val="20"/>
          <w:szCs w:val="20"/>
          <w:lang w:val="en-GB"/>
        </w:rPr>
        <w:t>new treatment strategies, and optimise intensive care decision processes towards individual patient specific treatment</w:t>
      </w:r>
    </w:p>
    <w:p w:rsidR="002607EF" w:rsidRDefault="002607EF"/>
    <w:sectPr w:rsidR="002607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3CE"/>
    <w:rsid w:val="000943CE"/>
    <w:rsid w:val="002607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4ED11"/>
  <w15:chartTrackingRefBased/>
  <w15:docId w15:val="{977CFBB7-C81B-4624-853D-624D7CAB2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943CE"/>
    <w:pPr>
      <w:spacing w:after="0" w:line="260" w:lineRule="atLeast"/>
    </w:pPr>
    <w:rPr>
      <w:rFonts w:ascii="Verdana" w:eastAsia="Times New Roman" w:hAnsi="Verdana" w:cs="Verdana"/>
      <w:sz w:val="17"/>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943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1013</Words>
  <Characters>5576</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Rode Kruis Ziekenhuis B.V.</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Anouk Pijpe</dc:creator>
  <cp:keywords/>
  <dc:description/>
  <cp:lastModifiedBy>Anouk Pijpe</cp:lastModifiedBy>
  <cp:revision>1</cp:revision>
  <dcterms:created xsi:type="dcterms:W3CDTF">2024-07-16T14:57:00Z</dcterms:created>
  <dcterms:modified xsi:type="dcterms:W3CDTF">2024-07-16T15:00:00Z</dcterms:modified>
</cp:coreProperties>
</file>