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5C21C" w14:textId="77777777" w:rsidR="00BB3F45" w:rsidRDefault="008D114A">
      <w:pPr>
        <w:pStyle w:val="Heading1"/>
      </w:pPr>
      <w:r>
        <w:t>Synopsis</w:t>
      </w:r>
    </w:p>
    <w:p w14:paraId="75247BF8" w14:textId="1615C3A8" w:rsidR="00BB3F45" w:rsidRPr="00F8174C" w:rsidRDefault="008D114A" w:rsidP="00F8174C">
      <w:pPr>
        <w:pStyle w:val="Text"/>
      </w:pPr>
      <w:r w:rsidRPr="00F8174C">
        <w:rPr>
          <w:b/>
          <w:bCs/>
        </w:rPr>
        <w:t>Name of product:</w:t>
      </w:r>
      <w:r w:rsidRPr="00F8174C">
        <w:t xml:space="preserve"> </w:t>
      </w:r>
      <w:r w:rsidR="00C441C5">
        <w:t>RP-L201 (</w:t>
      </w:r>
      <w:proofErr w:type="spellStart"/>
      <w:r w:rsidR="00DE58C2" w:rsidRPr="00DE58C2">
        <w:t>marnetegragene</w:t>
      </w:r>
      <w:proofErr w:type="spellEnd"/>
      <w:r w:rsidR="00DE58C2" w:rsidRPr="00DE58C2">
        <w:t xml:space="preserve"> autotemcel</w:t>
      </w:r>
      <w:r w:rsidR="00C441C5">
        <w:t>)</w:t>
      </w:r>
    </w:p>
    <w:p w14:paraId="1C460741" w14:textId="49F332EE" w:rsidR="00BB3F45" w:rsidRPr="00F8174C" w:rsidRDefault="008D114A" w:rsidP="00F8174C">
      <w:pPr>
        <w:pStyle w:val="Textstyle"/>
      </w:pPr>
      <w:r w:rsidRPr="00F8174C">
        <w:rPr>
          <w:b/>
          <w:bCs/>
        </w:rPr>
        <w:t>Protocol identification number:</w:t>
      </w:r>
      <w:r w:rsidRPr="00F8174C">
        <w:t xml:space="preserve"> </w:t>
      </w:r>
      <w:r w:rsidR="00535079">
        <w:t>RP-L201-0318</w:t>
      </w:r>
      <w:r w:rsidR="004D4FD6">
        <w:t xml:space="preserve">, </w:t>
      </w:r>
      <w:r w:rsidR="004D4FD6" w:rsidRPr="004D4FD6">
        <w:t>EudraCT no. 2020-000517-33</w:t>
      </w:r>
    </w:p>
    <w:p w14:paraId="698AC8D7" w14:textId="2A571EB1" w:rsidR="00BB3F45" w:rsidRPr="00F8174C" w:rsidRDefault="008D114A" w:rsidP="00F8174C">
      <w:pPr>
        <w:pStyle w:val="Textstyle"/>
      </w:pPr>
      <w:r w:rsidRPr="00F8174C">
        <w:rPr>
          <w:b/>
          <w:bCs/>
        </w:rPr>
        <w:t>Title of study:</w:t>
      </w:r>
      <w:r w:rsidRPr="00F8174C">
        <w:t xml:space="preserve"> </w:t>
      </w:r>
      <w:r w:rsidR="005C66AB" w:rsidRPr="005C66AB">
        <w:t xml:space="preserve">Gene Therapy for Leukocyte Adhesion Deficiency-I (LAD-I): A Phase 1/2 Clinical Trial to Evaluate the Safety and Efficacy of the Infusion of Autologous Hematopoietic Stem Cells Transduced with a Lentiviral Vector Encoding the </w:t>
      </w:r>
      <w:r w:rsidR="005C66AB" w:rsidRPr="005C66AB">
        <w:rPr>
          <w:i/>
          <w:iCs/>
        </w:rPr>
        <w:t>ITGB2</w:t>
      </w:r>
      <w:r w:rsidR="005C66AB" w:rsidRPr="005C66AB">
        <w:t xml:space="preserve"> Gene.</w:t>
      </w:r>
    </w:p>
    <w:p w14:paraId="702AD8A8" w14:textId="77777777" w:rsidR="005606CD" w:rsidRDefault="008D114A" w:rsidP="005606CD">
      <w:pPr>
        <w:pStyle w:val="TextStyle0"/>
      </w:pPr>
      <w:r w:rsidRPr="00F8174C">
        <w:rPr>
          <w:b/>
          <w:bCs/>
        </w:rPr>
        <w:t>Investigator(s):</w:t>
      </w:r>
    </w:p>
    <w:p w14:paraId="69C33A30" w14:textId="4AECAB5A" w:rsidR="005606CD" w:rsidRPr="005606CD" w:rsidRDefault="005606CD" w:rsidP="005606CD">
      <w:pPr>
        <w:pStyle w:val="TextStyle0"/>
      </w:pPr>
      <w:r w:rsidRPr="005606CD">
        <w:t>Claire Booth, MBBS, PhD</w:t>
      </w:r>
    </w:p>
    <w:p w14:paraId="019C27B2" w14:textId="16E0A23F" w:rsidR="005606CD" w:rsidRPr="005606CD" w:rsidRDefault="005606CD" w:rsidP="005606CD">
      <w:pPr>
        <w:pStyle w:val="TextStyle0"/>
      </w:pPr>
      <w:r w:rsidRPr="005606CD">
        <w:t>Donald B. Kohn, MD</w:t>
      </w:r>
      <w:r>
        <w:t>.</w:t>
      </w:r>
    </w:p>
    <w:p w14:paraId="393C0D7D" w14:textId="496C09F7" w:rsidR="00BB3F45" w:rsidRPr="00F8174C" w:rsidRDefault="005606CD" w:rsidP="005606CD">
      <w:pPr>
        <w:pStyle w:val="TextStyle0"/>
      </w:pPr>
      <w:r w:rsidRPr="005606CD">
        <w:t>Julián Sevilla Navarro, MD, PhD</w:t>
      </w:r>
      <w:r>
        <w:t>.</w:t>
      </w:r>
    </w:p>
    <w:p w14:paraId="05C058C9" w14:textId="77777777" w:rsidR="006E3642" w:rsidRDefault="008D114A" w:rsidP="006E3642">
      <w:pPr>
        <w:pStyle w:val="TextStyle0"/>
      </w:pPr>
      <w:r w:rsidRPr="00F8174C">
        <w:rPr>
          <w:b/>
          <w:bCs/>
        </w:rPr>
        <w:t>Study center(s):</w:t>
      </w:r>
    </w:p>
    <w:p w14:paraId="3FD81BBD" w14:textId="2B33BA25" w:rsidR="006E3642" w:rsidRDefault="006E3642" w:rsidP="006E3642">
      <w:pPr>
        <w:pStyle w:val="TextStyle0"/>
      </w:pPr>
      <w:r>
        <w:t>University College London Great Ormond Street Institute of Child Health</w:t>
      </w:r>
      <w:r w:rsidR="001F1D73">
        <w:t>,</w:t>
      </w:r>
      <w:r>
        <w:t xml:space="preserve"> London, UK</w:t>
      </w:r>
      <w:r w:rsidR="000B50B5">
        <w:t>.</w:t>
      </w:r>
    </w:p>
    <w:p w14:paraId="1148BB05" w14:textId="05C25D46" w:rsidR="006E3642" w:rsidRDefault="006E3642" w:rsidP="006E3642">
      <w:pPr>
        <w:pStyle w:val="TextStyle0"/>
      </w:pPr>
      <w:r>
        <w:t>University of California Los Angeles</w:t>
      </w:r>
      <w:r w:rsidR="000B50B5">
        <w:t xml:space="preserve">, </w:t>
      </w:r>
      <w:r>
        <w:t>CA</w:t>
      </w:r>
      <w:r w:rsidR="000B50B5">
        <w:t>, USA.</w:t>
      </w:r>
    </w:p>
    <w:p w14:paraId="1D616AF4" w14:textId="2CD30728" w:rsidR="00BB3F45" w:rsidRPr="00F8174C" w:rsidRDefault="006E3642" w:rsidP="006E3642">
      <w:pPr>
        <w:pStyle w:val="TextStyle0"/>
      </w:pPr>
      <w:r>
        <w:t>Hospital Infantil Universitario Niño Jesús</w:t>
      </w:r>
      <w:r w:rsidR="00FD4E9A">
        <w:t xml:space="preserve">, </w:t>
      </w:r>
      <w:r>
        <w:t>Madrid, Spain</w:t>
      </w:r>
      <w:r w:rsidR="00FD4E9A">
        <w:t>.</w:t>
      </w:r>
    </w:p>
    <w:p w14:paraId="5EAD9FFE" w14:textId="3CC4CA82" w:rsidR="00BB3F45" w:rsidRPr="00F8174C" w:rsidRDefault="008D114A" w:rsidP="00F8174C">
      <w:pPr>
        <w:pStyle w:val="TextStyle0"/>
      </w:pPr>
      <w:r w:rsidRPr="00F8174C">
        <w:rPr>
          <w:b/>
          <w:bCs/>
        </w:rPr>
        <w:t>Publication (reference):</w:t>
      </w:r>
      <w:r w:rsidRPr="00F8174C">
        <w:t xml:space="preserve"> </w:t>
      </w:r>
      <w:r w:rsidR="00F96127">
        <w:t>None.</w:t>
      </w:r>
    </w:p>
    <w:p w14:paraId="31FB17F5" w14:textId="77777777" w:rsidR="00BB3F45" w:rsidRPr="00F8174C" w:rsidRDefault="008D114A" w:rsidP="00F8174C">
      <w:pPr>
        <w:pStyle w:val="TextStyle0"/>
        <w:rPr>
          <w:b/>
          <w:bCs/>
        </w:rPr>
      </w:pPr>
      <w:r w:rsidRPr="00F8174C">
        <w:rPr>
          <w:b/>
          <w:bCs/>
        </w:rPr>
        <w:t>Study period:</w:t>
      </w:r>
    </w:p>
    <w:p w14:paraId="08D2DE22" w14:textId="3638E8B0" w:rsidR="00BB3F45" w:rsidRDefault="008D114A" w:rsidP="00F8174C">
      <w:pPr>
        <w:pStyle w:val="TextStyle0"/>
      </w:pPr>
      <w:r>
        <w:t xml:space="preserve">Study initiation date: </w:t>
      </w:r>
      <w:r w:rsidR="00A93FC5">
        <w:t>27-Mar-2019</w:t>
      </w:r>
      <w:r>
        <w:t xml:space="preserve"> (first </w:t>
      </w:r>
      <w:r w:rsidR="00A93FC5">
        <w:t>patient</w:t>
      </w:r>
      <w:r>
        <w:t xml:space="preserve"> first visit)</w:t>
      </w:r>
    </w:p>
    <w:p w14:paraId="1B70CD85" w14:textId="55223A35" w:rsidR="00BB3F45" w:rsidRPr="00F8174C" w:rsidRDefault="75E9F4EA" w:rsidP="3F91377D">
      <w:pPr>
        <w:pStyle w:val="TextStyle0"/>
        <w:rPr>
          <w:i/>
          <w:iCs/>
        </w:rPr>
      </w:pPr>
      <w:r>
        <w:t xml:space="preserve">Data cut-off date: </w:t>
      </w:r>
      <w:r w:rsidR="0F81EE97">
        <w:t>12-Sep</w:t>
      </w:r>
      <w:r>
        <w:t>-</w:t>
      </w:r>
      <w:r w:rsidR="5923B421">
        <w:t>2023</w:t>
      </w:r>
    </w:p>
    <w:p w14:paraId="136E3414" w14:textId="272C01F2" w:rsidR="00BB3F45" w:rsidRPr="00F8174C" w:rsidRDefault="008D114A" w:rsidP="00F8174C">
      <w:pPr>
        <w:pStyle w:val="TextStyle0"/>
      </w:pPr>
      <w:r w:rsidRPr="00F8174C">
        <w:rPr>
          <w:b/>
          <w:bCs/>
        </w:rPr>
        <w:t>Phase of development (phase of this clinical study):</w:t>
      </w:r>
      <w:r w:rsidRPr="00F8174C">
        <w:t xml:space="preserve"> </w:t>
      </w:r>
      <w:r w:rsidR="001C651E">
        <w:t>1/2</w:t>
      </w:r>
    </w:p>
    <w:p w14:paraId="334C9225" w14:textId="0BCAE694" w:rsidR="00BB3F45" w:rsidRDefault="75E9F4EA" w:rsidP="009F42FD">
      <w:pPr>
        <w:pStyle w:val="TextStyle0"/>
      </w:pPr>
      <w:r w:rsidRPr="3F91377D">
        <w:rPr>
          <w:b/>
          <w:bCs/>
        </w:rPr>
        <w:t>Objectives</w:t>
      </w:r>
      <w:r>
        <w:t xml:space="preserve">: </w:t>
      </w:r>
      <w:r w:rsidR="28671B6D">
        <w:t>T</w:t>
      </w:r>
      <w:r>
        <w:t xml:space="preserve">he purpose of this </w:t>
      </w:r>
      <w:r w:rsidR="02158724">
        <w:t xml:space="preserve">final </w:t>
      </w:r>
      <w:r>
        <w:t xml:space="preserve">clinical study report is to provide results of the study with a data cut-off date of </w:t>
      </w:r>
      <w:r w:rsidR="4C77DA96">
        <w:t>12-Sep</w:t>
      </w:r>
      <w:r w:rsidR="29DA1D17">
        <w:t>-2023</w:t>
      </w:r>
      <w:r>
        <w:t>.</w:t>
      </w:r>
    </w:p>
    <w:p w14:paraId="6E9FC170" w14:textId="450CB857" w:rsidR="00061448" w:rsidRDefault="3DBDFFB9" w:rsidP="00061448">
      <w:pPr>
        <w:pStyle w:val="TextStyle0"/>
      </w:pPr>
      <w:r>
        <w:t>The primary objective</w:t>
      </w:r>
      <w:r w:rsidR="7A974CF7">
        <w:t>(</w:t>
      </w:r>
      <w:r w:rsidR="42BEAE83">
        <w:t>s</w:t>
      </w:r>
      <w:r w:rsidR="769C7919">
        <w:t>)</w:t>
      </w:r>
      <w:r>
        <w:t xml:space="preserve"> of the study w</w:t>
      </w:r>
      <w:r w:rsidR="42BEAE83">
        <w:t>ere</w:t>
      </w:r>
      <w:r>
        <w:t xml:space="preserve"> HSCT-free survival, determined by the proportion of </w:t>
      </w:r>
      <w:r w:rsidR="2294D024">
        <w:t>subjects</w:t>
      </w:r>
      <w:r>
        <w:t xml:space="preserve"> alive at least 1-year post-IP and alive at age </w:t>
      </w:r>
      <w:r w:rsidR="57B24CCD">
        <w:t>2 (</w:t>
      </w:r>
      <w:r>
        <w:t>24 months</w:t>
      </w:r>
      <w:r w:rsidR="1E611C39">
        <w:t>)</w:t>
      </w:r>
      <w:r>
        <w:t xml:space="preserve"> </w:t>
      </w:r>
      <w:r w:rsidR="4128E21A">
        <w:t xml:space="preserve">without allogeneic HSCT </w:t>
      </w:r>
      <w:r>
        <w:t xml:space="preserve">for </w:t>
      </w:r>
      <w:r w:rsidR="69A29F67">
        <w:t>subjects</w:t>
      </w:r>
      <w:r>
        <w:t xml:space="preserve"> less than 1 year of age at study enrollment</w:t>
      </w:r>
      <w:r w:rsidR="52847870">
        <w:t>,</w:t>
      </w:r>
      <w:r w:rsidR="42BEAE83">
        <w:t xml:space="preserve"> </w:t>
      </w:r>
      <w:r w:rsidR="0E066009">
        <w:t>and characterization</w:t>
      </w:r>
      <w:r w:rsidR="42BEAE83">
        <w:t xml:space="preserve"> of the safety and toxicity associated with the IP</w:t>
      </w:r>
      <w:r>
        <w:t>.</w:t>
      </w:r>
    </w:p>
    <w:p w14:paraId="688D9D49" w14:textId="2B75BAFD" w:rsidR="005312CF" w:rsidRDefault="462BA96F" w:rsidP="00061448">
      <w:pPr>
        <w:pStyle w:val="TextStyle0"/>
      </w:pPr>
      <w:r>
        <w:t>The s</w:t>
      </w:r>
      <w:r w:rsidR="0BE2E073">
        <w:t>econdary</w:t>
      </w:r>
      <w:r>
        <w:t xml:space="preserve"> objectives of the study included the</w:t>
      </w:r>
      <w:r w:rsidR="0BE2E073">
        <w:t xml:space="preserve"> assessment of OS</w:t>
      </w:r>
      <w:r>
        <w:t>,</w:t>
      </w:r>
      <w:r w:rsidR="0BE2E073">
        <w:t xml:space="preserve"> </w:t>
      </w:r>
      <w:r>
        <w:t xml:space="preserve">the </w:t>
      </w:r>
      <w:r w:rsidR="0BE2E073">
        <w:t>reduction in the incidence of significant infections, infection-related hospitalizations and infection-related prolonged hospitalizations</w:t>
      </w:r>
      <w:r>
        <w:t>, the</w:t>
      </w:r>
      <w:r w:rsidR="0BE2E073">
        <w:t xml:space="preserve"> partial or complete resolution of LAD-I-related skin rash or</w:t>
      </w:r>
      <w:r w:rsidR="58130B01">
        <w:t xml:space="preserve"> </w:t>
      </w:r>
      <w:r w:rsidR="5CEFAC21">
        <w:t xml:space="preserve"> </w:t>
      </w:r>
      <w:r w:rsidR="0BE2E073">
        <w:t xml:space="preserve"> periodontal abnormalities</w:t>
      </w:r>
      <w:r>
        <w:t xml:space="preserve">, </w:t>
      </w:r>
      <w:r w:rsidR="4413008B">
        <w:t xml:space="preserve">percentage of subjects with </w:t>
      </w:r>
      <w:r w:rsidR="4F2DFA4A">
        <w:t>genetic correction of peripheral blood (PB) cells as demonstrated by vector copy number (VCN) of at least 0.1 in PB mononuclear cells (PBMCs) and PB CD15+ granulocytes at 6 months</w:t>
      </w:r>
      <w:r w:rsidR="62FF921F">
        <w:t>,</w:t>
      </w:r>
      <w:r w:rsidR="4F2DFA4A">
        <w:t xml:space="preserve"> </w:t>
      </w:r>
      <w:r w:rsidR="144C7988">
        <w:t xml:space="preserve"> </w:t>
      </w:r>
      <w:r w:rsidR="35089B99">
        <w:t xml:space="preserve"> </w:t>
      </w:r>
      <w:r w:rsidR="0BE2E073">
        <w:t>increase</w:t>
      </w:r>
      <w:r w:rsidR="35089B99">
        <w:t>s</w:t>
      </w:r>
      <w:r w:rsidR="0BE2E073">
        <w:t xml:space="preserve"> in CD18-expressing neutrophils ≥10%; </w:t>
      </w:r>
      <w:r w:rsidR="35089B99">
        <w:t xml:space="preserve">the </w:t>
      </w:r>
      <w:r w:rsidR="0BE2E073">
        <w:t xml:space="preserve">evaluation of decreases </w:t>
      </w:r>
      <w:r w:rsidR="35089B99">
        <w:t>in</w:t>
      </w:r>
      <w:r w:rsidR="0BE2E073">
        <w:t xml:space="preserve"> LAD-I-associated neutrophilia and leukocytosis</w:t>
      </w:r>
      <w:r w:rsidR="35089B99">
        <w:t xml:space="preserve">, </w:t>
      </w:r>
      <w:r w:rsidR="4B9538A9">
        <w:t xml:space="preserve">and </w:t>
      </w:r>
      <w:r w:rsidR="35089B99">
        <w:t xml:space="preserve">the </w:t>
      </w:r>
      <w:r w:rsidR="0BE2E073">
        <w:t>assessment of EFS in the absence of graft failure and grade 2-4 acute GvHD</w:t>
      </w:r>
      <w:r w:rsidR="35089B99">
        <w:t>.</w:t>
      </w:r>
    </w:p>
    <w:p w14:paraId="4461BDF8" w14:textId="0F3BA341" w:rsidR="00BB3F45" w:rsidRPr="00F8174C" w:rsidRDefault="75E9F4EA" w:rsidP="00F8174C">
      <w:pPr>
        <w:pStyle w:val="TextStyle0"/>
      </w:pPr>
      <w:r w:rsidRPr="3F91377D">
        <w:rPr>
          <w:b/>
          <w:bCs/>
        </w:rPr>
        <w:t>Study design and methodology:</w:t>
      </w:r>
      <w:r>
        <w:t xml:space="preserve"> T</w:t>
      </w:r>
      <w:r w:rsidR="45AF29CA">
        <w:t>his was an adaptive design, 2 phase</w:t>
      </w:r>
      <w:r w:rsidR="42BEAE83">
        <w:t>,</w:t>
      </w:r>
      <w:r w:rsidR="45AF29CA">
        <w:t xml:space="preserve"> open label</w:t>
      </w:r>
      <w:r w:rsidR="42BEAE83">
        <w:t>,</w:t>
      </w:r>
      <w:r w:rsidR="45AF29CA">
        <w:t xml:space="preserve"> single arm study</w:t>
      </w:r>
      <w:r w:rsidR="3C154979">
        <w:t xml:space="preserve"> using </w:t>
      </w:r>
      <w:r w:rsidR="0F835035">
        <w:t xml:space="preserve">an infusion of </w:t>
      </w:r>
      <w:r w:rsidR="3C154979">
        <w:t>RP-L201</w:t>
      </w:r>
      <w:r w:rsidR="0F835035">
        <w:t xml:space="preserve">. </w:t>
      </w:r>
      <w:r w:rsidR="11345BCC">
        <w:t xml:space="preserve">The number of </w:t>
      </w:r>
      <w:r w:rsidR="3E45897E">
        <w:t>subjects</w:t>
      </w:r>
      <w:r w:rsidR="11345BCC">
        <w:t xml:space="preserve"> planned was 9. In Phase 1 of </w:t>
      </w:r>
      <w:proofErr w:type="gramStart"/>
      <w:r w:rsidR="11345BCC">
        <w:t>the</w:t>
      </w:r>
      <w:proofErr w:type="gramEnd"/>
      <w:r w:rsidR="11345BCC">
        <w:t xml:space="preserve"> </w:t>
      </w:r>
      <w:r w:rsidR="11345BCC">
        <w:lastRenderedPageBreak/>
        <w:t xml:space="preserve">trial, 2 </w:t>
      </w:r>
      <w:r w:rsidR="7C1E68BA">
        <w:t>subjects</w:t>
      </w:r>
      <w:r w:rsidR="11345BCC">
        <w:t xml:space="preserve"> were treated to determine the safety/AE profile associated with the IP treatment. Phase 2 of the trial was activated upon determination of an acceptable safety profile, and evidence of gene-correction and preliminary efficacy as determined by an increase in PB neutrophil CD18-expressing cells to at least 10% at 6 months after IP infusion in at least 1 </w:t>
      </w:r>
      <w:r w:rsidR="74CFDAA5">
        <w:t>su</w:t>
      </w:r>
      <w:r w:rsidR="5C51A1CF">
        <w:t>b</w:t>
      </w:r>
      <w:r w:rsidR="74CFDAA5">
        <w:t>ject</w:t>
      </w:r>
      <w:r w:rsidR="11345BCC">
        <w:t xml:space="preserve"> and after hematopoietic reconstitution in the second </w:t>
      </w:r>
      <w:r w:rsidR="56311102">
        <w:t>subject</w:t>
      </w:r>
      <w:r w:rsidR="11345BCC">
        <w:t xml:space="preserve">. Seven additional </w:t>
      </w:r>
      <w:r w:rsidR="27EBB55B">
        <w:t>subjects</w:t>
      </w:r>
      <w:r w:rsidR="11345BCC">
        <w:t xml:space="preserve"> were </w:t>
      </w:r>
      <w:r w:rsidR="213102F4">
        <w:t xml:space="preserve">to be </w:t>
      </w:r>
      <w:r w:rsidR="11345BCC">
        <w:t xml:space="preserve">enrolled in Phase 2 (to a total of 9 </w:t>
      </w:r>
      <w:r w:rsidR="1B2AEEA0">
        <w:t>subjects</w:t>
      </w:r>
      <w:r w:rsidR="11345BCC">
        <w:t xml:space="preserve">). </w:t>
      </w:r>
      <w:r w:rsidR="0F835035">
        <w:t xml:space="preserve">The planned duration of the study </w:t>
      </w:r>
      <w:r w:rsidR="792A0EF4">
        <w:t>was</w:t>
      </w:r>
      <w:r w:rsidR="0F835035">
        <w:t xml:space="preserve"> </w:t>
      </w:r>
      <w:bookmarkStart w:id="0" w:name="_Int_s25fDQs1"/>
      <w:r w:rsidR="0F835035">
        <w:t>24 months</w:t>
      </w:r>
      <w:bookmarkEnd w:id="0"/>
      <w:r w:rsidR="01DAC31B">
        <w:t xml:space="preserve"> post-infusion</w:t>
      </w:r>
      <w:r w:rsidR="0F835035">
        <w:t>.</w:t>
      </w:r>
    </w:p>
    <w:p w14:paraId="2B2767B1" w14:textId="310E554C" w:rsidR="00BB3F45" w:rsidRPr="00F8174C" w:rsidRDefault="148977E6" w:rsidP="00F8174C">
      <w:pPr>
        <w:pStyle w:val="TextStyle0"/>
      </w:pPr>
      <w:r>
        <w:t>During all trial phases, IP infusion (and antecedent busulfan conditioning) was considered feasible if ≥ 2 ×10</w:t>
      </w:r>
      <w:r w:rsidRPr="3F91377D">
        <w:rPr>
          <w:vertAlign w:val="superscript"/>
        </w:rPr>
        <w:t>6</w:t>
      </w:r>
      <w:r>
        <w:t xml:space="preserve"> viable CD34+ cells/kg of body weight were available for infusion following transduction and cryopreservation and complied with specifications.</w:t>
      </w:r>
    </w:p>
    <w:p w14:paraId="68879082" w14:textId="634A530C" w:rsidR="00BB3F45" w:rsidRPr="00F8174C" w:rsidRDefault="348C11A9" w:rsidP="00F8174C">
      <w:pPr>
        <w:pStyle w:val="TextStyle0"/>
      </w:pPr>
      <w:r>
        <w:t xml:space="preserve"> An overview of the study design is provided below:</w:t>
      </w:r>
    </w:p>
    <w:p w14:paraId="137CB903" w14:textId="623AA6F3" w:rsidR="465974F5" w:rsidRDefault="465974F5" w:rsidP="3F91377D">
      <w:pPr>
        <w:pStyle w:val="TextStyle0"/>
      </w:pPr>
      <w:r>
        <w:rPr>
          <w:noProof/>
        </w:rPr>
        <w:drawing>
          <wp:inline distT="0" distB="0" distL="0" distR="0" wp14:anchorId="5602457E" wp14:editId="61806CBB">
            <wp:extent cx="5772150" cy="1628775"/>
            <wp:effectExtent l="0" t="0" r="0" b="0"/>
            <wp:docPr id="1782838545" name="Picture 1782838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72150" cy="1628775"/>
                    </a:xfrm>
                    <a:prstGeom prst="rect">
                      <a:avLst/>
                    </a:prstGeom>
                  </pic:spPr>
                </pic:pic>
              </a:graphicData>
            </a:graphic>
          </wp:inline>
        </w:drawing>
      </w:r>
    </w:p>
    <w:p w14:paraId="4D0930AF" w14:textId="228A5D8C" w:rsidR="00BB3F45" w:rsidRPr="00F8174C" w:rsidRDefault="008D114A" w:rsidP="00F8174C">
      <w:pPr>
        <w:pStyle w:val="TextStyle0"/>
      </w:pPr>
      <w:r w:rsidRPr="00F8174C">
        <w:rPr>
          <w:b/>
          <w:bCs/>
        </w:rPr>
        <w:t>Diagnosis and main criteria for inclusion:</w:t>
      </w:r>
      <w:r w:rsidRPr="00F8174C">
        <w:t xml:space="preserve"> T</w:t>
      </w:r>
      <w:r w:rsidR="00D5450E">
        <w:t xml:space="preserve">he planned </w:t>
      </w:r>
      <w:r w:rsidR="00E81ADB">
        <w:t xml:space="preserve">trial population was </w:t>
      </w:r>
      <w:r w:rsidR="00AF5CAF">
        <w:t xml:space="preserve">patients </w:t>
      </w:r>
      <w:r w:rsidR="004E3955">
        <w:t xml:space="preserve">aged at least 3 months </w:t>
      </w:r>
      <w:r w:rsidR="00AF5CAF">
        <w:t>with a confirmed diagnosis of severe LAD-I</w:t>
      </w:r>
      <w:r w:rsidR="0058082B">
        <w:t xml:space="preserve"> and</w:t>
      </w:r>
      <w:r w:rsidR="008032D7">
        <w:t xml:space="preserve"> at </w:t>
      </w:r>
      <w:r w:rsidR="008032D7" w:rsidRPr="008032D7">
        <w:t>least one prior significant bacterial or fungal infection</w:t>
      </w:r>
      <w:r w:rsidR="007F0422">
        <w:t xml:space="preserve">, except for </w:t>
      </w:r>
      <w:r w:rsidR="000E29B2">
        <w:t xml:space="preserve">patients with documented </w:t>
      </w:r>
      <w:r w:rsidR="003C664A" w:rsidRPr="00946385">
        <w:rPr>
          <w:i/>
          <w:iCs/>
        </w:rPr>
        <w:t>ITGB2</w:t>
      </w:r>
      <w:r w:rsidR="003C664A">
        <w:t xml:space="preserve"> mutation and </w:t>
      </w:r>
      <w:r w:rsidR="003D67F3" w:rsidRPr="003D67F3">
        <w:t>clinical history consistent with LAD-I (or known family history)</w:t>
      </w:r>
      <w:r w:rsidR="0058082B">
        <w:t xml:space="preserve">. Patients </w:t>
      </w:r>
      <w:r w:rsidR="00B91AC0">
        <w:t>for whom a</w:t>
      </w:r>
      <w:r w:rsidR="00B75E70">
        <w:t>n</w:t>
      </w:r>
      <w:r w:rsidR="00B91AC0">
        <w:t xml:space="preserve"> </w:t>
      </w:r>
      <w:r w:rsidR="00B75E70" w:rsidRPr="00B75E70">
        <w:t>HLA-identical sibling donor transplant</w:t>
      </w:r>
      <w:r w:rsidR="008032D7" w:rsidRPr="008032D7">
        <w:t xml:space="preserve"> </w:t>
      </w:r>
      <w:r w:rsidR="00B75E70">
        <w:t>was available were excluded.</w:t>
      </w:r>
    </w:p>
    <w:p w14:paraId="5799A445" w14:textId="4E8D6B90" w:rsidR="00BB3F45" w:rsidRPr="00F8174C" w:rsidRDefault="008D114A" w:rsidP="00F8174C">
      <w:pPr>
        <w:pStyle w:val="Text"/>
      </w:pPr>
      <w:r w:rsidRPr="00F8174C">
        <w:rPr>
          <w:b/>
          <w:bCs/>
        </w:rPr>
        <w:t>Test and reference therapies, dose and mode of administration, batch number:</w:t>
      </w:r>
      <w:r w:rsidRPr="00F8174C">
        <w:t xml:space="preserve"> </w:t>
      </w:r>
      <w:r w:rsidR="00916226">
        <w:t xml:space="preserve">The test therapy was </w:t>
      </w:r>
      <w:r w:rsidR="00517CE7" w:rsidRPr="00517CE7">
        <w:t xml:space="preserve">RP-L201, </w:t>
      </w:r>
      <w:r w:rsidR="00C86514">
        <w:t xml:space="preserve">an </w:t>
      </w:r>
      <w:r w:rsidR="00046109" w:rsidRPr="00046109">
        <w:rPr>
          <w:i/>
          <w:iCs/>
        </w:rPr>
        <w:t>ex vivo</w:t>
      </w:r>
      <w:r w:rsidR="00046109">
        <w:t xml:space="preserve"> LV gene therapy </w:t>
      </w:r>
      <w:r w:rsidR="00517CE7" w:rsidRPr="00517CE7">
        <w:t xml:space="preserve">consisting of autologous hematopoietic stem cells transduced with an LV (Chim-CD18-WPRE LV) that encodes for the human </w:t>
      </w:r>
      <w:r w:rsidR="00517CE7" w:rsidRPr="00916226">
        <w:rPr>
          <w:i/>
          <w:iCs/>
        </w:rPr>
        <w:t>ITGB2</w:t>
      </w:r>
      <w:r w:rsidR="00517CE7" w:rsidRPr="00517CE7">
        <w:t xml:space="preserve"> gene</w:t>
      </w:r>
      <w:r w:rsidR="00BA7BB8">
        <w:t xml:space="preserve">, </w:t>
      </w:r>
      <w:r w:rsidR="00565763">
        <w:t xml:space="preserve">administered </w:t>
      </w:r>
      <w:r w:rsidR="003D131D">
        <w:t xml:space="preserve">as an I.V. infusion after </w:t>
      </w:r>
      <w:r w:rsidR="003D131D" w:rsidRPr="003D131D">
        <w:t xml:space="preserve">CD34+ cell mobilization, harvest via PB apheresis, cryopreservation of rescue cells, enrichment for pre-stimulation, transduction, and cryopreservation of </w:t>
      </w:r>
      <w:r w:rsidR="00F7760F">
        <w:t>IP</w:t>
      </w:r>
      <w:r w:rsidR="003D131D" w:rsidRPr="003D131D">
        <w:t>, followed by busulfan conditioning, and thawing of the IP.</w:t>
      </w:r>
    </w:p>
    <w:p w14:paraId="0FC7582A" w14:textId="21B474D1" w:rsidR="008D114A" w:rsidRDefault="008D114A" w:rsidP="49192AA2">
      <w:pPr>
        <w:pStyle w:val="Text"/>
        <w:spacing w:after="120"/>
      </w:pPr>
      <w:r w:rsidRPr="49192AA2">
        <w:rPr>
          <w:b/>
          <w:bCs/>
        </w:rPr>
        <w:t>Protocol amendments and other changes to study conduct:</w:t>
      </w:r>
      <w:r w:rsidR="761FDFFA" w:rsidRPr="49192AA2">
        <w:rPr>
          <w:b/>
          <w:bCs/>
        </w:rPr>
        <w:t xml:space="preserve"> </w:t>
      </w:r>
      <w:r w:rsidR="761FDFFA">
        <w:t>The original study protocol was approved on 12-Jul-2018. This CSR describes the conduct of the study according to the final protocol version 3.0. The final protocol was dated 23-Feb-2023. Important changes from each amendment are summarized below.</w:t>
      </w:r>
    </w:p>
    <w:p w14:paraId="355D9D70" w14:textId="68774F0E" w:rsidR="49192AA2" w:rsidRDefault="49192AA2" w:rsidP="49192AA2">
      <w:pPr>
        <w:pStyle w:val="Text"/>
        <w:rPr>
          <w:b/>
          <w:bCs/>
        </w:rPr>
      </w:pPr>
    </w:p>
    <w:tbl>
      <w:tblPr>
        <w:tblStyle w:val="C-Table"/>
        <w:tblW w:w="0" w:type="auto"/>
        <w:tblLook w:val="04A0" w:firstRow="1" w:lastRow="0" w:firstColumn="1" w:lastColumn="0" w:noHBand="0" w:noVBand="1"/>
      </w:tblPr>
      <w:tblGrid>
        <w:gridCol w:w="1587"/>
        <w:gridCol w:w="7480"/>
      </w:tblGrid>
      <w:tr w:rsidR="002777A5" w:rsidRPr="00046109" w14:paraId="76122627" w14:textId="77777777" w:rsidTr="3F91377D">
        <w:trPr>
          <w:tblHeader/>
        </w:trPr>
        <w:tc>
          <w:tcPr>
            <w:tcW w:w="1587" w:type="dxa"/>
            <w:shd w:val="clear" w:color="auto" w:fill="D9D9D9" w:themeFill="background1" w:themeFillShade="D9"/>
          </w:tcPr>
          <w:p w14:paraId="08B03EDE" w14:textId="77777777" w:rsidR="002777A5" w:rsidRPr="00046109" w:rsidRDefault="002777A5" w:rsidP="00904AA2">
            <w:pPr>
              <w:pStyle w:val="C-TableHeader"/>
              <w:jc w:val="center"/>
              <w:rPr>
                <w:sz w:val="20"/>
                <w:szCs w:val="18"/>
              </w:rPr>
            </w:pPr>
            <w:r w:rsidRPr="00046109">
              <w:rPr>
                <w:sz w:val="20"/>
                <w:szCs w:val="18"/>
              </w:rPr>
              <w:lastRenderedPageBreak/>
              <w:t>Version</w:t>
            </w:r>
          </w:p>
          <w:p w14:paraId="6C6887B6" w14:textId="77777777" w:rsidR="002777A5" w:rsidRPr="00046109" w:rsidRDefault="002777A5" w:rsidP="00904AA2">
            <w:pPr>
              <w:pStyle w:val="C-TableHeader"/>
              <w:jc w:val="center"/>
              <w:rPr>
                <w:i/>
                <w:sz w:val="20"/>
                <w:szCs w:val="18"/>
              </w:rPr>
            </w:pPr>
            <w:r w:rsidRPr="00046109">
              <w:rPr>
                <w:i/>
                <w:sz w:val="20"/>
                <w:szCs w:val="18"/>
              </w:rPr>
              <w:t>Approval Date</w:t>
            </w:r>
          </w:p>
        </w:tc>
        <w:tc>
          <w:tcPr>
            <w:tcW w:w="7480" w:type="dxa"/>
            <w:shd w:val="clear" w:color="auto" w:fill="D9D9D9" w:themeFill="background1" w:themeFillShade="D9"/>
          </w:tcPr>
          <w:p w14:paraId="012B52BF" w14:textId="77777777" w:rsidR="002777A5" w:rsidRPr="00046109" w:rsidRDefault="002777A5" w:rsidP="00904AA2">
            <w:pPr>
              <w:pStyle w:val="C-TableHeader"/>
              <w:jc w:val="center"/>
              <w:rPr>
                <w:sz w:val="20"/>
                <w:szCs w:val="18"/>
              </w:rPr>
            </w:pPr>
            <w:r w:rsidRPr="00046109">
              <w:rPr>
                <w:sz w:val="20"/>
                <w:szCs w:val="18"/>
              </w:rPr>
              <w:t>Description of Substantive Changes from Prior Version</w:t>
            </w:r>
          </w:p>
        </w:tc>
      </w:tr>
      <w:tr w:rsidR="002777A5" w:rsidRPr="00046109" w14:paraId="1D1ECF0B" w14:textId="77777777" w:rsidTr="3F91377D">
        <w:tc>
          <w:tcPr>
            <w:tcW w:w="1587" w:type="dxa"/>
          </w:tcPr>
          <w:p w14:paraId="2D5AB560" w14:textId="577DE7B2" w:rsidR="002777A5" w:rsidRPr="00046109" w:rsidRDefault="002777A5" w:rsidP="00904AA2">
            <w:pPr>
              <w:pStyle w:val="C-TableText"/>
              <w:keepNext/>
              <w:rPr>
                <w:i/>
                <w:sz w:val="20"/>
              </w:rPr>
            </w:pPr>
            <w:r w:rsidRPr="03E39D71">
              <w:rPr>
                <w:b/>
                <w:sz w:val="20"/>
              </w:rPr>
              <w:t>Version 1.1</w:t>
            </w:r>
            <w:r w:rsidR="00AD25B0" w:rsidRPr="03E39D71">
              <w:rPr>
                <w:b/>
                <w:sz w:val="20"/>
              </w:rPr>
              <w:t xml:space="preserve"> </w:t>
            </w:r>
            <w:r>
              <w:br/>
            </w:r>
            <w:r w:rsidRPr="03E39D71">
              <w:rPr>
                <w:i/>
                <w:sz w:val="20"/>
              </w:rPr>
              <w:t>25-Sep-2018</w:t>
            </w:r>
          </w:p>
        </w:tc>
        <w:tc>
          <w:tcPr>
            <w:tcW w:w="7480" w:type="dxa"/>
          </w:tcPr>
          <w:p w14:paraId="0BECF926" w14:textId="0662558E" w:rsidR="002777A5" w:rsidRPr="00046109" w:rsidRDefault="002777A5" w:rsidP="00904AA2">
            <w:pPr>
              <w:pStyle w:val="C-TableText"/>
              <w:keepNext/>
              <w:rPr>
                <w:sz w:val="20"/>
                <w:szCs w:val="18"/>
              </w:rPr>
            </w:pPr>
            <w:r w:rsidRPr="00046109">
              <w:rPr>
                <w:sz w:val="20"/>
                <w:szCs w:val="18"/>
              </w:rPr>
              <w:t>Protocol Version 1.1 modified the method by which CD34+ dose is calculated to be derived from D</w:t>
            </w:r>
            <w:r w:rsidR="009C4B59">
              <w:rPr>
                <w:sz w:val="20"/>
                <w:szCs w:val="18"/>
              </w:rPr>
              <w:t xml:space="preserve">rug </w:t>
            </w:r>
            <w:r w:rsidRPr="00046109">
              <w:rPr>
                <w:sz w:val="20"/>
                <w:szCs w:val="18"/>
              </w:rPr>
              <w:t>P</w:t>
            </w:r>
            <w:r w:rsidR="009C4B59">
              <w:rPr>
                <w:sz w:val="20"/>
                <w:szCs w:val="18"/>
              </w:rPr>
              <w:t>roduct</w:t>
            </w:r>
            <w:r w:rsidRPr="00046109">
              <w:rPr>
                <w:sz w:val="20"/>
                <w:szCs w:val="18"/>
              </w:rPr>
              <w:t xml:space="preserve"> (as opposed to D</w:t>
            </w:r>
            <w:r w:rsidR="009C4B59">
              <w:rPr>
                <w:sz w:val="20"/>
                <w:szCs w:val="18"/>
              </w:rPr>
              <w:t xml:space="preserve">rug </w:t>
            </w:r>
            <w:r w:rsidRPr="00046109">
              <w:rPr>
                <w:sz w:val="20"/>
                <w:szCs w:val="18"/>
              </w:rPr>
              <w:t>S</w:t>
            </w:r>
            <w:r w:rsidR="009C4B59">
              <w:rPr>
                <w:sz w:val="20"/>
                <w:szCs w:val="18"/>
              </w:rPr>
              <w:t>ubstance</w:t>
            </w:r>
            <w:r w:rsidRPr="00046109">
              <w:rPr>
                <w:sz w:val="20"/>
                <w:szCs w:val="18"/>
              </w:rPr>
              <w:t>).</w:t>
            </w:r>
          </w:p>
        </w:tc>
      </w:tr>
      <w:tr w:rsidR="002777A5" w:rsidRPr="00046109" w14:paraId="1B194A22" w14:textId="77777777" w:rsidTr="3F91377D">
        <w:tc>
          <w:tcPr>
            <w:tcW w:w="1587" w:type="dxa"/>
          </w:tcPr>
          <w:p w14:paraId="20AB0BCF" w14:textId="31AB9AC4" w:rsidR="002777A5" w:rsidRPr="00046109" w:rsidRDefault="002777A5" w:rsidP="00AD25B0">
            <w:pPr>
              <w:pStyle w:val="C-TableText"/>
              <w:rPr>
                <w:i/>
                <w:sz w:val="20"/>
              </w:rPr>
            </w:pPr>
            <w:r w:rsidRPr="03E39D71">
              <w:rPr>
                <w:b/>
                <w:sz w:val="20"/>
              </w:rPr>
              <w:t>Version 1.2</w:t>
            </w:r>
            <w:r w:rsidR="00AD25B0" w:rsidRPr="03E39D71">
              <w:rPr>
                <w:b/>
                <w:sz w:val="20"/>
              </w:rPr>
              <w:t xml:space="preserve"> </w:t>
            </w:r>
            <w:r>
              <w:br/>
            </w:r>
            <w:r w:rsidRPr="03E39D71">
              <w:rPr>
                <w:i/>
                <w:sz w:val="20"/>
              </w:rPr>
              <w:t>06-Nov-2018</w:t>
            </w:r>
          </w:p>
        </w:tc>
        <w:tc>
          <w:tcPr>
            <w:tcW w:w="7480" w:type="dxa"/>
          </w:tcPr>
          <w:p w14:paraId="5CF0C097" w14:textId="4D07D306" w:rsidR="002777A5" w:rsidRPr="00046109" w:rsidRDefault="002777A5" w:rsidP="00720261">
            <w:pPr>
              <w:pStyle w:val="C-TableText"/>
              <w:rPr>
                <w:sz w:val="20"/>
                <w:szCs w:val="18"/>
              </w:rPr>
            </w:pPr>
            <w:r w:rsidRPr="00046109">
              <w:rPr>
                <w:sz w:val="20"/>
                <w:szCs w:val="18"/>
              </w:rPr>
              <w:t>Per FDA recommendation, stopping criteria were modified to remove attribution of causality due to possibility of bias.</w:t>
            </w:r>
          </w:p>
        </w:tc>
      </w:tr>
      <w:tr w:rsidR="002777A5" w:rsidRPr="00046109" w14:paraId="0C027C10" w14:textId="77777777" w:rsidTr="3F91377D">
        <w:tc>
          <w:tcPr>
            <w:tcW w:w="1587" w:type="dxa"/>
          </w:tcPr>
          <w:p w14:paraId="3E70421C" w14:textId="2937C6C8" w:rsidR="002777A5" w:rsidRPr="00046109" w:rsidRDefault="002777A5" w:rsidP="00AD25B0">
            <w:pPr>
              <w:pStyle w:val="C-TableText"/>
              <w:rPr>
                <w:i/>
                <w:sz w:val="20"/>
              </w:rPr>
            </w:pPr>
            <w:r w:rsidRPr="03E39D71">
              <w:rPr>
                <w:b/>
                <w:sz w:val="20"/>
              </w:rPr>
              <w:t>Version 1.3</w:t>
            </w:r>
            <w:r w:rsidR="00AD25B0" w:rsidRPr="03E39D71">
              <w:rPr>
                <w:b/>
                <w:sz w:val="20"/>
              </w:rPr>
              <w:t xml:space="preserve"> </w:t>
            </w:r>
            <w:r>
              <w:br/>
            </w:r>
            <w:r w:rsidRPr="03E39D71">
              <w:rPr>
                <w:i/>
                <w:sz w:val="20"/>
              </w:rPr>
              <w:t>22-May-2019</w:t>
            </w:r>
          </w:p>
        </w:tc>
        <w:tc>
          <w:tcPr>
            <w:tcW w:w="7480" w:type="dxa"/>
          </w:tcPr>
          <w:p w14:paraId="3229E352" w14:textId="7DF2A83C" w:rsidR="002777A5" w:rsidRPr="00046109" w:rsidRDefault="002777A5" w:rsidP="00720261">
            <w:pPr>
              <w:pStyle w:val="C-TableText"/>
              <w:rPr>
                <w:sz w:val="20"/>
                <w:szCs w:val="18"/>
              </w:rPr>
            </w:pPr>
            <w:r w:rsidRPr="00046109">
              <w:rPr>
                <w:sz w:val="20"/>
                <w:szCs w:val="18"/>
              </w:rPr>
              <w:t>The cGMP facility for manufacturing of the IP was transitioned. The protocol was amended to reflect this change, including additional viral and microbial serology requirements.</w:t>
            </w:r>
          </w:p>
        </w:tc>
      </w:tr>
      <w:tr w:rsidR="002777A5" w:rsidRPr="00046109" w14:paraId="733285F8" w14:textId="77777777" w:rsidTr="3F91377D">
        <w:tc>
          <w:tcPr>
            <w:tcW w:w="1587" w:type="dxa"/>
          </w:tcPr>
          <w:p w14:paraId="72EF0EE4" w14:textId="6B9E2F35" w:rsidR="002777A5" w:rsidRPr="00046109" w:rsidRDefault="002777A5" w:rsidP="00AD25B0">
            <w:pPr>
              <w:pStyle w:val="C-TableText"/>
              <w:rPr>
                <w:i/>
                <w:sz w:val="20"/>
              </w:rPr>
            </w:pPr>
            <w:r w:rsidRPr="03E39D71">
              <w:rPr>
                <w:b/>
                <w:sz w:val="20"/>
              </w:rPr>
              <w:t>Version 1.4</w:t>
            </w:r>
            <w:r w:rsidR="00AD25B0" w:rsidRPr="03E39D71">
              <w:rPr>
                <w:b/>
                <w:sz w:val="20"/>
              </w:rPr>
              <w:t xml:space="preserve"> </w:t>
            </w:r>
            <w:r>
              <w:br/>
            </w:r>
            <w:r w:rsidRPr="03E39D71">
              <w:rPr>
                <w:i/>
                <w:sz w:val="20"/>
              </w:rPr>
              <w:t>05-Aug-2019</w:t>
            </w:r>
          </w:p>
        </w:tc>
        <w:tc>
          <w:tcPr>
            <w:tcW w:w="7480" w:type="dxa"/>
          </w:tcPr>
          <w:p w14:paraId="766A9DBE" w14:textId="240AE69E" w:rsidR="002777A5" w:rsidRPr="00046109" w:rsidRDefault="002777A5" w:rsidP="000E0997">
            <w:pPr>
              <w:pStyle w:val="C-TableText"/>
              <w:rPr>
                <w:sz w:val="20"/>
                <w:szCs w:val="18"/>
              </w:rPr>
            </w:pPr>
            <w:r w:rsidRPr="00046109">
              <w:rPr>
                <w:sz w:val="20"/>
                <w:szCs w:val="18"/>
              </w:rPr>
              <w:t>The protocol was modified to reflect changes to the administration of busulfan conditioning.</w:t>
            </w:r>
          </w:p>
        </w:tc>
      </w:tr>
      <w:tr w:rsidR="002777A5" w:rsidRPr="00046109" w14:paraId="3D7062E6" w14:textId="77777777" w:rsidTr="3F91377D">
        <w:tc>
          <w:tcPr>
            <w:tcW w:w="1587" w:type="dxa"/>
          </w:tcPr>
          <w:p w14:paraId="67AB2CE4" w14:textId="56D3ECF2" w:rsidR="002777A5" w:rsidRPr="00046109" w:rsidRDefault="002777A5" w:rsidP="00AD25B0">
            <w:pPr>
              <w:pStyle w:val="C-TableText"/>
              <w:rPr>
                <w:i/>
                <w:sz w:val="20"/>
              </w:rPr>
            </w:pPr>
            <w:r w:rsidRPr="03E39D71">
              <w:rPr>
                <w:b/>
                <w:sz w:val="20"/>
              </w:rPr>
              <w:t>Version 1.5</w:t>
            </w:r>
            <w:r w:rsidR="00AD25B0" w:rsidRPr="03E39D71">
              <w:rPr>
                <w:b/>
                <w:sz w:val="20"/>
              </w:rPr>
              <w:t xml:space="preserve"> </w:t>
            </w:r>
            <w:r>
              <w:br/>
            </w:r>
            <w:r w:rsidRPr="03E39D71">
              <w:rPr>
                <w:i/>
                <w:sz w:val="20"/>
              </w:rPr>
              <w:t>19-Dec-2019</w:t>
            </w:r>
          </w:p>
        </w:tc>
        <w:tc>
          <w:tcPr>
            <w:tcW w:w="7480" w:type="dxa"/>
          </w:tcPr>
          <w:p w14:paraId="3213D21D" w14:textId="7190D0EE" w:rsidR="002777A5" w:rsidRPr="00046109" w:rsidRDefault="5AB60634" w:rsidP="000E0997">
            <w:pPr>
              <w:pStyle w:val="C-TableText"/>
              <w:rPr>
                <w:sz w:val="20"/>
              </w:rPr>
            </w:pPr>
            <w:r w:rsidRPr="3F91377D">
              <w:rPr>
                <w:sz w:val="20"/>
              </w:rPr>
              <w:t>The primary purpose of this amendment was to clarify the basis for activation of Phase 2 of the study.</w:t>
            </w:r>
          </w:p>
        </w:tc>
      </w:tr>
      <w:tr w:rsidR="002777A5" w:rsidRPr="00046109" w14:paraId="5EB11E64" w14:textId="77777777" w:rsidTr="3F91377D">
        <w:tc>
          <w:tcPr>
            <w:tcW w:w="1587" w:type="dxa"/>
          </w:tcPr>
          <w:p w14:paraId="5514716C" w14:textId="1D229880" w:rsidR="002777A5" w:rsidRPr="00046109" w:rsidRDefault="002777A5" w:rsidP="00AD25B0">
            <w:pPr>
              <w:pStyle w:val="C-TableText"/>
              <w:rPr>
                <w:i/>
                <w:sz w:val="20"/>
              </w:rPr>
            </w:pPr>
            <w:r w:rsidRPr="03E39D71">
              <w:rPr>
                <w:b/>
                <w:sz w:val="20"/>
              </w:rPr>
              <w:t>Version 2.1</w:t>
            </w:r>
            <w:r w:rsidR="00AD25B0" w:rsidRPr="03E39D71">
              <w:rPr>
                <w:b/>
                <w:sz w:val="20"/>
              </w:rPr>
              <w:t xml:space="preserve"> </w:t>
            </w:r>
            <w:r>
              <w:br/>
            </w:r>
            <w:r w:rsidRPr="03E39D71">
              <w:rPr>
                <w:i/>
                <w:sz w:val="20"/>
              </w:rPr>
              <w:t>01-Apr-2020</w:t>
            </w:r>
          </w:p>
        </w:tc>
        <w:tc>
          <w:tcPr>
            <w:tcW w:w="7480" w:type="dxa"/>
          </w:tcPr>
          <w:p w14:paraId="59459D51" w14:textId="0F7558F4" w:rsidR="002777A5" w:rsidRPr="00046109" w:rsidRDefault="002777A5" w:rsidP="001C6A34">
            <w:pPr>
              <w:pStyle w:val="C-TableText"/>
              <w:rPr>
                <w:sz w:val="20"/>
                <w:szCs w:val="18"/>
              </w:rPr>
            </w:pPr>
            <w:r w:rsidRPr="00046109">
              <w:rPr>
                <w:sz w:val="20"/>
                <w:szCs w:val="18"/>
              </w:rPr>
              <w:t>The primary purpose of this amendment was to reflect the addition of investigative sites in Spain and the UK for the Phase 2 portion of the study</w:t>
            </w:r>
            <w:r w:rsidR="001C6A34" w:rsidRPr="00046109">
              <w:rPr>
                <w:sz w:val="20"/>
                <w:szCs w:val="18"/>
              </w:rPr>
              <w:t>.</w:t>
            </w:r>
          </w:p>
        </w:tc>
      </w:tr>
      <w:tr w:rsidR="002777A5" w:rsidRPr="00046109" w14:paraId="492EAD08" w14:textId="77777777" w:rsidTr="3F91377D">
        <w:tc>
          <w:tcPr>
            <w:tcW w:w="1587" w:type="dxa"/>
          </w:tcPr>
          <w:p w14:paraId="15BFDD10" w14:textId="5D3E8B6E" w:rsidR="002777A5" w:rsidRPr="00046109" w:rsidRDefault="002777A5" w:rsidP="00AD25B0">
            <w:pPr>
              <w:pStyle w:val="C-TableText"/>
              <w:rPr>
                <w:i/>
                <w:sz w:val="20"/>
              </w:rPr>
            </w:pPr>
            <w:r w:rsidRPr="03E39D71">
              <w:rPr>
                <w:b/>
                <w:sz w:val="20"/>
              </w:rPr>
              <w:t>Version 2.2</w:t>
            </w:r>
            <w:r w:rsidR="00AD25B0" w:rsidRPr="03E39D71">
              <w:rPr>
                <w:b/>
                <w:sz w:val="20"/>
              </w:rPr>
              <w:t xml:space="preserve"> </w:t>
            </w:r>
            <w:r>
              <w:br/>
            </w:r>
            <w:r w:rsidRPr="03E39D71">
              <w:rPr>
                <w:i/>
                <w:sz w:val="20"/>
              </w:rPr>
              <w:t>02-Oct-2020</w:t>
            </w:r>
          </w:p>
        </w:tc>
        <w:tc>
          <w:tcPr>
            <w:tcW w:w="7480" w:type="dxa"/>
          </w:tcPr>
          <w:p w14:paraId="7C905C37" w14:textId="398DB80B" w:rsidR="002777A5" w:rsidRPr="00046109" w:rsidRDefault="002777A5" w:rsidP="00720261">
            <w:pPr>
              <w:pStyle w:val="C-TableText"/>
              <w:rPr>
                <w:sz w:val="20"/>
                <w:szCs w:val="18"/>
              </w:rPr>
            </w:pPr>
            <w:r w:rsidRPr="00046109">
              <w:rPr>
                <w:sz w:val="20"/>
                <w:szCs w:val="18"/>
              </w:rPr>
              <w:t>This amendment revised the cumulative target AUC for busulfan from 65,000 ng/mL*hour to 75,000 ng/mL*hour.</w:t>
            </w:r>
          </w:p>
        </w:tc>
      </w:tr>
      <w:tr w:rsidR="002777A5" w:rsidRPr="00046109" w14:paraId="6A72704B" w14:textId="77777777" w:rsidTr="3F91377D">
        <w:tc>
          <w:tcPr>
            <w:tcW w:w="1587" w:type="dxa"/>
          </w:tcPr>
          <w:p w14:paraId="01A4767F" w14:textId="371911B5" w:rsidR="002777A5" w:rsidRPr="00046109" w:rsidRDefault="002777A5" w:rsidP="00AD25B0">
            <w:pPr>
              <w:pStyle w:val="C-TableText"/>
              <w:rPr>
                <w:b/>
                <w:i/>
                <w:sz w:val="20"/>
              </w:rPr>
            </w:pPr>
            <w:r w:rsidRPr="03E39D71">
              <w:rPr>
                <w:b/>
                <w:sz w:val="20"/>
              </w:rPr>
              <w:t>Version 2.3</w:t>
            </w:r>
            <w:r w:rsidR="00AD25B0" w:rsidRPr="03E39D71">
              <w:rPr>
                <w:b/>
                <w:sz w:val="20"/>
              </w:rPr>
              <w:t xml:space="preserve"> </w:t>
            </w:r>
            <w:r>
              <w:br/>
            </w:r>
            <w:r w:rsidRPr="03E39D71">
              <w:rPr>
                <w:i/>
                <w:sz w:val="20"/>
              </w:rPr>
              <w:t>07-Jun-2021</w:t>
            </w:r>
          </w:p>
        </w:tc>
        <w:tc>
          <w:tcPr>
            <w:tcW w:w="7480" w:type="dxa"/>
          </w:tcPr>
          <w:p w14:paraId="1D62981E" w14:textId="043077B5" w:rsidR="002777A5" w:rsidRPr="00046109" w:rsidRDefault="001C6A34" w:rsidP="00720261">
            <w:pPr>
              <w:pStyle w:val="C-TableText"/>
              <w:rPr>
                <w:sz w:val="20"/>
                <w:szCs w:val="18"/>
              </w:rPr>
            </w:pPr>
            <w:r w:rsidRPr="00046109">
              <w:rPr>
                <w:sz w:val="20"/>
                <w:szCs w:val="18"/>
              </w:rPr>
              <w:t xml:space="preserve">This amendment </w:t>
            </w:r>
            <w:r w:rsidR="002777A5" w:rsidRPr="00046109">
              <w:rPr>
                <w:sz w:val="20"/>
                <w:szCs w:val="18"/>
              </w:rPr>
              <w:t xml:space="preserve">incorporated recommendations from this study’s Independent Data Monitoring Committee for additional assessments to </w:t>
            </w:r>
            <w:proofErr w:type="gramStart"/>
            <w:r w:rsidR="002777A5" w:rsidRPr="00046109">
              <w:rPr>
                <w:sz w:val="20"/>
                <w:szCs w:val="18"/>
              </w:rPr>
              <w:t>monitor for</w:t>
            </w:r>
            <w:proofErr w:type="gramEnd"/>
            <w:r w:rsidR="002777A5" w:rsidRPr="00046109">
              <w:rPr>
                <w:sz w:val="20"/>
                <w:szCs w:val="18"/>
              </w:rPr>
              <w:t xml:space="preserve"> pulmonary arterial hypertension and thrombotic microangiopathy.</w:t>
            </w:r>
          </w:p>
        </w:tc>
      </w:tr>
      <w:tr w:rsidR="002777A5" w:rsidRPr="00046109" w14:paraId="0991894C" w14:textId="77777777" w:rsidTr="3F91377D">
        <w:tc>
          <w:tcPr>
            <w:tcW w:w="1587" w:type="dxa"/>
          </w:tcPr>
          <w:p w14:paraId="2946DBCD" w14:textId="2682C7A4" w:rsidR="002777A5" w:rsidRPr="00046109" w:rsidRDefault="002777A5" w:rsidP="75B57A72">
            <w:pPr>
              <w:pStyle w:val="C-TableText"/>
              <w:rPr>
                <w:i/>
                <w:iCs/>
                <w:sz w:val="20"/>
              </w:rPr>
            </w:pPr>
            <w:r w:rsidRPr="75B57A72">
              <w:rPr>
                <w:b/>
                <w:bCs/>
                <w:sz w:val="20"/>
              </w:rPr>
              <w:t>Version 3.0</w:t>
            </w:r>
            <w:r w:rsidR="00AD25B0" w:rsidRPr="75B57A72">
              <w:rPr>
                <w:b/>
                <w:bCs/>
                <w:sz w:val="20"/>
              </w:rPr>
              <w:t xml:space="preserve"> </w:t>
            </w:r>
            <w:r>
              <w:br/>
            </w:r>
            <w:r w:rsidR="54CEC533" w:rsidRPr="75B57A72">
              <w:rPr>
                <w:i/>
                <w:iCs/>
                <w:sz w:val="20"/>
              </w:rPr>
              <w:t>0</w:t>
            </w:r>
            <w:r w:rsidRPr="75B57A72">
              <w:rPr>
                <w:i/>
                <w:iCs/>
                <w:sz w:val="20"/>
              </w:rPr>
              <w:t>3-Feb-2023</w:t>
            </w:r>
          </w:p>
        </w:tc>
        <w:tc>
          <w:tcPr>
            <w:tcW w:w="7480" w:type="dxa"/>
          </w:tcPr>
          <w:p w14:paraId="1E6AFDA6" w14:textId="599E0E91" w:rsidR="002777A5" w:rsidRPr="00046109" w:rsidRDefault="00AD25B0" w:rsidP="00720261">
            <w:pPr>
              <w:pStyle w:val="C-TableText"/>
              <w:rPr>
                <w:sz w:val="20"/>
                <w:szCs w:val="18"/>
              </w:rPr>
            </w:pPr>
            <w:r w:rsidRPr="00046109">
              <w:rPr>
                <w:sz w:val="20"/>
                <w:szCs w:val="18"/>
              </w:rPr>
              <w:t xml:space="preserve">This amendment </w:t>
            </w:r>
            <w:r w:rsidR="002777A5" w:rsidRPr="00046109">
              <w:rPr>
                <w:sz w:val="20"/>
                <w:szCs w:val="18"/>
              </w:rPr>
              <w:t>incorporated recommendations from the FDA on monitoring of Insertional mutation analysis (ISA) and clarified endpoints and the associated definitions. The modifications did not substantively modify the efficacy and safety objectives and endpoints.</w:t>
            </w:r>
          </w:p>
        </w:tc>
      </w:tr>
    </w:tbl>
    <w:p w14:paraId="566036E8" w14:textId="090E99F8" w:rsidR="38F0C70D" w:rsidRDefault="38F0C70D" w:rsidP="76BC279D">
      <w:pPr>
        <w:pStyle w:val="Text"/>
        <w:rPr>
          <w:b/>
          <w:bCs/>
        </w:rPr>
      </w:pPr>
      <w:r w:rsidRPr="3F91377D">
        <w:rPr>
          <w:b/>
          <w:bCs/>
        </w:rPr>
        <w:t>Changes in Planned Analysis</w:t>
      </w:r>
    </w:p>
    <w:p w14:paraId="322EFBF6" w14:textId="67479289" w:rsidR="38F0C70D" w:rsidRDefault="38F0C70D" w:rsidP="76BC279D">
      <w:pPr>
        <w:pStyle w:val="Text"/>
      </w:pPr>
      <w:r>
        <w:t xml:space="preserve">As </w:t>
      </w:r>
      <w:proofErr w:type="gramStart"/>
      <w:r>
        <w:t>of</w:t>
      </w:r>
      <w:proofErr w:type="gramEnd"/>
      <w:r>
        <w:t xml:space="preserve"> the finalization of the CSR, there was one SAP amendment. </w:t>
      </w:r>
      <w:r w:rsidR="09C55320">
        <w:t xml:space="preserve">SAP Version 2.0 updated the section on neutrophil CD18 expression to remove the use of level data for the analysis of CD18 and added AE tables to display relationship to IP and pre-infusion procedures and treatments. There were no other changes to the planned analyses as outlined in </w:t>
      </w:r>
      <w:proofErr w:type="gramStart"/>
      <w:r w:rsidR="09C55320">
        <w:t>the SAP</w:t>
      </w:r>
      <w:proofErr w:type="gramEnd"/>
      <w:r w:rsidR="09C55320">
        <w:t>.</w:t>
      </w:r>
    </w:p>
    <w:p w14:paraId="7213EFE6" w14:textId="06448C44" w:rsidR="00E464A6" w:rsidRDefault="008D114A" w:rsidP="00E464A6">
      <w:pPr>
        <w:pStyle w:val="Text"/>
      </w:pPr>
      <w:r w:rsidRPr="00F8174C">
        <w:rPr>
          <w:b/>
          <w:bCs/>
        </w:rPr>
        <w:t>Criteria for evaluation:</w:t>
      </w:r>
    </w:p>
    <w:p w14:paraId="35310769" w14:textId="6D09C477" w:rsidR="008F1043" w:rsidRDefault="00E464A6" w:rsidP="008F1043">
      <w:pPr>
        <w:pStyle w:val="Text"/>
      </w:pPr>
      <w:r w:rsidRPr="00F8174C">
        <w:rPr>
          <w:b/>
        </w:rPr>
        <w:t>Efficacy</w:t>
      </w:r>
      <w:r w:rsidRPr="00F8174C">
        <w:t xml:space="preserve">: </w:t>
      </w:r>
      <w:r w:rsidR="008F1043">
        <w:t>The primary efficacy endpoint was survival, defined as the proportion of patients alive at least 1-year post-IP infusion without allogeneic HSCT and at age 2 without allogeneic HSCT for patients less than 1 year of age at study enrollment.</w:t>
      </w:r>
    </w:p>
    <w:p w14:paraId="34F624F5" w14:textId="77777777" w:rsidR="008F1043" w:rsidRDefault="008F1043" w:rsidP="008F1043">
      <w:pPr>
        <w:pStyle w:val="Text"/>
      </w:pPr>
      <w:r>
        <w:t>Secondary efficacy endpoints were:</w:t>
      </w:r>
    </w:p>
    <w:p w14:paraId="18837124" w14:textId="748501EE" w:rsidR="00691833" w:rsidRDefault="5D9C2396" w:rsidP="00691833">
      <w:pPr>
        <w:pStyle w:val="Text"/>
        <w:spacing w:before="40" w:after="40"/>
        <w:ind w:left="360" w:hanging="360"/>
      </w:pPr>
      <w:r>
        <w:t>•</w:t>
      </w:r>
      <w:r w:rsidR="00691833">
        <w:tab/>
      </w:r>
      <w:r>
        <w:t>Statistically significant reduction in 1) the incidence of significant infections, defined as requiring hospitalization or parenteral antimicrobials, 2) of infection-</w:t>
      </w:r>
      <w:r w:rsidR="7AF3A5BF">
        <w:t>related hospitalizations</w:t>
      </w:r>
      <w:r>
        <w:t>, and 3) of prolonged infection-related hospitalizations (≥7 days), analyzed per patient and across the entire cohort, comparing event rates pre-infusion to those following hematologic reconstitution.</w:t>
      </w:r>
    </w:p>
    <w:p w14:paraId="059828EE" w14:textId="77777777" w:rsidR="00691833" w:rsidRPr="00F8174C" w:rsidRDefault="00691833" w:rsidP="00691833">
      <w:pPr>
        <w:pStyle w:val="Text"/>
        <w:spacing w:before="40" w:after="40"/>
        <w:ind w:left="360" w:hanging="360"/>
      </w:pPr>
      <w:r>
        <w:t>•</w:t>
      </w:r>
      <w:r>
        <w:tab/>
        <w:t xml:space="preserve">EFS without graft failure and without </w:t>
      </w:r>
      <w:proofErr w:type="spellStart"/>
      <w:r>
        <w:t>aGvHD</w:t>
      </w:r>
      <w:proofErr w:type="spellEnd"/>
      <w:r>
        <w:t xml:space="preserve"> grade 2 to 4.</w:t>
      </w:r>
    </w:p>
    <w:p w14:paraId="7D0ABAF6" w14:textId="77777777" w:rsidR="00691833" w:rsidRDefault="00691833" w:rsidP="00691833">
      <w:pPr>
        <w:pStyle w:val="Text"/>
        <w:spacing w:before="40" w:after="40"/>
        <w:ind w:left="360" w:hanging="360"/>
      </w:pPr>
      <w:r>
        <w:t>•</w:t>
      </w:r>
      <w:r>
        <w:tab/>
        <w:t xml:space="preserve">Chim-CD18-WPRE LV VCN in blood and BM cells, as determined via quantitative Polymerase Chain Reaction (PCR) or digital droplet PCR at specified time points pre- and </w:t>
      </w:r>
      <w:r>
        <w:lastRenderedPageBreak/>
        <w:t>post-infusion, including assessment of the percentage of patients with PBMC and PB CD15+ cell VCN of at least 0.1.</w:t>
      </w:r>
    </w:p>
    <w:p w14:paraId="61F48E5D" w14:textId="3966E470" w:rsidR="008F1043" w:rsidRDefault="008F1043" w:rsidP="00691833">
      <w:pPr>
        <w:pStyle w:val="Text"/>
        <w:numPr>
          <w:ilvl w:val="0"/>
          <w:numId w:val="19"/>
        </w:numPr>
        <w:spacing w:before="40" w:after="40"/>
      </w:pPr>
      <w:r>
        <w:t>Change in the CD18 expression from pre- to post-infusion (and increased expression of additional β-2 integrin components CD11a and CD11b) in PB neutrophils, as determined by flow cytometry, including assessment of the percentage of patients with CD18 expression on at least 10% of neutrophils.</w:t>
      </w:r>
    </w:p>
    <w:p w14:paraId="57415B44" w14:textId="77777777" w:rsidR="008F1043" w:rsidRDefault="008F1043" w:rsidP="00E464A6">
      <w:pPr>
        <w:pStyle w:val="Text"/>
        <w:spacing w:before="40" w:after="40"/>
        <w:ind w:left="360" w:hanging="360"/>
      </w:pPr>
      <w:r>
        <w:t>•</w:t>
      </w:r>
      <w:r>
        <w:tab/>
        <w:t>Decrease (from pre-infusion) of LAD-I-associated neutrophilia and leukocytosis.</w:t>
      </w:r>
    </w:p>
    <w:p w14:paraId="01573711" w14:textId="77777777" w:rsidR="008F1043" w:rsidRDefault="008F1043" w:rsidP="00E464A6">
      <w:pPr>
        <w:pStyle w:val="Text"/>
        <w:spacing w:before="40" w:after="40"/>
        <w:ind w:left="360" w:hanging="360"/>
      </w:pPr>
      <w:r>
        <w:t>•</w:t>
      </w:r>
      <w:r>
        <w:tab/>
        <w:t>Resolution (partial or complete) of any underlying LAD-I-related skin rash or periodontal abnormalities as determined by the treating Investigator. Lesions were to be graded based on interval changes from baseline to show worsening, no change, partial improvement, or resolution of lesions.</w:t>
      </w:r>
    </w:p>
    <w:p w14:paraId="2F570D19" w14:textId="14ABC0B1" w:rsidR="00904B9A" w:rsidRDefault="008D114A" w:rsidP="00B172B6">
      <w:pPr>
        <w:pStyle w:val="Text"/>
        <w:keepNext/>
      </w:pPr>
      <w:r w:rsidRPr="00F8174C">
        <w:rPr>
          <w:b/>
        </w:rPr>
        <w:t>Safety</w:t>
      </w:r>
      <w:r w:rsidRPr="00F8174C">
        <w:t xml:space="preserve">: </w:t>
      </w:r>
      <w:r w:rsidR="00904B9A">
        <w:t>Safety in this study included AEs</w:t>
      </w:r>
      <w:r w:rsidR="00C053AA">
        <w:t xml:space="preserve"> and</w:t>
      </w:r>
      <w:r w:rsidR="00904B9A">
        <w:t xml:space="preserve"> SAEs.</w:t>
      </w:r>
      <w:r w:rsidR="00B172B6">
        <w:t xml:space="preserve"> </w:t>
      </w:r>
      <w:r w:rsidR="00904B9A">
        <w:t>Safety assessments germane to gene therapy are:</w:t>
      </w:r>
    </w:p>
    <w:p w14:paraId="399E4988" w14:textId="549DD995" w:rsidR="00904B9A" w:rsidRDefault="00904B9A" w:rsidP="00904B9A">
      <w:pPr>
        <w:pStyle w:val="Text"/>
        <w:spacing w:before="40" w:after="40"/>
        <w:ind w:left="360" w:hanging="360"/>
      </w:pPr>
      <w:r>
        <w:t>•</w:t>
      </w:r>
      <w:r>
        <w:tab/>
        <w:t>Insertional mutagenesis</w:t>
      </w:r>
      <w:r w:rsidR="009113AD">
        <w:t xml:space="preserve"> by e</w:t>
      </w:r>
      <w:r>
        <w:t>valuation of gene modified clonal repertoire and lentiviral ISA in blood.</w:t>
      </w:r>
    </w:p>
    <w:p w14:paraId="0877C1E6" w14:textId="70D22AE7" w:rsidR="00904B9A" w:rsidRDefault="00904B9A" w:rsidP="00904B9A">
      <w:pPr>
        <w:pStyle w:val="Text"/>
        <w:spacing w:before="40" w:after="40"/>
        <w:ind w:left="360" w:hanging="360"/>
      </w:pPr>
      <w:r>
        <w:t>•</w:t>
      </w:r>
      <w:r>
        <w:tab/>
        <w:t>RCL in blood.</w:t>
      </w:r>
    </w:p>
    <w:p w14:paraId="75563FB6" w14:textId="28B2502F" w:rsidR="00904B9A" w:rsidRDefault="00904B9A" w:rsidP="00904B9A">
      <w:pPr>
        <w:pStyle w:val="Text"/>
        <w:spacing w:before="40" w:after="40"/>
        <w:ind w:left="360" w:hanging="360"/>
      </w:pPr>
      <w:r>
        <w:t>•</w:t>
      </w:r>
      <w:r>
        <w:tab/>
        <w:t>Immunogenicity</w:t>
      </w:r>
      <w:r w:rsidR="009113AD">
        <w:t xml:space="preserve"> by </w:t>
      </w:r>
      <w:r>
        <w:t>evidence of antibodies against CD18 (or other β2-integrin components CD11a or CD11b, or LV components) in blood.</w:t>
      </w:r>
    </w:p>
    <w:p w14:paraId="08D71AF0" w14:textId="77777777" w:rsidR="00904B9A" w:rsidRDefault="00904B9A" w:rsidP="00904B9A">
      <w:pPr>
        <w:pStyle w:val="Text"/>
        <w:spacing w:before="40" w:after="40"/>
        <w:ind w:left="360" w:hanging="360"/>
      </w:pPr>
      <w:r>
        <w:t>•</w:t>
      </w:r>
      <w:r>
        <w:tab/>
        <w:t>Incidence of respiratory complications (including, but not limited to, pneumonitis).</w:t>
      </w:r>
    </w:p>
    <w:p w14:paraId="3F31195E" w14:textId="77777777" w:rsidR="00904B9A" w:rsidRDefault="00904B9A" w:rsidP="00904B9A">
      <w:pPr>
        <w:pStyle w:val="Text"/>
        <w:spacing w:before="40" w:after="40"/>
        <w:ind w:left="360" w:hanging="360"/>
      </w:pPr>
      <w:r>
        <w:t>•</w:t>
      </w:r>
      <w:r>
        <w:tab/>
        <w:t>Incidence of hepatic complications (including, but not limited to, VOD).</w:t>
      </w:r>
    </w:p>
    <w:p w14:paraId="50113ED9" w14:textId="3F7E4AB7" w:rsidR="00BB3F45" w:rsidRPr="00F8174C" w:rsidRDefault="00904B9A" w:rsidP="00904B9A">
      <w:pPr>
        <w:pStyle w:val="Text"/>
      </w:pPr>
      <w:r>
        <w:t>Safety assessments relevant to LAD-I patients included assessments for the development of bacterial, fungal, and viral infections.</w:t>
      </w:r>
    </w:p>
    <w:p w14:paraId="145224B7" w14:textId="3C29CD9A" w:rsidR="00BB3F45" w:rsidRPr="00F8174C" w:rsidRDefault="008D114A" w:rsidP="00F8174C">
      <w:pPr>
        <w:pStyle w:val="TextStyle0"/>
      </w:pPr>
      <w:r w:rsidRPr="00F8174C">
        <w:rPr>
          <w:b/>
          <w:bCs/>
        </w:rPr>
        <w:t>Statistical methods:</w:t>
      </w:r>
      <w:r w:rsidRPr="00F8174C">
        <w:t xml:space="preserve"> </w:t>
      </w:r>
      <w:r w:rsidR="00A200ED" w:rsidRPr="00A200ED">
        <w:t>The frequency of qualitative endpoints is described by the cumulative incidence and its 95% confidence interval. Due to the small sample size, the exact confidence interval based on binomial distribution was calculated. The Kaplan-Meier survivor function and the Nelson-Aalen cumulative hazard function were estimated for those endpoints for which the time to event occurrence was recorded. Descriptive statistics (mean, median, standard deviation, quartiles, minimum and maximum) are presented for the values of quantitative endpoints and their absolute and relative changes from baseline at scheduled visits. The 95% confidence intervals are presented for both mean and median values.</w:t>
      </w:r>
    </w:p>
    <w:p w14:paraId="28AFAEB5" w14:textId="77777777" w:rsidR="00BB3F45" w:rsidRPr="00F8174C" w:rsidRDefault="008D114A" w:rsidP="00F8174C">
      <w:pPr>
        <w:pStyle w:val="Text"/>
        <w:rPr>
          <w:b/>
          <w:bCs/>
        </w:rPr>
      </w:pPr>
      <w:r w:rsidRPr="00F8174C">
        <w:rPr>
          <w:b/>
          <w:bCs/>
        </w:rPr>
        <w:t>Summary - Results</w:t>
      </w:r>
    </w:p>
    <w:p w14:paraId="59B5090F" w14:textId="0C322946" w:rsidR="00BB3F45" w:rsidRPr="00F8174C" w:rsidRDefault="6D6FF2E5" w:rsidP="00F8174C">
      <w:pPr>
        <w:pStyle w:val="Text"/>
      </w:pPr>
      <w:r w:rsidRPr="3F91377D">
        <w:rPr>
          <w:b/>
          <w:bCs/>
        </w:rPr>
        <w:t>D</w:t>
      </w:r>
      <w:r w:rsidR="75E9F4EA" w:rsidRPr="3F91377D">
        <w:rPr>
          <w:b/>
          <w:bCs/>
        </w:rPr>
        <w:t>emographic and background characteristics:</w:t>
      </w:r>
      <w:r w:rsidR="75E9F4EA">
        <w:t xml:space="preserve"> </w:t>
      </w:r>
      <w:r w:rsidR="2500C994">
        <w:t xml:space="preserve">Of 9 total subjects, there were 5 </w:t>
      </w:r>
      <w:r w:rsidR="25C5998A">
        <w:t>male,</w:t>
      </w:r>
      <w:r w:rsidR="2500C994">
        <w:t xml:space="preserve"> and 4 female subjects enrolled in the study. </w:t>
      </w:r>
      <w:r w:rsidR="22095D6B">
        <w:t xml:space="preserve">7 </w:t>
      </w:r>
      <w:r w:rsidR="2FE45F06">
        <w:t>subjects</w:t>
      </w:r>
      <w:r w:rsidR="22095D6B">
        <w:t xml:space="preserve"> were &lt;</w:t>
      </w:r>
      <w:bookmarkStart w:id="1" w:name="_Int_lPvs00PZ"/>
      <w:r w:rsidR="22095D6B">
        <w:t>48 months</w:t>
      </w:r>
      <w:bookmarkEnd w:id="1"/>
      <w:r w:rsidR="22095D6B">
        <w:t xml:space="preserve"> of age at screening, including 3 </w:t>
      </w:r>
      <w:r w:rsidR="7C179B06">
        <w:t>subjects</w:t>
      </w:r>
      <w:r w:rsidR="22095D6B">
        <w:t xml:space="preserve"> under 12 months of age. The median age at screening was </w:t>
      </w:r>
      <w:bookmarkStart w:id="2" w:name="_Int_Vy4tnw3w"/>
      <w:r w:rsidR="22095D6B">
        <w:t>36.0 months</w:t>
      </w:r>
      <w:bookmarkEnd w:id="2"/>
      <w:r w:rsidR="22095D6B">
        <w:t xml:space="preserve"> and at infusion was </w:t>
      </w:r>
      <w:bookmarkStart w:id="3" w:name="_Int_JSbfCeft"/>
      <w:r w:rsidR="22095D6B">
        <w:t>42 months</w:t>
      </w:r>
      <w:bookmarkEnd w:id="3"/>
      <w:r w:rsidR="22095D6B">
        <w:t xml:space="preserve">. </w:t>
      </w:r>
      <w:r w:rsidR="6A5BB110">
        <w:t>Most</w:t>
      </w:r>
      <w:r w:rsidR="22095D6B">
        <w:t xml:space="preserve"> </w:t>
      </w:r>
      <w:r w:rsidR="1E9D7B37">
        <w:t>subjects</w:t>
      </w:r>
      <w:r w:rsidR="22095D6B">
        <w:t xml:space="preserve"> were from the United States.</w:t>
      </w:r>
      <w:r w:rsidR="0338F26B">
        <w:t xml:space="preserve"> </w:t>
      </w:r>
    </w:p>
    <w:p w14:paraId="7FAD9987" w14:textId="6B98E1C8" w:rsidR="00BB3F45" w:rsidRPr="00F8174C" w:rsidRDefault="008D114A" w:rsidP="00F8174C">
      <w:pPr>
        <w:pStyle w:val="TextStyle0"/>
      </w:pPr>
      <w:r w:rsidRPr="00F8174C">
        <w:rPr>
          <w:b/>
          <w:bCs/>
        </w:rPr>
        <w:t>Protocol deviations:</w:t>
      </w:r>
      <w:r w:rsidRPr="00F8174C">
        <w:t xml:space="preserve"> </w:t>
      </w:r>
      <w:r w:rsidR="005E6719" w:rsidRPr="005E6719">
        <w:t>Major protocol deviations were observed during the study; all but one were due to lack of reconsenting with latest ICF version prior to a visit. None of the protocol deviations impacted the data collected from the patients or their analysis.</w:t>
      </w:r>
    </w:p>
    <w:p w14:paraId="74DC5640" w14:textId="02FB85F5" w:rsidR="00BB3F45" w:rsidRPr="00F8174C" w:rsidRDefault="75E9F4EA" w:rsidP="00F8174C">
      <w:pPr>
        <w:pStyle w:val="TextStyle0"/>
      </w:pPr>
      <w:r w:rsidRPr="3F91377D">
        <w:rPr>
          <w:b/>
          <w:bCs/>
        </w:rPr>
        <w:t>Exposure</w:t>
      </w:r>
      <w:r>
        <w:t xml:space="preserve">: </w:t>
      </w:r>
      <w:r w:rsidR="7A1D518B">
        <w:t xml:space="preserve">All 9 </w:t>
      </w:r>
      <w:r w:rsidR="23B2F7F6">
        <w:t>subjects</w:t>
      </w:r>
      <w:r w:rsidR="7A1D518B">
        <w:t xml:space="preserve"> in the ITT population received the IP; the median cell dose was </w:t>
      </w:r>
      <w:r w:rsidR="4B54EB6F">
        <w:t>4.3</w:t>
      </w:r>
      <w:r w:rsidR="7A1D518B">
        <w:t> x 10</w:t>
      </w:r>
      <w:r w:rsidR="7A1D518B" w:rsidRPr="3F91377D">
        <w:rPr>
          <w:vertAlign w:val="superscript"/>
        </w:rPr>
        <w:t>6</w:t>
      </w:r>
      <w:r w:rsidR="7A1D518B">
        <w:t xml:space="preserve"> CD34+cells/kg (range: 2.8 x 10</w:t>
      </w:r>
      <w:r w:rsidR="7A1D518B" w:rsidRPr="3F91377D">
        <w:rPr>
          <w:vertAlign w:val="superscript"/>
        </w:rPr>
        <w:t>6</w:t>
      </w:r>
      <w:r w:rsidR="7A1D518B">
        <w:t xml:space="preserve"> CD34+cells/kg – 10.0 x 10</w:t>
      </w:r>
      <w:r w:rsidR="7A1D518B" w:rsidRPr="3F91377D">
        <w:rPr>
          <w:vertAlign w:val="superscript"/>
        </w:rPr>
        <w:t>6</w:t>
      </w:r>
      <w:r w:rsidR="7A1D518B">
        <w:t xml:space="preserve"> CD34+cells/kg).</w:t>
      </w:r>
    </w:p>
    <w:p w14:paraId="774FBE41" w14:textId="2ABA5C34" w:rsidR="1C7779AA" w:rsidRDefault="1C7779AA" w:rsidP="76BC279D">
      <w:pPr>
        <w:pStyle w:val="TextStyle0"/>
      </w:pPr>
      <w:r w:rsidRPr="3F91377D">
        <w:rPr>
          <w:b/>
          <w:bCs/>
        </w:rPr>
        <w:lastRenderedPageBreak/>
        <w:t>Compliance</w:t>
      </w:r>
      <w:r>
        <w:t>: One of 9 treated subjects received IP that had been collected via two separate apheresis sequences and was administered sequentially, with a 73-minute observation period between infusions, as per protocol which stipulated a 60-minute minimum observation period between sequences.</w:t>
      </w:r>
    </w:p>
    <w:p w14:paraId="2B031633" w14:textId="29F6E2FC" w:rsidR="21BA3755" w:rsidRDefault="75E9F4EA" w:rsidP="76BC279D">
      <w:pPr>
        <w:pStyle w:val="TextStyle0"/>
      </w:pPr>
      <w:r w:rsidRPr="49192AA2">
        <w:rPr>
          <w:b/>
          <w:bCs/>
        </w:rPr>
        <w:t>Efficacy results:</w:t>
      </w:r>
      <w:r>
        <w:t xml:space="preserve"> </w:t>
      </w:r>
      <w:r w:rsidR="038B754C">
        <w:t>I</w:t>
      </w:r>
      <w:r w:rsidR="038B754C" w:rsidRPr="1E828CE1">
        <w:rPr>
          <w:rFonts w:eastAsia="Times New Roman"/>
          <w:color w:val="000000" w:themeColor="text1"/>
        </w:rPr>
        <w:t>n study</w:t>
      </w:r>
      <w:r w:rsidR="577D39BB" w:rsidRPr="1E828CE1">
        <w:rPr>
          <w:rFonts w:eastAsia="Times New Roman"/>
          <w:color w:val="000000" w:themeColor="text1"/>
        </w:rPr>
        <w:t xml:space="preserve"> RP-L201-0318</w:t>
      </w:r>
      <w:r w:rsidR="038B754C" w:rsidRPr="1E828CE1">
        <w:rPr>
          <w:rFonts w:eastAsia="Times New Roman"/>
          <w:color w:val="000000" w:themeColor="text1"/>
        </w:rPr>
        <w:t>, all 9 subjects received treatment with RP-L201 (median CD34+ cell dose = 4.3 ×10</w:t>
      </w:r>
      <w:r w:rsidR="038B754C" w:rsidRPr="1E828CE1">
        <w:rPr>
          <w:rFonts w:eastAsia="Times New Roman"/>
          <w:color w:val="000000" w:themeColor="text1"/>
          <w:vertAlign w:val="superscript"/>
        </w:rPr>
        <w:t>6</w:t>
      </w:r>
      <w:r w:rsidR="038B754C" w:rsidRPr="1E828CE1">
        <w:rPr>
          <w:rFonts w:eastAsia="Times New Roman"/>
          <w:color w:val="000000" w:themeColor="text1"/>
        </w:rPr>
        <w:t xml:space="preserve"> cells/kg;</w:t>
      </w:r>
      <w:r w:rsidR="2AD17F85" w:rsidRPr="1E828CE1">
        <w:rPr>
          <w:rFonts w:eastAsia="Times New Roman"/>
          <w:color w:val="000000" w:themeColor="text1"/>
        </w:rPr>
        <w:t xml:space="preserve"> </w:t>
      </w:r>
      <w:r w:rsidR="038B754C" w:rsidRPr="1E828CE1">
        <w:rPr>
          <w:rFonts w:eastAsia="Times New Roman"/>
          <w:color w:val="000000" w:themeColor="text1"/>
        </w:rPr>
        <w:t>median</w:t>
      </w:r>
      <w:r w:rsidR="4D15B89B" w:rsidRPr="1E828CE1">
        <w:rPr>
          <w:rFonts w:eastAsia="Times New Roman"/>
          <w:color w:val="000000" w:themeColor="text1"/>
        </w:rPr>
        <w:t xml:space="preserve"> VCN</w:t>
      </w:r>
      <w:r w:rsidR="038B754C" w:rsidRPr="1E828CE1">
        <w:rPr>
          <w:rFonts w:eastAsia="Times New Roman"/>
          <w:color w:val="000000" w:themeColor="text1"/>
        </w:rPr>
        <w:t xml:space="preserve"> in IP Liquid Culture = 3.46). The subject demographic information provided in the study is consistent with the defined population.</w:t>
      </w:r>
      <w:r w:rsidR="22EFCE35" w:rsidRPr="1E828CE1">
        <w:rPr>
          <w:rFonts w:eastAsia="Times New Roman"/>
          <w:color w:val="000000" w:themeColor="text1"/>
        </w:rPr>
        <w:t xml:space="preserve"> </w:t>
      </w:r>
      <w:r w:rsidR="038B754C" w:rsidRPr="1E828CE1">
        <w:rPr>
          <w:rFonts w:eastAsia="Times New Roman"/>
          <w:color w:val="000000" w:themeColor="text1"/>
        </w:rPr>
        <w:t xml:space="preserve">The study met its primary endpoint of survival at least 1-year post-infusion </w:t>
      </w:r>
      <w:r w:rsidR="1AF3A785" w:rsidRPr="1E828CE1">
        <w:rPr>
          <w:rFonts w:eastAsia="Times New Roman"/>
          <w:color w:val="000000" w:themeColor="text1"/>
        </w:rPr>
        <w:t xml:space="preserve">of IP </w:t>
      </w:r>
      <w:r w:rsidR="038B754C" w:rsidRPr="1E828CE1">
        <w:rPr>
          <w:rFonts w:eastAsia="Times New Roman"/>
          <w:color w:val="000000" w:themeColor="text1"/>
        </w:rPr>
        <w:t>without allogeneic HSCT and at age 2 years without allogeneic HSCT for subjects less than 12 months of age at enrollment with a statistically significant p-value at 1 year of 0.0002 (</w:t>
      </w:r>
      <w:r w:rsidR="038B754C" w:rsidRPr="1E828CE1">
        <w:rPr>
          <w:rFonts w:eastAsia="Times New Roman"/>
          <w:i/>
          <w:color w:val="000000" w:themeColor="text1"/>
        </w:rPr>
        <w:t>vs.</w:t>
      </w:r>
      <w:r w:rsidR="038B754C" w:rsidRPr="1E828CE1">
        <w:rPr>
          <w:rFonts w:eastAsia="Times New Roman"/>
          <w:color w:val="000000" w:themeColor="text1"/>
        </w:rPr>
        <w:t xml:space="preserve"> anticipated transplant-free survival of 39%).</w:t>
      </w:r>
      <w:r w:rsidR="5770F718" w:rsidRPr="1E828CE1">
        <w:rPr>
          <w:rFonts w:eastAsia="Times New Roman"/>
          <w:color w:val="000000" w:themeColor="text1"/>
        </w:rPr>
        <w:t xml:space="preserve"> </w:t>
      </w:r>
      <w:r w:rsidR="5770F718">
        <w:t>No treated subject died or required allogeneic HSCT during the study. The transplant-free survival probability at every timepoint was therefore 1.0000.</w:t>
      </w:r>
    </w:p>
    <w:p w14:paraId="7D81D78D" w14:textId="0AFECCC7" w:rsidR="21BA3755" w:rsidRDefault="21BA3755" w:rsidP="49192AA2">
      <w:pPr>
        <w:pStyle w:val="TextStyle0"/>
        <w:spacing w:line="276" w:lineRule="auto"/>
        <w:rPr>
          <w:b/>
          <w:bCs/>
        </w:rPr>
      </w:pPr>
      <w:r w:rsidRPr="49192AA2">
        <w:rPr>
          <w:b/>
          <w:bCs/>
        </w:rPr>
        <w:t>HSCT-Free Survival Kaplan-Meier Curve (PPT Population)</w:t>
      </w:r>
    </w:p>
    <w:p w14:paraId="7889CF93" w14:textId="03CC7C99" w:rsidR="4255ED88" w:rsidRDefault="4255ED88" w:rsidP="3F91377D">
      <w:pPr>
        <w:pStyle w:val="TextStyle0"/>
      </w:pPr>
      <w:r>
        <w:rPr>
          <w:noProof/>
        </w:rPr>
        <w:drawing>
          <wp:inline distT="0" distB="0" distL="0" distR="0" wp14:anchorId="2819327C" wp14:editId="4032FB70">
            <wp:extent cx="5486400" cy="4038600"/>
            <wp:effectExtent l="0" t="0" r="0" b="0"/>
            <wp:docPr id="756197502" name="Picture 756197502"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486400" cy="4038600"/>
                    </a:xfrm>
                    <a:prstGeom prst="rect">
                      <a:avLst/>
                    </a:prstGeom>
                  </pic:spPr>
                </pic:pic>
              </a:graphicData>
            </a:graphic>
          </wp:inline>
        </w:drawing>
      </w:r>
    </w:p>
    <w:p w14:paraId="3152B359" w14:textId="517C6E96" w:rsidR="4255ED88" w:rsidRDefault="4255ED88" w:rsidP="76BC279D">
      <w:pPr>
        <w:pStyle w:val="TextStyle0"/>
        <w:rPr>
          <w:sz w:val="20"/>
        </w:rPr>
      </w:pPr>
      <w:r w:rsidRPr="3F91377D">
        <w:rPr>
          <w:b/>
          <w:bCs/>
          <w:sz w:val="20"/>
        </w:rPr>
        <w:t>Abbreviations</w:t>
      </w:r>
      <w:r w:rsidRPr="3F91377D">
        <w:rPr>
          <w:sz w:val="20"/>
        </w:rPr>
        <w:t>: HSCT=hematopoietic stem cell transplant; IP=investigational product; PPT=per protocol treated.</w:t>
      </w:r>
    </w:p>
    <w:p w14:paraId="254117D9" w14:textId="3C7ACC1C" w:rsidR="100EC8F2" w:rsidRDefault="100EC8F2" w:rsidP="3F91377D">
      <w:pPr>
        <w:pStyle w:val="TextStyle0"/>
        <w:spacing w:before="0"/>
        <w:rPr>
          <w:sz w:val="20"/>
        </w:rPr>
      </w:pPr>
      <w:r w:rsidRPr="3F91377D">
        <w:rPr>
          <w:b/>
          <w:bCs/>
          <w:sz w:val="20"/>
        </w:rPr>
        <w:t>S</w:t>
      </w:r>
      <w:r w:rsidR="4255ED88" w:rsidRPr="3F91377D">
        <w:rPr>
          <w:b/>
          <w:bCs/>
          <w:sz w:val="20"/>
        </w:rPr>
        <w:t>ource</w:t>
      </w:r>
      <w:r w:rsidR="4255ED88" w:rsidRPr="3F91377D">
        <w:rPr>
          <w:sz w:val="20"/>
        </w:rPr>
        <w:t>: Figure 16.2.1.1</w:t>
      </w:r>
    </w:p>
    <w:p w14:paraId="4DEC274B" w14:textId="3230257B" w:rsidR="006F36DE" w:rsidRDefault="1D1C4072" w:rsidP="006F36DE">
      <w:pPr>
        <w:pStyle w:val="TextStyle0"/>
      </w:pPr>
      <w:r>
        <w:t xml:space="preserve">The study met the secondary endpoint of EFS without any incidences of GF or </w:t>
      </w:r>
      <w:proofErr w:type="spellStart"/>
      <w:proofErr w:type="gramStart"/>
      <w:r>
        <w:t>aGvHD</w:t>
      </w:r>
      <w:proofErr w:type="spellEnd"/>
      <w:proofErr w:type="gramEnd"/>
      <w:r>
        <w:t xml:space="preserve"> grade 2 to 4</w:t>
      </w:r>
      <w:r w:rsidR="50EF7EB4">
        <w:t xml:space="preserve"> in all 9 subjects</w:t>
      </w:r>
      <w:r>
        <w:t xml:space="preserve">. </w:t>
      </w:r>
      <w:r w:rsidR="5CBEA12D">
        <w:t>At the end of the study</w:t>
      </w:r>
      <w:r>
        <w:t xml:space="preserve">, there </w:t>
      </w:r>
      <w:proofErr w:type="gramStart"/>
      <w:r>
        <w:t>have been</w:t>
      </w:r>
      <w:proofErr w:type="gramEnd"/>
      <w:r>
        <w:t xml:space="preserve"> no events of GF or GvHD, acute or chronic</w:t>
      </w:r>
      <w:r w:rsidR="01B5C5EC">
        <w:t>.</w:t>
      </w:r>
      <w:r w:rsidR="6DAEFCC2">
        <w:t xml:space="preserve"> </w:t>
      </w:r>
      <w:r w:rsidR="7E4197AE">
        <w:t>A</w:t>
      </w:r>
      <w:r>
        <w:t>n EFS and an OS of 100%</w:t>
      </w:r>
      <w:r w:rsidR="0DC27518">
        <w:t xml:space="preserve"> were reported</w:t>
      </w:r>
      <w:r>
        <w:t>, indicating the favorable tolerability of the IP.</w:t>
      </w:r>
    </w:p>
    <w:p w14:paraId="77AC4EBF" w14:textId="027467B7" w:rsidR="006F36DE" w:rsidRDefault="1D1C4072" w:rsidP="006F36DE">
      <w:pPr>
        <w:pStyle w:val="TextStyle0"/>
      </w:pPr>
      <w:r>
        <w:lastRenderedPageBreak/>
        <w:t xml:space="preserve">Annualized event rates for significant infections, infection-related hospitalization, and prolonged infection-related hospitalization showed </w:t>
      </w:r>
      <w:r w:rsidR="2C143FAC">
        <w:t>statistically significant decreases in annualized event rates relative to those pre-infusion, indicating a clinical benefit that is substantial and highly unlikely to have resulted from extrinsic factors.</w:t>
      </w:r>
    </w:p>
    <w:p w14:paraId="2855E1CF" w14:textId="152F55F2" w:rsidR="006F36DE" w:rsidRDefault="1D1C4072" w:rsidP="00654E20">
      <w:pPr>
        <w:pStyle w:val="TextStyle0"/>
        <w:keepNext/>
      </w:pPr>
      <w:r>
        <w:t xml:space="preserve">In all </w:t>
      </w:r>
      <w:r w:rsidR="2EAA5F28">
        <w:t>subjects</w:t>
      </w:r>
      <w:r>
        <w:t xml:space="preserve"> who have received IP to date, Chim-CD18-WPRE LV effectively transduced autologous CD34+ enriched cells, which when infused into these </w:t>
      </w:r>
      <w:r w:rsidR="3FAF4C56">
        <w:t>subjects</w:t>
      </w:r>
      <w:r>
        <w:t xml:space="preserve"> has led to an improvement in hematopoietic cell integrin expression and function:</w:t>
      </w:r>
    </w:p>
    <w:p w14:paraId="01C495C0" w14:textId="1D01A381" w:rsidR="006F36DE" w:rsidRDefault="1D1C4072" w:rsidP="00654E20">
      <w:pPr>
        <w:pStyle w:val="TextStyle0"/>
        <w:keepNext/>
        <w:numPr>
          <w:ilvl w:val="0"/>
          <w:numId w:val="18"/>
        </w:numPr>
      </w:pPr>
      <w:r>
        <w:t>Sustained genetic cell correction in PB</w:t>
      </w:r>
      <w:r w:rsidR="779CCCFF">
        <w:t>MCs</w:t>
      </w:r>
      <w:r w:rsidR="469CD6CF">
        <w:t xml:space="preserve"> and</w:t>
      </w:r>
      <w:r w:rsidR="46161E2F">
        <w:t xml:space="preserve"> </w:t>
      </w:r>
      <w:r w:rsidR="469CD6CF">
        <w:t xml:space="preserve">CD15+ cells </w:t>
      </w:r>
      <w:r>
        <w:t xml:space="preserve">(VCN) </w:t>
      </w:r>
      <w:r w:rsidR="0800CFD9">
        <w:t>were</w:t>
      </w:r>
      <w:r>
        <w:t xml:space="preserve"> observed in all </w:t>
      </w:r>
      <w:r w:rsidR="7AE2C15E">
        <w:t>subjects</w:t>
      </w:r>
      <w:r>
        <w:t>.</w:t>
      </w:r>
    </w:p>
    <w:p w14:paraId="6DB1882A" w14:textId="714ED2B5" w:rsidR="006F36DE" w:rsidRDefault="1D1C4072" w:rsidP="006F36DE">
      <w:pPr>
        <w:pStyle w:val="TextStyle0"/>
        <w:numPr>
          <w:ilvl w:val="0"/>
          <w:numId w:val="18"/>
        </w:numPr>
      </w:pPr>
      <w:r>
        <w:t xml:space="preserve">As a result, neutrophil CD18 expression has been stable and significantly exceeded target threshold levels in all </w:t>
      </w:r>
      <w:r w:rsidR="1AAB20D9">
        <w:t>subjects</w:t>
      </w:r>
      <w:r>
        <w:t xml:space="preserve"> with </w:t>
      </w:r>
      <w:r w:rsidR="30A9C147">
        <w:t>24-month</w:t>
      </w:r>
      <w:r>
        <w:t xml:space="preserve"> </w:t>
      </w:r>
      <w:r w:rsidR="2D339400">
        <w:t xml:space="preserve">post-infusion </w:t>
      </w:r>
      <w:r>
        <w:t>follow-up.</w:t>
      </w:r>
    </w:p>
    <w:p w14:paraId="4EC1B3E9" w14:textId="5C0488FD" w:rsidR="006F36DE" w:rsidRDefault="1D1C4072" w:rsidP="006F36DE">
      <w:pPr>
        <w:pStyle w:val="TextStyle0"/>
        <w:numPr>
          <w:ilvl w:val="0"/>
          <w:numId w:val="18"/>
        </w:numPr>
      </w:pPr>
      <w:r>
        <w:t>Circulating levels of neutrophils and WBCs decreased to age-appropriate (normal) ranges</w:t>
      </w:r>
      <w:r w:rsidR="1CA622D8">
        <w:t xml:space="preserve"> in most </w:t>
      </w:r>
      <w:r w:rsidR="5591E6A2">
        <w:t>subjects</w:t>
      </w:r>
      <w:r w:rsidR="1CA622D8">
        <w:t xml:space="preserve"> (8/9)</w:t>
      </w:r>
      <w:r>
        <w:t xml:space="preserve"> after IP-mediated restoration of functional CD18 on leukocyte surfaces.</w:t>
      </w:r>
    </w:p>
    <w:p w14:paraId="64402931" w14:textId="76D1D110" w:rsidR="00BB3F45" w:rsidRPr="00F8174C" w:rsidRDefault="006F36DE" w:rsidP="006F36DE">
      <w:pPr>
        <w:pStyle w:val="TextStyle0"/>
      </w:pPr>
      <w:r>
        <w:t>Taken together, these efficacy parameters strongly suggest that RP-L201 provides durable and clinically transformative benefit to a study population (ages at treatment 3 months to 9 years, median 36 months) facing a disorder that is fatal in childhood and for which the only viable therapeutic option has been allogeneic HSCT.</w:t>
      </w:r>
    </w:p>
    <w:p w14:paraId="0F8A870B" w14:textId="12B9DE6F" w:rsidR="00BB3F45" w:rsidRPr="00F8174C" w:rsidRDefault="008D114A" w:rsidP="3F91377D">
      <w:pPr>
        <w:pStyle w:val="TextStyle0"/>
        <w:rPr>
          <w:rFonts w:eastAsia="Times New Roman"/>
          <w:color w:val="000000" w:themeColor="text1"/>
          <w:szCs w:val="24"/>
        </w:rPr>
      </w:pPr>
      <w:r w:rsidRPr="3F91377D">
        <w:rPr>
          <w:b/>
          <w:bCs/>
        </w:rPr>
        <w:t>Safety results:</w:t>
      </w:r>
      <w:r>
        <w:t xml:space="preserve"> </w:t>
      </w:r>
      <w:r w:rsidR="008A1021">
        <w:t xml:space="preserve">RP-L201 is associated with a highly favorable safety profile, </w:t>
      </w:r>
      <w:r w:rsidR="5B301282" w:rsidRPr="3F91377D">
        <w:rPr>
          <w:rFonts w:eastAsia="Times New Roman"/>
          <w:color w:val="000000" w:themeColor="text1"/>
          <w:szCs w:val="24"/>
        </w:rPr>
        <w:t>particularly in the context of the uniform childhood mortality in the absence of allogeneic HSCT, and the extensive morbidity of SoC treatment (allogeneic HSCT) when available for this life-threatening disease.</w:t>
      </w:r>
      <w:r w:rsidR="008A1021">
        <w:t xml:space="preserve"> </w:t>
      </w:r>
      <w:r w:rsidR="5D727375">
        <w:t>N</w:t>
      </w:r>
      <w:r w:rsidR="008A1021">
        <w:t xml:space="preserve">o treatment-related AEs </w:t>
      </w:r>
      <w:r w:rsidR="55493373">
        <w:t xml:space="preserve">were </w:t>
      </w:r>
      <w:r w:rsidR="008A1021">
        <w:t>reported. AEs related to other study procedures (such as busulfan conditioning) have been consistent with the expected safety profiles of those agents and procedures. SAEs observed post-treatment were infrequent and unrelated to any study treatment.</w:t>
      </w:r>
      <w:r w:rsidR="4D84630A" w:rsidRPr="3F91377D">
        <w:rPr>
          <w:rFonts w:eastAsia="Times New Roman"/>
          <w:color w:val="000000" w:themeColor="text1"/>
          <w:szCs w:val="24"/>
        </w:rPr>
        <w:t xml:space="preserve">  </w:t>
      </w:r>
    </w:p>
    <w:p w14:paraId="3B7D6D02" w14:textId="16E1B667" w:rsidR="00BB3F45" w:rsidRPr="00F8174C" w:rsidRDefault="4D84630A" w:rsidP="3F91377D">
      <w:pPr>
        <w:pStyle w:val="BodyText"/>
        <w:spacing w:before="120" w:line="276" w:lineRule="auto"/>
        <w:jc w:val="both"/>
      </w:pPr>
      <w:r w:rsidRPr="3F91377D">
        <w:rPr>
          <w:rFonts w:eastAsia="Times New Roman"/>
          <w:color w:val="000000" w:themeColor="text1"/>
          <w:szCs w:val="24"/>
        </w:rPr>
        <w:t xml:space="preserve">No deaths, GvHD, graft failures, IP-related SAEs, or treatment discontinuations were reported. The observed AEs were manageable and tolerable. The incidence of both SAEs and severe AEs (Grade ≥3) declined after engraftment. These TEAEs were largely hematologic in nature, which is expected in the context of myeloablative busulfan conditioning, and </w:t>
      </w:r>
      <w:r w:rsidR="196C60EA" w:rsidRPr="3F91377D">
        <w:rPr>
          <w:rFonts w:eastAsia="Times New Roman"/>
          <w:color w:val="000000" w:themeColor="text1"/>
          <w:szCs w:val="24"/>
        </w:rPr>
        <w:t>most included</w:t>
      </w:r>
      <w:r w:rsidRPr="3F91377D">
        <w:rPr>
          <w:rFonts w:eastAsia="Times New Roman"/>
          <w:color w:val="000000" w:themeColor="text1"/>
          <w:szCs w:val="24"/>
        </w:rPr>
        <w:t xml:space="preserve"> anemia, thrombocytopenia, neutropenia, and WBC count decreased.</w:t>
      </w:r>
      <w:r w:rsidR="00437FAB" w:rsidRPr="3F91377D">
        <w:rPr>
          <w:rFonts w:eastAsia="Times New Roman"/>
          <w:color w:val="000000" w:themeColor="text1"/>
          <w:szCs w:val="24"/>
        </w:rPr>
        <w:t xml:space="preserve"> </w:t>
      </w:r>
      <w:r w:rsidRPr="3F91377D">
        <w:rPr>
          <w:rFonts w:eastAsia="Times New Roman"/>
          <w:color w:val="000000" w:themeColor="text1"/>
          <w:szCs w:val="24"/>
        </w:rPr>
        <w:t xml:space="preserve">Beginning 91 days post-engraftment to end of study, there were few new AEs and no Grade 4 events. None of these AEs were assessed as related to RP-L201 by the investigator. Most infections observed after immune reconstitution did not require hospitalization or I.V. antimicrobials; most were common childhood infections which are expected in a pediatric subject population. </w:t>
      </w:r>
      <w:r w:rsidR="2742322D">
        <w:t>The total number of subjects with any infection or any severe/significant infection was similar in the pre- and post-infusion periods. However, the absolute number of events was notably lower in the post-infusion period which suggests that the frequency of severe or significant infection (and serious infection) for any given subject decreased following treatment.</w:t>
      </w:r>
    </w:p>
    <w:p w14:paraId="7BA911A6" w14:textId="73CB9A27" w:rsidR="00BB3F45" w:rsidRPr="00F8174C" w:rsidRDefault="4D84630A" w:rsidP="3F91377D">
      <w:pPr>
        <w:pStyle w:val="BodyText"/>
        <w:spacing w:before="120" w:line="276" w:lineRule="auto"/>
        <w:jc w:val="both"/>
        <w:rPr>
          <w:rFonts w:eastAsia="Times New Roman"/>
          <w:color w:val="000000" w:themeColor="text1"/>
          <w:szCs w:val="24"/>
        </w:rPr>
      </w:pPr>
      <w:r w:rsidRPr="3F91377D">
        <w:rPr>
          <w:rFonts w:eastAsia="Times New Roman"/>
          <w:color w:val="000000" w:themeColor="text1"/>
          <w:szCs w:val="24"/>
        </w:rPr>
        <w:t xml:space="preserve">RCL testing from all 9 subjects was negative on at least 3 consecutive measures post-infusion up to 12 months. Concomitantly, sequential ISA has demonstrated highly polyclonal lentiviral </w:t>
      </w:r>
      <w:r w:rsidRPr="3F91377D">
        <w:rPr>
          <w:rFonts w:eastAsia="Times New Roman"/>
          <w:color w:val="000000" w:themeColor="text1"/>
          <w:szCs w:val="24"/>
        </w:rPr>
        <w:lastRenderedPageBreak/>
        <w:t>integration patterns without evidence of clonal dominance or dominant integrations in proximity to oncogenic loci across the entire cohort.</w:t>
      </w:r>
    </w:p>
    <w:p w14:paraId="519979A6" w14:textId="3F28BB29" w:rsidR="00BB3F45" w:rsidRPr="00F8174C" w:rsidRDefault="75E9F4EA" w:rsidP="00E55EBF">
      <w:pPr>
        <w:pStyle w:val="TextStyle0"/>
        <w:spacing w:after="120" w:line="276" w:lineRule="auto"/>
      </w:pPr>
      <w:r w:rsidRPr="00F8174C">
        <w:rPr>
          <w:b/>
          <w:bCs/>
        </w:rPr>
        <w:t>Conclusions</w:t>
      </w:r>
      <w:r w:rsidRPr="00F8174C">
        <w:t xml:space="preserve">: </w:t>
      </w:r>
      <w:r w:rsidR="7A739AAB" w:rsidRPr="006C2A55">
        <w:t xml:space="preserve">Study RP-L201-0318 met its primary and secondary endpoints, demonstrating clinical benefit with all </w:t>
      </w:r>
      <w:r w:rsidR="7B790992" w:rsidRPr="006C2A55">
        <w:t>subjects alive</w:t>
      </w:r>
      <w:r w:rsidR="7A739AAB" w:rsidRPr="006C2A55">
        <w:t xml:space="preserve"> and without allogeneic HSCT at data cut-off, no events of graft failure or GvHD and a </w:t>
      </w:r>
      <w:r w:rsidR="007963B2">
        <w:t xml:space="preserve">marked </w:t>
      </w:r>
      <w:r w:rsidR="7A739AAB" w:rsidRPr="006C2A55">
        <w:t xml:space="preserve">post-treatment reduction in significant infections, infection-related hospitalizations, and prolonged infection-related hospitalizations. In addition, all </w:t>
      </w:r>
      <w:r w:rsidR="08DBA271" w:rsidRPr="006C2A55">
        <w:t>subjects</w:t>
      </w:r>
      <w:r w:rsidR="7A739AAB" w:rsidRPr="006C2A55">
        <w:t xml:space="preserve"> had evidence of genotypic and phenotypic correction with sustained PBMC VCN levels above 0.1 and neutrophil CD18 expression above 10%, with concomitant restored CD11</w:t>
      </w:r>
      <w:r w:rsidR="779CCCFF">
        <w:t>a/CD11b</w:t>
      </w:r>
      <w:r w:rsidR="7A739AAB" w:rsidRPr="006C2A55">
        <w:t xml:space="preserve"> expression. All evaluable parameters of efficacy indicate resolution of the severe LAD-I phenotype at genetic, molecular, cellular and clinical levels. In addition, Study RP</w:t>
      </w:r>
      <w:r w:rsidR="00DA11F2">
        <w:noBreakHyphen/>
      </w:r>
      <w:r w:rsidR="7A739AAB" w:rsidRPr="006C2A55">
        <w:t xml:space="preserve">L201-0318 demonstrated a favorable RP-L201 tolerability profile in </w:t>
      </w:r>
      <w:r w:rsidR="2CCC61E5" w:rsidRPr="006C2A55">
        <w:t>subjects</w:t>
      </w:r>
      <w:r w:rsidR="7A739AAB" w:rsidRPr="006C2A55">
        <w:t xml:space="preserve"> with severe LAD-I, a rare primary immunodeficiency causing near-universal pediatric mortality. The transformative therapeutic effect of RP-L201 favorably and comprehensively impacts survival and the quality of life of </w:t>
      </w:r>
      <w:r w:rsidR="1106998E" w:rsidRPr="006C2A55">
        <w:t>subjects</w:t>
      </w:r>
      <w:r w:rsidR="7A739AAB" w:rsidRPr="006C2A55">
        <w:t>, who can participate in age-appropriate normal educational and recreational activities despite extensive pre-study restrictions; there is concomitant substantive improvement in their caregivers’ and parents’ ability to pursue unrestricted family- and work-related endeavors.</w:t>
      </w:r>
    </w:p>
    <w:sectPr w:rsidR="00BB3F45" w:rsidRPr="00F8174C" w:rsidSect="00904AA2">
      <w:headerReference w:type="even" r:id="rId13"/>
      <w:headerReference w:type="default" r:id="rId14"/>
      <w:footerReference w:type="even" r:id="rId15"/>
      <w:footerReference w:type="default" r:id="rId16"/>
      <w:headerReference w:type="first" r:id="rId17"/>
      <w:footerReference w:type="first" r:id="rId18"/>
      <w:pgSz w:w="11907" w:h="16839" w:code="9"/>
      <w:pgMar w:top="1140" w:right="1123" w:bottom="2160" w:left="1701" w:header="1140" w:footer="56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A83BD" w14:textId="77777777" w:rsidR="00BA74AA" w:rsidRDefault="00BA74AA">
      <w:r>
        <w:separator/>
      </w:r>
    </w:p>
  </w:endnote>
  <w:endnote w:type="continuationSeparator" w:id="0">
    <w:p w14:paraId="2E730C01" w14:textId="77777777" w:rsidR="00BA74AA" w:rsidRDefault="00BA74AA">
      <w:r>
        <w:continuationSeparator/>
      </w:r>
    </w:p>
  </w:endnote>
  <w:endnote w:type="continuationNotice" w:id="1">
    <w:p w14:paraId="36ED205C" w14:textId="77777777" w:rsidR="00BA74AA" w:rsidRDefault="00BA74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CD8FB" w14:textId="77777777" w:rsidR="00A7679B" w:rsidRDefault="00A767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76BC279D" w14:paraId="481605E7" w14:textId="77777777" w:rsidTr="76BC279D">
      <w:trPr>
        <w:trHeight w:val="300"/>
      </w:trPr>
      <w:tc>
        <w:tcPr>
          <w:tcW w:w="3025" w:type="dxa"/>
        </w:tcPr>
        <w:p w14:paraId="640375B1" w14:textId="68DEFC89" w:rsidR="76BC279D" w:rsidRDefault="76BC279D" w:rsidP="76BC279D">
          <w:pPr>
            <w:pStyle w:val="Header"/>
            <w:ind w:left="-115"/>
          </w:pPr>
        </w:p>
      </w:tc>
      <w:tc>
        <w:tcPr>
          <w:tcW w:w="3025" w:type="dxa"/>
        </w:tcPr>
        <w:p w14:paraId="4C01802F" w14:textId="656E0034" w:rsidR="76BC279D" w:rsidRDefault="76BC279D" w:rsidP="76BC279D">
          <w:pPr>
            <w:pStyle w:val="Header"/>
            <w:jc w:val="center"/>
          </w:pPr>
        </w:p>
      </w:tc>
      <w:tc>
        <w:tcPr>
          <w:tcW w:w="3025" w:type="dxa"/>
        </w:tcPr>
        <w:p w14:paraId="6EC3CC47" w14:textId="0D873497" w:rsidR="76BC279D" w:rsidRDefault="76BC279D" w:rsidP="76BC279D">
          <w:pPr>
            <w:pStyle w:val="Header"/>
            <w:ind w:right="-115"/>
            <w:jc w:val="right"/>
          </w:pPr>
        </w:p>
      </w:tc>
    </w:tr>
  </w:tbl>
  <w:p w14:paraId="6A1D70BC" w14:textId="399269D4" w:rsidR="76BC279D" w:rsidRDefault="76BC279D" w:rsidP="76BC27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3817B" w14:textId="77777777" w:rsidR="00A7679B" w:rsidRDefault="00A76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31CB6" w14:textId="77777777" w:rsidR="00BA74AA" w:rsidRDefault="00BA74AA">
      <w:r>
        <w:separator/>
      </w:r>
    </w:p>
  </w:footnote>
  <w:footnote w:type="continuationSeparator" w:id="0">
    <w:p w14:paraId="5D562D4B" w14:textId="77777777" w:rsidR="00BA74AA" w:rsidRDefault="00BA74AA">
      <w:r>
        <w:continuationSeparator/>
      </w:r>
    </w:p>
  </w:footnote>
  <w:footnote w:type="continuationNotice" w:id="1">
    <w:p w14:paraId="018A08C1" w14:textId="77777777" w:rsidR="00BA74AA" w:rsidRDefault="00BA74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2A206" w14:textId="77777777" w:rsidR="00BB3F45" w:rsidRDefault="00BB3F45">
    <w:pPr>
      <w:pStyle w:val="Header"/>
      <w:tabs>
        <w:tab w:val="clear" w:pos="4542"/>
        <w:tab w:val="clear" w:pos="9078"/>
        <w:tab w:val="center" w:pos="160"/>
        <w:tab w:val="right" w:pos="3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8274" w14:textId="15DA50DB" w:rsidR="00BB3F45" w:rsidRPr="00EF5132" w:rsidRDefault="49192AA2" w:rsidP="76BC279D">
    <w:pPr>
      <w:pStyle w:val="Header"/>
      <w:rPr>
        <w:rFonts w:ascii="Times New Roman" w:hAnsi="Times New Roman"/>
        <w:sz w:val="22"/>
        <w:szCs w:val="22"/>
      </w:rPr>
    </w:pPr>
    <w:r w:rsidRPr="49192AA2">
      <w:rPr>
        <w:rFonts w:ascii="Times New Roman" w:hAnsi="Times New Roman"/>
        <w:sz w:val="22"/>
        <w:szCs w:val="22"/>
      </w:rPr>
      <w:t>Rocket Pharmaceuticals, Inc.</w:t>
    </w:r>
    <w:r w:rsidR="00A7679B">
      <w:rPr>
        <w:rFonts w:ascii="Times New Roman" w:hAnsi="Times New Roman"/>
        <w:sz w:val="22"/>
        <w:szCs w:val="22"/>
      </w:rPr>
      <w:tab/>
    </w:r>
    <w:r w:rsidRPr="49192AA2">
      <w:rPr>
        <w:rFonts w:ascii="Times New Roman" w:hAnsi="Times New Roman"/>
        <w:sz w:val="22"/>
        <w:szCs w:val="22"/>
      </w:rPr>
      <w:t>Confidential</w:t>
    </w:r>
    <w:r w:rsidR="009E41C6">
      <w:rPr>
        <w:rFonts w:ascii="Times New Roman" w:hAnsi="Times New Roman"/>
        <w:sz w:val="22"/>
        <w:szCs w:val="22"/>
      </w:rPr>
      <w:tab/>
    </w:r>
    <w:r w:rsidRPr="49192AA2">
      <w:rPr>
        <w:rFonts w:ascii="Times New Roman" w:hAnsi="Times New Roman"/>
        <w:sz w:val="22"/>
        <w:szCs w:val="22"/>
      </w:rPr>
      <w:t xml:space="preserve">Page </w:t>
    </w:r>
    <w:r w:rsidR="006B6170" w:rsidRPr="49192AA2">
      <w:rPr>
        <w:rFonts w:ascii="Times New Roman" w:hAnsi="Times New Roman"/>
        <w:noProof/>
        <w:sz w:val="22"/>
        <w:szCs w:val="22"/>
      </w:rPr>
      <w:fldChar w:fldCharType="begin"/>
    </w:r>
    <w:r w:rsidR="006B6170" w:rsidRPr="49192AA2">
      <w:rPr>
        <w:rFonts w:ascii="Times New Roman" w:hAnsi="Times New Roman"/>
        <w:sz w:val="22"/>
        <w:szCs w:val="22"/>
      </w:rPr>
      <w:instrText xml:space="preserve">page </w:instrText>
    </w:r>
    <w:r w:rsidR="006B6170" w:rsidRPr="49192AA2">
      <w:rPr>
        <w:rFonts w:ascii="Times New Roman" w:hAnsi="Times New Roman"/>
        <w:sz w:val="22"/>
        <w:szCs w:val="22"/>
      </w:rPr>
      <w:fldChar w:fldCharType="separate"/>
    </w:r>
    <w:r w:rsidRPr="49192AA2">
      <w:rPr>
        <w:rFonts w:ascii="Times New Roman" w:hAnsi="Times New Roman"/>
        <w:noProof/>
        <w:sz w:val="22"/>
        <w:szCs w:val="22"/>
      </w:rPr>
      <w:t>4</w:t>
    </w:r>
    <w:r w:rsidR="006B6170" w:rsidRPr="49192AA2">
      <w:rPr>
        <w:rFonts w:ascii="Times New Roman" w:hAnsi="Times New Roman"/>
        <w:noProof/>
        <w:sz w:val="22"/>
        <w:szCs w:val="22"/>
      </w:rPr>
      <w:fldChar w:fldCharType="end"/>
    </w:r>
    <w:r w:rsidRPr="49192AA2">
      <w:rPr>
        <w:rFonts w:ascii="Times New Roman" w:hAnsi="Times New Roman"/>
        <w:sz w:val="22"/>
        <w:szCs w:val="22"/>
      </w:rPr>
      <w:t xml:space="preserve"> of </w:t>
    </w:r>
    <w:r w:rsidR="006B6170" w:rsidRPr="49192AA2">
      <w:rPr>
        <w:rFonts w:ascii="Times New Roman" w:hAnsi="Times New Roman"/>
        <w:noProof/>
        <w:sz w:val="22"/>
        <w:szCs w:val="22"/>
      </w:rPr>
      <w:fldChar w:fldCharType="begin"/>
    </w:r>
    <w:r w:rsidR="006B6170" w:rsidRPr="49192AA2">
      <w:rPr>
        <w:rFonts w:ascii="Times New Roman" w:hAnsi="Times New Roman"/>
        <w:sz w:val="22"/>
        <w:szCs w:val="22"/>
      </w:rPr>
      <w:instrText xml:space="preserve"> NUMPAGES  \# "0" \* Arabic  \* MERGEFORMAT </w:instrText>
    </w:r>
    <w:r w:rsidR="006B6170" w:rsidRPr="49192AA2">
      <w:rPr>
        <w:rFonts w:ascii="Times New Roman" w:hAnsi="Times New Roman"/>
        <w:sz w:val="22"/>
        <w:szCs w:val="22"/>
      </w:rPr>
      <w:fldChar w:fldCharType="separate"/>
    </w:r>
    <w:r w:rsidRPr="49192AA2">
      <w:rPr>
        <w:rFonts w:ascii="Times New Roman" w:hAnsi="Times New Roman"/>
        <w:noProof/>
        <w:sz w:val="22"/>
        <w:szCs w:val="22"/>
      </w:rPr>
      <w:t>6</w:t>
    </w:r>
    <w:r w:rsidR="006B6170" w:rsidRPr="49192AA2">
      <w:rPr>
        <w:rFonts w:ascii="Times New Roman" w:hAnsi="Times New Roman"/>
        <w:noProof/>
        <w:sz w:val="22"/>
        <w:szCs w:val="22"/>
      </w:rPr>
      <w:fldChar w:fldCharType="end"/>
    </w:r>
  </w:p>
  <w:p w14:paraId="6A8D016B" w14:textId="5629591E" w:rsidR="00461433" w:rsidRPr="00EF5132" w:rsidRDefault="008D114A" w:rsidP="00F8174C">
    <w:pPr>
      <w:pStyle w:val="Header"/>
      <w:pBdr>
        <w:bottom w:val="single" w:sz="4" w:space="1" w:color="auto"/>
      </w:pBdr>
      <w:rPr>
        <w:rFonts w:ascii="Times New Roman" w:hAnsi="Times New Roman"/>
        <w:sz w:val="22"/>
        <w:szCs w:val="22"/>
      </w:rPr>
    </w:pPr>
    <w:r w:rsidRPr="00EF5132">
      <w:rPr>
        <w:rFonts w:ascii="Times New Roman" w:hAnsi="Times New Roman"/>
        <w:sz w:val="22"/>
        <w:szCs w:val="22"/>
      </w:rPr>
      <w:t>CSR Synopsis</w:t>
    </w:r>
    <w:r w:rsidRPr="00EF5132">
      <w:rPr>
        <w:rFonts w:ascii="Times New Roman" w:hAnsi="Times New Roman"/>
        <w:sz w:val="22"/>
        <w:szCs w:val="22"/>
      </w:rPr>
      <w:tab/>
    </w:r>
    <w:r w:rsidRPr="00EF5132">
      <w:rPr>
        <w:rFonts w:ascii="Times New Roman" w:hAnsi="Times New Roman"/>
        <w:sz w:val="22"/>
        <w:szCs w:val="22"/>
      </w:rPr>
      <w:tab/>
      <w:t xml:space="preserve">Study No. </w:t>
    </w:r>
    <w:r w:rsidR="002C3BA9" w:rsidRPr="00EF5132">
      <w:rPr>
        <w:rFonts w:ascii="Times New Roman" w:hAnsi="Times New Roman"/>
        <w:sz w:val="22"/>
        <w:szCs w:val="22"/>
      </w:rPr>
      <w:t>RP-L2</w:t>
    </w:r>
    <w:r w:rsidR="00904AA2">
      <w:rPr>
        <w:rFonts w:ascii="Times New Roman" w:hAnsi="Times New Roman"/>
        <w:sz w:val="22"/>
        <w:szCs w:val="22"/>
      </w:rPr>
      <w:t>0</w:t>
    </w:r>
    <w:r w:rsidR="002C3BA9" w:rsidRPr="00EF5132">
      <w:rPr>
        <w:rFonts w:ascii="Times New Roman" w:hAnsi="Times New Roman"/>
        <w:sz w:val="22"/>
        <w:szCs w:val="22"/>
      </w:rPr>
      <w:t>1-0318</w:t>
    </w:r>
  </w:p>
  <w:p w14:paraId="7A6BA751" w14:textId="77777777" w:rsidR="00BB3F45" w:rsidRDefault="00BB3F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41" w:type="dxa"/>
      <w:tblLayout w:type="fixed"/>
      <w:tblCellMar>
        <w:left w:w="85" w:type="dxa"/>
        <w:right w:w="85" w:type="dxa"/>
      </w:tblCellMar>
      <w:tblLook w:val="0000" w:firstRow="0" w:lastRow="0" w:firstColumn="0" w:lastColumn="0" w:noHBand="0" w:noVBand="0"/>
    </w:tblPr>
    <w:tblGrid>
      <w:gridCol w:w="5727"/>
      <w:gridCol w:w="4110"/>
    </w:tblGrid>
    <w:tr w:rsidR="00BB3F45" w14:paraId="500E2C17" w14:textId="77777777">
      <w:trPr>
        <w:cantSplit/>
      </w:trPr>
      <w:tc>
        <w:tcPr>
          <w:tcW w:w="5727" w:type="dxa"/>
        </w:tcPr>
        <w:p w14:paraId="5FB44EF5" w14:textId="77777777" w:rsidR="00BB3F45" w:rsidRDefault="008D114A">
          <w:pPr>
            <w:pStyle w:val="Header"/>
            <w:tabs>
              <w:tab w:val="left" w:pos="221"/>
            </w:tabs>
            <w:rPr>
              <w:b/>
            </w:rPr>
          </w:pPr>
          <w:r>
            <w:rPr>
              <w:noProof/>
              <w:lang w:eastAsia="en-US"/>
            </w:rPr>
            <w:drawing>
              <wp:inline distT="0" distB="0" distL="0" distR="0" wp14:anchorId="510DA6A9" wp14:editId="13BF9277">
                <wp:extent cx="1815465" cy="291465"/>
                <wp:effectExtent l="0" t="0" r="0" b="0"/>
                <wp:docPr id="1232977593" name="Picture 123297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5465" cy="291465"/>
                        </a:xfrm>
                        <a:prstGeom prst="rect">
                          <a:avLst/>
                        </a:prstGeom>
                        <a:noFill/>
                        <a:ln>
                          <a:noFill/>
                        </a:ln>
                      </pic:spPr>
                    </pic:pic>
                  </a:graphicData>
                </a:graphic>
              </wp:inline>
            </w:drawing>
          </w:r>
        </w:p>
      </w:tc>
      <w:tc>
        <w:tcPr>
          <w:tcW w:w="4110" w:type="dxa"/>
        </w:tcPr>
        <w:p w14:paraId="234603D8" w14:textId="77777777" w:rsidR="00BB3F45" w:rsidRDefault="00BB3F45">
          <w:pPr>
            <w:pStyle w:val="Header"/>
            <w:jc w:val="right"/>
          </w:pPr>
        </w:p>
      </w:tc>
    </w:tr>
  </w:tbl>
  <w:p w14:paraId="4ABE5827" w14:textId="77777777" w:rsidR="00BB3F45" w:rsidRDefault="00BB3F45">
    <w:pPr>
      <w:pStyle w:val="Header"/>
    </w:pPr>
  </w:p>
  <w:p w14:paraId="0348BC4B" w14:textId="77777777" w:rsidR="00BB3F45" w:rsidRDefault="008D114A">
    <w:pPr>
      <w:pStyle w:val="Header"/>
      <w:pBdr>
        <w:bottom w:val="single" w:sz="6" w:space="1" w:color="auto"/>
      </w:pBdr>
    </w:pPr>
    <w:r>
      <w:tab/>
    </w:r>
  </w:p>
  <w:p w14:paraId="186C40D8" w14:textId="77777777" w:rsidR="00BB3F45" w:rsidRDefault="00BB3F4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JSbfCeft" int2:invalidationBookmarkName="" int2:hashCode="CmXhJCE6/fd7FO" int2:id="DdsPccQl">
      <int2:state int2:value="Rejected" int2:type="AugLoop_Text_Critique"/>
    </int2:bookmark>
    <int2:bookmark int2:bookmarkName="_Int_s25fDQs1" int2:invalidationBookmarkName="" int2:hashCode="sP2KEqB1SazTip" int2:id="LTyrYPrR">
      <int2:state int2:value="Rejected" int2:type="AugLoop_Text_Critique"/>
    </int2:bookmark>
    <int2:bookmark int2:bookmarkName="_Int_Vy4tnw3w" int2:invalidationBookmarkName="" int2:hashCode="C3sTPkma0aQNYj" int2:id="eQtSL51L">
      <int2:state int2:value="Rejected" int2:type="AugLoop_Text_Critique"/>
    </int2:bookmark>
    <int2:bookmark int2:bookmarkName="_Int_lPvs00PZ" int2:invalidationBookmarkName="" int2:hashCode="XZzaogtNks198I" int2:id="y9kyKSV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4DC65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81A35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378D6B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2D9C1C6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400B5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7C85EA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ECAA18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14DE2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3A025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57A4D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08494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D8526D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27163CD8"/>
    <w:multiLevelType w:val="multilevel"/>
    <w:tmpl w:val="6EC4EB4C"/>
    <w:lvl w:ilvl="0">
      <w:start w:val="2"/>
      <w:numFmt w:val="decimal"/>
      <w:pStyle w:val="Heading1"/>
      <w:lvlText w:val="%1"/>
      <w:lvlJc w:val="left"/>
      <w:pPr>
        <w:tabs>
          <w:tab w:val="num" w:pos="1008"/>
        </w:tabs>
        <w:ind w:left="1008" w:hanging="1008"/>
      </w:pPr>
      <w:rPr>
        <w:rFonts w:ascii="Times New Roman" w:hAnsi="Times New Roman" w:cs="Times New Roman" w:hint="default"/>
      </w:rPr>
    </w:lvl>
    <w:lvl w:ilvl="1">
      <w:start w:val="1"/>
      <w:numFmt w:val="decimal"/>
      <w:pStyle w:val="Heading2"/>
      <w:lvlText w:val="%1.%2"/>
      <w:lvlJc w:val="left"/>
      <w:pPr>
        <w:tabs>
          <w:tab w:val="num" w:pos="1008"/>
        </w:tabs>
        <w:ind w:left="1008" w:hanging="1008"/>
      </w:pPr>
      <w:rPr>
        <w:rFonts w:hint="default"/>
      </w:rPr>
    </w:lvl>
    <w:lvl w:ilvl="2">
      <w:start w:val="1"/>
      <w:numFmt w:val="decimal"/>
      <w:pStyle w:val="Heading3"/>
      <w:lvlText w:val="%1.%2.%3"/>
      <w:lvlJc w:val="left"/>
      <w:pPr>
        <w:tabs>
          <w:tab w:val="num" w:pos="1008"/>
        </w:tabs>
        <w:ind w:left="1008" w:hanging="1008"/>
      </w:pPr>
      <w:rPr>
        <w:rFonts w:hint="default"/>
      </w:rPr>
    </w:lvl>
    <w:lvl w:ilvl="3">
      <w:start w:val="1"/>
      <w:numFmt w:val="decimal"/>
      <w:pStyle w:val="Heading4"/>
      <w:lvlText w:val="%1.%2.%3.%4"/>
      <w:lvlJc w:val="left"/>
      <w:pPr>
        <w:tabs>
          <w:tab w:val="num" w:pos="1008"/>
        </w:tabs>
        <w:ind w:left="1008" w:hanging="1008"/>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7791365"/>
    <w:multiLevelType w:val="hybridMultilevel"/>
    <w:tmpl w:val="20189ED0"/>
    <w:lvl w:ilvl="0" w:tplc="199CBEAC">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AE558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BCF5DF6"/>
    <w:multiLevelType w:val="multilevel"/>
    <w:tmpl w:val="04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54801F8"/>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8AA030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33518B1"/>
    <w:multiLevelType w:val="hybridMultilevel"/>
    <w:tmpl w:val="0AFE1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2565316">
    <w:abstractNumId w:val="10"/>
  </w:num>
  <w:num w:numId="2" w16cid:durableId="285964561">
    <w:abstractNumId w:val="16"/>
  </w:num>
  <w:num w:numId="3" w16cid:durableId="536890014">
    <w:abstractNumId w:val="15"/>
  </w:num>
  <w:num w:numId="4" w16cid:durableId="772627055">
    <w:abstractNumId w:val="12"/>
  </w:num>
  <w:num w:numId="5" w16cid:durableId="172961562">
    <w:abstractNumId w:val="11"/>
  </w:num>
  <w:num w:numId="6" w16cid:durableId="152524665">
    <w:abstractNumId w:val="14"/>
  </w:num>
  <w:num w:numId="7" w16cid:durableId="273288142">
    <w:abstractNumId w:val="17"/>
  </w:num>
  <w:num w:numId="8" w16cid:durableId="721713828">
    <w:abstractNumId w:val="9"/>
  </w:num>
  <w:num w:numId="9" w16cid:durableId="1340347334">
    <w:abstractNumId w:val="7"/>
  </w:num>
  <w:num w:numId="10" w16cid:durableId="1757051644">
    <w:abstractNumId w:val="6"/>
  </w:num>
  <w:num w:numId="11" w16cid:durableId="1935628689">
    <w:abstractNumId w:val="5"/>
  </w:num>
  <w:num w:numId="12" w16cid:durableId="644625271">
    <w:abstractNumId w:val="4"/>
  </w:num>
  <w:num w:numId="13" w16cid:durableId="62535849">
    <w:abstractNumId w:val="8"/>
  </w:num>
  <w:num w:numId="14" w16cid:durableId="1557350822">
    <w:abstractNumId w:val="3"/>
  </w:num>
  <w:num w:numId="15" w16cid:durableId="1391727853">
    <w:abstractNumId w:val="2"/>
  </w:num>
  <w:num w:numId="16" w16cid:durableId="628704682">
    <w:abstractNumId w:val="1"/>
  </w:num>
  <w:num w:numId="17" w16cid:durableId="1947611583">
    <w:abstractNumId w:val="0"/>
  </w:num>
  <w:num w:numId="18" w16cid:durableId="317073539">
    <w:abstractNumId w:val="18"/>
  </w:num>
  <w:num w:numId="19" w16cid:durableId="978000077">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US"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trackRevisions/>
  <w:defaultTabStop w:val="720"/>
  <w:hyphenationZone w:val="425"/>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26A"/>
    <w:rsid w:val="00002541"/>
    <w:rsid w:val="00002D02"/>
    <w:rsid w:val="000057DB"/>
    <w:rsid w:val="000061CF"/>
    <w:rsid w:val="00014284"/>
    <w:rsid w:val="00015B47"/>
    <w:rsid w:val="000166C2"/>
    <w:rsid w:val="0001789C"/>
    <w:rsid w:val="00020006"/>
    <w:rsid w:val="00027B1F"/>
    <w:rsid w:val="000314CE"/>
    <w:rsid w:val="0003538D"/>
    <w:rsid w:val="00035E6C"/>
    <w:rsid w:val="00036F4E"/>
    <w:rsid w:val="00041504"/>
    <w:rsid w:val="00041878"/>
    <w:rsid w:val="00046109"/>
    <w:rsid w:val="00056541"/>
    <w:rsid w:val="00057610"/>
    <w:rsid w:val="000601A1"/>
    <w:rsid w:val="00060DEB"/>
    <w:rsid w:val="00061448"/>
    <w:rsid w:val="0006440D"/>
    <w:rsid w:val="000657FA"/>
    <w:rsid w:val="00071357"/>
    <w:rsid w:val="00071871"/>
    <w:rsid w:val="000741BE"/>
    <w:rsid w:val="00076947"/>
    <w:rsid w:val="0008039F"/>
    <w:rsid w:val="000814BA"/>
    <w:rsid w:val="0008384D"/>
    <w:rsid w:val="00091032"/>
    <w:rsid w:val="000A01D1"/>
    <w:rsid w:val="000A2FC1"/>
    <w:rsid w:val="000A76B1"/>
    <w:rsid w:val="000B0D22"/>
    <w:rsid w:val="000B18CD"/>
    <w:rsid w:val="000B2354"/>
    <w:rsid w:val="000B50B5"/>
    <w:rsid w:val="000B528B"/>
    <w:rsid w:val="000B6555"/>
    <w:rsid w:val="000C174D"/>
    <w:rsid w:val="000C2D94"/>
    <w:rsid w:val="000C5AB0"/>
    <w:rsid w:val="000D14F9"/>
    <w:rsid w:val="000E0997"/>
    <w:rsid w:val="000E29B2"/>
    <w:rsid w:val="000E50AF"/>
    <w:rsid w:val="000E5451"/>
    <w:rsid w:val="000E5DA7"/>
    <w:rsid w:val="000F157C"/>
    <w:rsid w:val="000F3F19"/>
    <w:rsid w:val="000F6688"/>
    <w:rsid w:val="00111160"/>
    <w:rsid w:val="00111AF5"/>
    <w:rsid w:val="00113875"/>
    <w:rsid w:val="00115B83"/>
    <w:rsid w:val="0012610F"/>
    <w:rsid w:val="001353F1"/>
    <w:rsid w:val="00144A16"/>
    <w:rsid w:val="00150BF9"/>
    <w:rsid w:val="00150DFC"/>
    <w:rsid w:val="00154931"/>
    <w:rsid w:val="001621D5"/>
    <w:rsid w:val="0016476E"/>
    <w:rsid w:val="00166DF3"/>
    <w:rsid w:val="00167D16"/>
    <w:rsid w:val="00171F91"/>
    <w:rsid w:val="00175076"/>
    <w:rsid w:val="001771BF"/>
    <w:rsid w:val="00184006"/>
    <w:rsid w:val="0018580A"/>
    <w:rsid w:val="00186AEE"/>
    <w:rsid w:val="0018724A"/>
    <w:rsid w:val="00187337"/>
    <w:rsid w:val="001945C6"/>
    <w:rsid w:val="001A0001"/>
    <w:rsid w:val="001A55D6"/>
    <w:rsid w:val="001A5A1F"/>
    <w:rsid w:val="001A6595"/>
    <w:rsid w:val="001A7C84"/>
    <w:rsid w:val="001B0CC4"/>
    <w:rsid w:val="001B2288"/>
    <w:rsid w:val="001B2E8B"/>
    <w:rsid w:val="001B4A2B"/>
    <w:rsid w:val="001B564C"/>
    <w:rsid w:val="001B56B3"/>
    <w:rsid w:val="001B69AF"/>
    <w:rsid w:val="001C53F6"/>
    <w:rsid w:val="001C5C9F"/>
    <w:rsid w:val="001C651E"/>
    <w:rsid w:val="001C6A34"/>
    <w:rsid w:val="001C6FAE"/>
    <w:rsid w:val="001C736B"/>
    <w:rsid w:val="001D2648"/>
    <w:rsid w:val="001D68F9"/>
    <w:rsid w:val="001D7D1D"/>
    <w:rsid w:val="001E1C57"/>
    <w:rsid w:val="001E1E38"/>
    <w:rsid w:val="001E442F"/>
    <w:rsid w:val="001E7717"/>
    <w:rsid w:val="001F04BD"/>
    <w:rsid w:val="001F1279"/>
    <w:rsid w:val="001F1D73"/>
    <w:rsid w:val="001F5882"/>
    <w:rsid w:val="001F5A82"/>
    <w:rsid w:val="001F7E66"/>
    <w:rsid w:val="00200EAC"/>
    <w:rsid w:val="00202435"/>
    <w:rsid w:val="00203366"/>
    <w:rsid w:val="00213251"/>
    <w:rsid w:val="002147ED"/>
    <w:rsid w:val="002214E9"/>
    <w:rsid w:val="00224A74"/>
    <w:rsid w:val="002335BF"/>
    <w:rsid w:val="00235B03"/>
    <w:rsid w:val="00236CD4"/>
    <w:rsid w:val="00236D8D"/>
    <w:rsid w:val="00237536"/>
    <w:rsid w:val="00243120"/>
    <w:rsid w:val="002440BE"/>
    <w:rsid w:val="00246D87"/>
    <w:rsid w:val="0025050B"/>
    <w:rsid w:val="00254CC9"/>
    <w:rsid w:val="00257BC9"/>
    <w:rsid w:val="002627B4"/>
    <w:rsid w:val="0026310F"/>
    <w:rsid w:val="00276053"/>
    <w:rsid w:val="00276824"/>
    <w:rsid w:val="00276CA8"/>
    <w:rsid w:val="0027734F"/>
    <w:rsid w:val="002777A5"/>
    <w:rsid w:val="002803D5"/>
    <w:rsid w:val="00281683"/>
    <w:rsid w:val="00281D8B"/>
    <w:rsid w:val="00282AF7"/>
    <w:rsid w:val="00282F86"/>
    <w:rsid w:val="00283970"/>
    <w:rsid w:val="002946E7"/>
    <w:rsid w:val="0029597B"/>
    <w:rsid w:val="002A0CEE"/>
    <w:rsid w:val="002C22E3"/>
    <w:rsid w:val="002C28BC"/>
    <w:rsid w:val="002C3BA9"/>
    <w:rsid w:val="002C4411"/>
    <w:rsid w:val="002C4686"/>
    <w:rsid w:val="002C6B10"/>
    <w:rsid w:val="002E08F1"/>
    <w:rsid w:val="002E0C1C"/>
    <w:rsid w:val="002E6D3E"/>
    <w:rsid w:val="002F0BF9"/>
    <w:rsid w:val="002F382D"/>
    <w:rsid w:val="003006F9"/>
    <w:rsid w:val="00303133"/>
    <w:rsid w:val="003034DE"/>
    <w:rsid w:val="00303E28"/>
    <w:rsid w:val="003040DC"/>
    <w:rsid w:val="00306552"/>
    <w:rsid w:val="00307170"/>
    <w:rsid w:val="00307512"/>
    <w:rsid w:val="003114F2"/>
    <w:rsid w:val="00312289"/>
    <w:rsid w:val="003123CF"/>
    <w:rsid w:val="00312DA5"/>
    <w:rsid w:val="00313172"/>
    <w:rsid w:val="00313DC5"/>
    <w:rsid w:val="0031460F"/>
    <w:rsid w:val="00322929"/>
    <w:rsid w:val="00325B53"/>
    <w:rsid w:val="0033120F"/>
    <w:rsid w:val="00332658"/>
    <w:rsid w:val="00332F06"/>
    <w:rsid w:val="00333610"/>
    <w:rsid w:val="00340A4A"/>
    <w:rsid w:val="00341B62"/>
    <w:rsid w:val="0034244E"/>
    <w:rsid w:val="0034318D"/>
    <w:rsid w:val="00344A13"/>
    <w:rsid w:val="003510EB"/>
    <w:rsid w:val="00352787"/>
    <w:rsid w:val="00354CAD"/>
    <w:rsid w:val="00355A2A"/>
    <w:rsid w:val="00361B68"/>
    <w:rsid w:val="00363692"/>
    <w:rsid w:val="00363CB8"/>
    <w:rsid w:val="00364EAA"/>
    <w:rsid w:val="0036631E"/>
    <w:rsid w:val="00371070"/>
    <w:rsid w:val="00371298"/>
    <w:rsid w:val="003731CC"/>
    <w:rsid w:val="00373562"/>
    <w:rsid w:val="00376E84"/>
    <w:rsid w:val="00380F0A"/>
    <w:rsid w:val="00380F3B"/>
    <w:rsid w:val="00382E56"/>
    <w:rsid w:val="003832F4"/>
    <w:rsid w:val="00385A20"/>
    <w:rsid w:val="003862BB"/>
    <w:rsid w:val="003A167B"/>
    <w:rsid w:val="003A78C7"/>
    <w:rsid w:val="003B6CD0"/>
    <w:rsid w:val="003C18D9"/>
    <w:rsid w:val="003C26C8"/>
    <w:rsid w:val="003C5C11"/>
    <w:rsid w:val="003C664A"/>
    <w:rsid w:val="003D018C"/>
    <w:rsid w:val="003D131D"/>
    <w:rsid w:val="003D3129"/>
    <w:rsid w:val="003D3CE2"/>
    <w:rsid w:val="003D67F3"/>
    <w:rsid w:val="003D70FC"/>
    <w:rsid w:val="003D76DA"/>
    <w:rsid w:val="003E2414"/>
    <w:rsid w:val="003E618C"/>
    <w:rsid w:val="003F3AA9"/>
    <w:rsid w:val="003F3AE7"/>
    <w:rsid w:val="003F5A6A"/>
    <w:rsid w:val="004033F5"/>
    <w:rsid w:val="00406965"/>
    <w:rsid w:val="00406A07"/>
    <w:rsid w:val="00406CF1"/>
    <w:rsid w:val="00410964"/>
    <w:rsid w:val="00411032"/>
    <w:rsid w:val="00411E70"/>
    <w:rsid w:val="004151AE"/>
    <w:rsid w:val="004156D5"/>
    <w:rsid w:val="00417D38"/>
    <w:rsid w:val="0042026A"/>
    <w:rsid w:val="004255E5"/>
    <w:rsid w:val="004323D6"/>
    <w:rsid w:val="00432822"/>
    <w:rsid w:val="00433AAE"/>
    <w:rsid w:val="0043460E"/>
    <w:rsid w:val="00437FAB"/>
    <w:rsid w:val="0044006E"/>
    <w:rsid w:val="00441172"/>
    <w:rsid w:val="004418E7"/>
    <w:rsid w:val="00442C2A"/>
    <w:rsid w:val="0044568F"/>
    <w:rsid w:val="0045732A"/>
    <w:rsid w:val="00460E93"/>
    <w:rsid w:val="00461433"/>
    <w:rsid w:val="00463513"/>
    <w:rsid w:val="004636F9"/>
    <w:rsid w:val="00475437"/>
    <w:rsid w:val="0048038B"/>
    <w:rsid w:val="004837CE"/>
    <w:rsid w:val="004901D9"/>
    <w:rsid w:val="0049340E"/>
    <w:rsid w:val="00496E3B"/>
    <w:rsid w:val="004A0D20"/>
    <w:rsid w:val="004A131E"/>
    <w:rsid w:val="004A1F5B"/>
    <w:rsid w:val="004A235A"/>
    <w:rsid w:val="004A6FD1"/>
    <w:rsid w:val="004A74D1"/>
    <w:rsid w:val="004B2BB2"/>
    <w:rsid w:val="004C0227"/>
    <w:rsid w:val="004C20A1"/>
    <w:rsid w:val="004C3DF4"/>
    <w:rsid w:val="004C6B18"/>
    <w:rsid w:val="004C6F05"/>
    <w:rsid w:val="004D3A4A"/>
    <w:rsid w:val="004D4FD6"/>
    <w:rsid w:val="004E3955"/>
    <w:rsid w:val="004F1BF3"/>
    <w:rsid w:val="004F647E"/>
    <w:rsid w:val="0050264E"/>
    <w:rsid w:val="0050541E"/>
    <w:rsid w:val="00506DF9"/>
    <w:rsid w:val="00517474"/>
    <w:rsid w:val="00517CE7"/>
    <w:rsid w:val="005200D0"/>
    <w:rsid w:val="00521E15"/>
    <w:rsid w:val="00523BCA"/>
    <w:rsid w:val="0052473B"/>
    <w:rsid w:val="005263B9"/>
    <w:rsid w:val="00530F09"/>
    <w:rsid w:val="005312CF"/>
    <w:rsid w:val="00535079"/>
    <w:rsid w:val="005352E8"/>
    <w:rsid w:val="005606CD"/>
    <w:rsid w:val="0056143F"/>
    <w:rsid w:val="00562AD3"/>
    <w:rsid w:val="00565763"/>
    <w:rsid w:val="00565DC4"/>
    <w:rsid w:val="00572A5C"/>
    <w:rsid w:val="005800E9"/>
    <w:rsid w:val="0058082B"/>
    <w:rsid w:val="005866C9"/>
    <w:rsid w:val="00587297"/>
    <w:rsid w:val="00591644"/>
    <w:rsid w:val="005927B1"/>
    <w:rsid w:val="00595DFB"/>
    <w:rsid w:val="00597260"/>
    <w:rsid w:val="005A1F78"/>
    <w:rsid w:val="005A6B80"/>
    <w:rsid w:val="005B1C4F"/>
    <w:rsid w:val="005B3243"/>
    <w:rsid w:val="005C66AB"/>
    <w:rsid w:val="005C7765"/>
    <w:rsid w:val="005C7F92"/>
    <w:rsid w:val="005D00B1"/>
    <w:rsid w:val="005D03FB"/>
    <w:rsid w:val="005D069A"/>
    <w:rsid w:val="005D750C"/>
    <w:rsid w:val="005E1DBC"/>
    <w:rsid w:val="005E2F45"/>
    <w:rsid w:val="005E3323"/>
    <w:rsid w:val="005E4DDD"/>
    <w:rsid w:val="005E52F5"/>
    <w:rsid w:val="005E6719"/>
    <w:rsid w:val="00602251"/>
    <w:rsid w:val="00603DB8"/>
    <w:rsid w:val="00605A5C"/>
    <w:rsid w:val="00607164"/>
    <w:rsid w:val="0061019F"/>
    <w:rsid w:val="0062111C"/>
    <w:rsid w:val="00626355"/>
    <w:rsid w:val="006303AF"/>
    <w:rsid w:val="006322D8"/>
    <w:rsid w:val="00633B9F"/>
    <w:rsid w:val="0064284D"/>
    <w:rsid w:val="006502B3"/>
    <w:rsid w:val="0065241E"/>
    <w:rsid w:val="00652CB7"/>
    <w:rsid w:val="0065461B"/>
    <w:rsid w:val="006547CE"/>
    <w:rsid w:val="00654E20"/>
    <w:rsid w:val="006610E9"/>
    <w:rsid w:val="006656BD"/>
    <w:rsid w:val="00672810"/>
    <w:rsid w:val="00673C40"/>
    <w:rsid w:val="00673C8B"/>
    <w:rsid w:val="00674292"/>
    <w:rsid w:val="00674F13"/>
    <w:rsid w:val="006801B3"/>
    <w:rsid w:val="00690341"/>
    <w:rsid w:val="006905B5"/>
    <w:rsid w:val="00691833"/>
    <w:rsid w:val="0069641C"/>
    <w:rsid w:val="006A0C91"/>
    <w:rsid w:val="006A1915"/>
    <w:rsid w:val="006A40CD"/>
    <w:rsid w:val="006A7F15"/>
    <w:rsid w:val="006B46F1"/>
    <w:rsid w:val="006B6170"/>
    <w:rsid w:val="006B7362"/>
    <w:rsid w:val="006B7374"/>
    <w:rsid w:val="006C06BC"/>
    <w:rsid w:val="006C0DF2"/>
    <w:rsid w:val="006C2A55"/>
    <w:rsid w:val="006C4277"/>
    <w:rsid w:val="006D055F"/>
    <w:rsid w:val="006D189F"/>
    <w:rsid w:val="006D387A"/>
    <w:rsid w:val="006D51FF"/>
    <w:rsid w:val="006D57C1"/>
    <w:rsid w:val="006D622E"/>
    <w:rsid w:val="006D6B92"/>
    <w:rsid w:val="006E3642"/>
    <w:rsid w:val="006F03C7"/>
    <w:rsid w:val="006F204E"/>
    <w:rsid w:val="006F2E2A"/>
    <w:rsid w:val="006F36DE"/>
    <w:rsid w:val="006F4B7A"/>
    <w:rsid w:val="006F5364"/>
    <w:rsid w:val="006F541D"/>
    <w:rsid w:val="00700500"/>
    <w:rsid w:val="00703457"/>
    <w:rsid w:val="007124C8"/>
    <w:rsid w:val="00720261"/>
    <w:rsid w:val="00720A91"/>
    <w:rsid w:val="00726FC4"/>
    <w:rsid w:val="0073426F"/>
    <w:rsid w:val="007346CE"/>
    <w:rsid w:val="00742C39"/>
    <w:rsid w:val="00746076"/>
    <w:rsid w:val="00752E0C"/>
    <w:rsid w:val="007575CE"/>
    <w:rsid w:val="007578D4"/>
    <w:rsid w:val="00761C98"/>
    <w:rsid w:val="00767F45"/>
    <w:rsid w:val="00772EC2"/>
    <w:rsid w:val="00783C56"/>
    <w:rsid w:val="007857FF"/>
    <w:rsid w:val="00787620"/>
    <w:rsid w:val="00790BBE"/>
    <w:rsid w:val="00790D28"/>
    <w:rsid w:val="007919F7"/>
    <w:rsid w:val="00792608"/>
    <w:rsid w:val="00792EA7"/>
    <w:rsid w:val="00792FC7"/>
    <w:rsid w:val="00795F36"/>
    <w:rsid w:val="007963B2"/>
    <w:rsid w:val="007A26D7"/>
    <w:rsid w:val="007A34C6"/>
    <w:rsid w:val="007A4E26"/>
    <w:rsid w:val="007A69C3"/>
    <w:rsid w:val="007B1B81"/>
    <w:rsid w:val="007C4F36"/>
    <w:rsid w:val="007D0BE5"/>
    <w:rsid w:val="007D11C2"/>
    <w:rsid w:val="007D20D8"/>
    <w:rsid w:val="007D366E"/>
    <w:rsid w:val="007D4587"/>
    <w:rsid w:val="007E45B8"/>
    <w:rsid w:val="007E478A"/>
    <w:rsid w:val="007E5140"/>
    <w:rsid w:val="007E53FA"/>
    <w:rsid w:val="007E613A"/>
    <w:rsid w:val="007F0422"/>
    <w:rsid w:val="007F3FCA"/>
    <w:rsid w:val="008001DC"/>
    <w:rsid w:val="008032D7"/>
    <w:rsid w:val="00804BC0"/>
    <w:rsid w:val="00813FFB"/>
    <w:rsid w:val="00815A3B"/>
    <w:rsid w:val="00817F9A"/>
    <w:rsid w:val="0082718B"/>
    <w:rsid w:val="008275F3"/>
    <w:rsid w:val="00827980"/>
    <w:rsid w:val="00830BA8"/>
    <w:rsid w:val="00833BDD"/>
    <w:rsid w:val="00836A0D"/>
    <w:rsid w:val="0084504C"/>
    <w:rsid w:val="0084606B"/>
    <w:rsid w:val="00846899"/>
    <w:rsid w:val="00850D38"/>
    <w:rsid w:val="0085231E"/>
    <w:rsid w:val="008529EE"/>
    <w:rsid w:val="00856B61"/>
    <w:rsid w:val="00860D7E"/>
    <w:rsid w:val="00863492"/>
    <w:rsid w:val="008702E2"/>
    <w:rsid w:val="00870440"/>
    <w:rsid w:val="00873315"/>
    <w:rsid w:val="0088199B"/>
    <w:rsid w:val="008845D9"/>
    <w:rsid w:val="00885B1E"/>
    <w:rsid w:val="00891268"/>
    <w:rsid w:val="008946BA"/>
    <w:rsid w:val="00895969"/>
    <w:rsid w:val="00897CB5"/>
    <w:rsid w:val="008A1021"/>
    <w:rsid w:val="008A1813"/>
    <w:rsid w:val="008A1C71"/>
    <w:rsid w:val="008A275D"/>
    <w:rsid w:val="008A2CBF"/>
    <w:rsid w:val="008A5FAC"/>
    <w:rsid w:val="008A69D5"/>
    <w:rsid w:val="008A6F0C"/>
    <w:rsid w:val="008B4770"/>
    <w:rsid w:val="008C0644"/>
    <w:rsid w:val="008C237C"/>
    <w:rsid w:val="008C23D7"/>
    <w:rsid w:val="008C676C"/>
    <w:rsid w:val="008D0EBB"/>
    <w:rsid w:val="008D114A"/>
    <w:rsid w:val="008D7539"/>
    <w:rsid w:val="008E0466"/>
    <w:rsid w:val="008E2190"/>
    <w:rsid w:val="008E24B5"/>
    <w:rsid w:val="008E31DA"/>
    <w:rsid w:val="008F1043"/>
    <w:rsid w:val="009015EF"/>
    <w:rsid w:val="00904927"/>
    <w:rsid w:val="00904AA2"/>
    <w:rsid w:val="00904B9A"/>
    <w:rsid w:val="009113AD"/>
    <w:rsid w:val="009136BE"/>
    <w:rsid w:val="00916006"/>
    <w:rsid w:val="009161A8"/>
    <w:rsid w:val="00916226"/>
    <w:rsid w:val="00923B5E"/>
    <w:rsid w:val="00923BF2"/>
    <w:rsid w:val="00933209"/>
    <w:rsid w:val="00933269"/>
    <w:rsid w:val="00936495"/>
    <w:rsid w:val="00937C9C"/>
    <w:rsid w:val="00940C38"/>
    <w:rsid w:val="00941088"/>
    <w:rsid w:val="0094198B"/>
    <w:rsid w:val="00946385"/>
    <w:rsid w:val="00953E47"/>
    <w:rsid w:val="00956E0A"/>
    <w:rsid w:val="0095776C"/>
    <w:rsid w:val="00963C92"/>
    <w:rsid w:val="009667AA"/>
    <w:rsid w:val="00975249"/>
    <w:rsid w:val="009760D3"/>
    <w:rsid w:val="00977AA6"/>
    <w:rsid w:val="009805B4"/>
    <w:rsid w:val="00982B39"/>
    <w:rsid w:val="00982C0A"/>
    <w:rsid w:val="00983589"/>
    <w:rsid w:val="00984752"/>
    <w:rsid w:val="00985B38"/>
    <w:rsid w:val="00986EF6"/>
    <w:rsid w:val="00987397"/>
    <w:rsid w:val="009A0124"/>
    <w:rsid w:val="009A251F"/>
    <w:rsid w:val="009A30C2"/>
    <w:rsid w:val="009A6986"/>
    <w:rsid w:val="009A701A"/>
    <w:rsid w:val="009B3712"/>
    <w:rsid w:val="009C0DA9"/>
    <w:rsid w:val="009C3754"/>
    <w:rsid w:val="009C49BF"/>
    <w:rsid w:val="009C4B59"/>
    <w:rsid w:val="009C66B3"/>
    <w:rsid w:val="009D121D"/>
    <w:rsid w:val="009D4D81"/>
    <w:rsid w:val="009E06D2"/>
    <w:rsid w:val="009E41C6"/>
    <w:rsid w:val="009E42D1"/>
    <w:rsid w:val="009F0F66"/>
    <w:rsid w:val="009F42FB"/>
    <w:rsid w:val="009F42FD"/>
    <w:rsid w:val="009F66A0"/>
    <w:rsid w:val="009F6AD4"/>
    <w:rsid w:val="00A00581"/>
    <w:rsid w:val="00A0261E"/>
    <w:rsid w:val="00A042E3"/>
    <w:rsid w:val="00A05A5B"/>
    <w:rsid w:val="00A0703C"/>
    <w:rsid w:val="00A0713F"/>
    <w:rsid w:val="00A102EF"/>
    <w:rsid w:val="00A129E7"/>
    <w:rsid w:val="00A13790"/>
    <w:rsid w:val="00A138EA"/>
    <w:rsid w:val="00A13EED"/>
    <w:rsid w:val="00A200ED"/>
    <w:rsid w:val="00A234E7"/>
    <w:rsid w:val="00A245FC"/>
    <w:rsid w:val="00A264B1"/>
    <w:rsid w:val="00A310F5"/>
    <w:rsid w:val="00A33D9F"/>
    <w:rsid w:val="00A34E9E"/>
    <w:rsid w:val="00A3776B"/>
    <w:rsid w:val="00A41780"/>
    <w:rsid w:val="00A43328"/>
    <w:rsid w:val="00A477F7"/>
    <w:rsid w:val="00A519EA"/>
    <w:rsid w:val="00A557BC"/>
    <w:rsid w:val="00A579B4"/>
    <w:rsid w:val="00A62F4C"/>
    <w:rsid w:val="00A66B8F"/>
    <w:rsid w:val="00A7157E"/>
    <w:rsid w:val="00A715AF"/>
    <w:rsid w:val="00A71CA5"/>
    <w:rsid w:val="00A7679B"/>
    <w:rsid w:val="00A77C1D"/>
    <w:rsid w:val="00A80A7A"/>
    <w:rsid w:val="00A81EEC"/>
    <w:rsid w:val="00A833CF"/>
    <w:rsid w:val="00A83BE7"/>
    <w:rsid w:val="00A86388"/>
    <w:rsid w:val="00A877D2"/>
    <w:rsid w:val="00A87E45"/>
    <w:rsid w:val="00A92ADB"/>
    <w:rsid w:val="00A92D06"/>
    <w:rsid w:val="00A93B8F"/>
    <w:rsid w:val="00A93FC5"/>
    <w:rsid w:val="00A9478C"/>
    <w:rsid w:val="00A96670"/>
    <w:rsid w:val="00AB28B9"/>
    <w:rsid w:val="00AC0368"/>
    <w:rsid w:val="00AC1D4C"/>
    <w:rsid w:val="00AC76E0"/>
    <w:rsid w:val="00AD1A62"/>
    <w:rsid w:val="00AD1FCF"/>
    <w:rsid w:val="00AD25B0"/>
    <w:rsid w:val="00AE09FE"/>
    <w:rsid w:val="00AE52E6"/>
    <w:rsid w:val="00AE69D4"/>
    <w:rsid w:val="00AF0D0D"/>
    <w:rsid w:val="00AF26B5"/>
    <w:rsid w:val="00AF4D4D"/>
    <w:rsid w:val="00AF5423"/>
    <w:rsid w:val="00AF5CAF"/>
    <w:rsid w:val="00AF6180"/>
    <w:rsid w:val="00AF62C9"/>
    <w:rsid w:val="00AF7315"/>
    <w:rsid w:val="00AF75FE"/>
    <w:rsid w:val="00B01F40"/>
    <w:rsid w:val="00B0404B"/>
    <w:rsid w:val="00B13C8C"/>
    <w:rsid w:val="00B157EC"/>
    <w:rsid w:val="00B172B6"/>
    <w:rsid w:val="00B2200D"/>
    <w:rsid w:val="00B224C4"/>
    <w:rsid w:val="00B22EFE"/>
    <w:rsid w:val="00B24B2B"/>
    <w:rsid w:val="00B2742D"/>
    <w:rsid w:val="00B31143"/>
    <w:rsid w:val="00B32DE2"/>
    <w:rsid w:val="00B32DE5"/>
    <w:rsid w:val="00B33A96"/>
    <w:rsid w:val="00B36B15"/>
    <w:rsid w:val="00B4117D"/>
    <w:rsid w:val="00B41813"/>
    <w:rsid w:val="00B46DD6"/>
    <w:rsid w:val="00B479BD"/>
    <w:rsid w:val="00B517D9"/>
    <w:rsid w:val="00B52555"/>
    <w:rsid w:val="00B56BDC"/>
    <w:rsid w:val="00B61833"/>
    <w:rsid w:val="00B71901"/>
    <w:rsid w:val="00B72B0F"/>
    <w:rsid w:val="00B75E70"/>
    <w:rsid w:val="00B75E97"/>
    <w:rsid w:val="00B8675E"/>
    <w:rsid w:val="00B86810"/>
    <w:rsid w:val="00B86EAA"/>
    <w:rsid w:val="00B91AC0"/>
    <w:rsid w:val="00B92198"/>
    <w:rsid w:val="00B93886"/>
    <w:rsid w:val="00B93E1A"/>
    <w:rsid w:val="00B96EE2"/>
    <w:rsid w:val="00BA2BFC"/>
    <w:rsid w:val="00BA310A"/>
    <w:rsid w:val="00BA5156"/>
    <w:rsid w:val="00BA697D"/>
    <w:rsid w:val="00BA74AA"/>
    <w:rsid w:val="00BA7BB8"/>
    <w:rsid w:val="00BB2056"/>
    <w:rsid w:val="00BB377C"/>
    <w:rsid w:val="00BB3F45"/>
    <w:rsid w:val="00BC50F6"/>
    <w:rsid w:val="00BD053A"/>
    <w:rsid w:val="00BD0615"/>
    <w:rsid w:val="00BD1EB6"/>
    <w:rsid w:val="00BD3883"/>
    <w:rsid w:val="00BD43AA"/>
    <w:rsid w:val="00BD6530"/>
    <w:rsid w:val="00BE3FBA"/>
    <w:rsid w:val="00BE5C72"/>
    <w:rsid w:val="00BE7D5C"/>
    <w:rsid w:val="00BF1F4B"/>
    <w:rsid w:val="00BF2418"/>
    <w:rsid w:val="00C005EF"/>
    <w:rsid w:val="00C0535A"/>
    <w:rsid w:val="00C053AA"/>
    <w:rsid w:val="00C1128F"/>
    <w:rsid w:val="00C15F97"/>
    <w:rsid w:val="00C21357"/>
    <w:rsid w:val="00C24228"/>
    <w:rsid w:val="00C2686B"/>
    <w:rsid w:val="00C31FB3"/>
    <w:rsid w:val="00C32B09"/>
    <w:rsid w:val="00C33B1A"/>
    <w:rsid w:val="00C34425"/>
    <w:rsid w:val="00C40324"/>
    <w:rsid w:val="00C42BB8"/>
    <w:rsid w:val="00C42E5D"/>
    <w:rsid w:val="00C441C5"/>
    <w:rsid w:val="00C47726"/>
    <w:rsid w:val="00C5599D"/>
    <w:rsid w:val="00C606E0"/>
    <w:rsid w:val="00C667BF"/>
    <w:rsid w:val="00C67FDD"/>
    <w:rsid w:val="00C73BEA"/>
    <w:rsid w:val="00C80156"/>
    <w:rsid w:val="00C844E4"/>
    <w:rsid w:val="00C86514"/>
    <w:rsid w:val="00C86DC6"/>
    <w:rsid w:val="00C86E64"/>
    <w:rsid w:val="00C913F8"/>
    <w:rsid w:val="00C92D5B"/>
    <w:rsid w:val="00C96869"/>
    <w:rsid w:val="00CA024C"/>
    <w:rsid w:val="00CB47C6"/>
    <w:rsid w:val="00CC1C54"/>
    <w:rsid w:val="00CC1E0F"/>
    <w:rsid w:val="00CC2B7E"/>
    <w:rsid w:val="00CC546E"/>
    <w:rsid w:val="00CD3227"/>
    <w:rsid w:val="00CD3836"/>
    <w:rsid w:val="00CD3EC8"/>
    <w:rsid w:val="00CD7122"/>
    <w:rsid w:val="00CE05C3"/>
    <w:rsid w:val="00CF7D4E"/>
    <w:rsid w:val="00D051DE"/>
    <w:rsid w:val="00D0521C"/>
    <w:rsid w:val="00D1065A"/>
    <w:rsid w:val="00D145E7"/>
    <w:rsid w:val="00D15C9D"/>
    <w:rsid w:val="00D166B7"/>
    <w:rsid w:val="00D17783"/>
    <w:rsid w:val="00D21A34"/>
    <w:rsid w:val="00D23784"/>
    <w:rsid w:val="00D25F18"/>
    <w:rsid w:val="00D273E4"/>
    <w:rsid w:val="00D27833"/>
    <w:rsid w:val="00D30383"/>
    <w:rsid w:val="00D30FCA"/>
    <w:rsid w:val="00D33B33"/>
    <w:rsid w:val="00D35649"/>
    <w:rsid w:val="00D376E5"/>
    <w:rsid w:val="00D37C01"/>
    <w:rsid w:val="00D42F0B"/>
    <w:rsid w:val="00D503A6"/>
    <w:rsid w:val="00D5309D"/>
    <w:rsid w:val="00D542DA"/>
    <w:rsid w:val="00D5450E"/>
    <w:rsid w:val="00D56783"/>
    <w:rsid w:val="00D56ECE"/>
    <w:rsid w:val="00D618F3"/>
    <w:rsid w:val="00D6310B"/>
    <w:rsid w:val="00D72809"/>
    <w:rsid w:val="00D74B78"/>
    <w:rsid w:val="00D7594A"/>
    <w:rsid w:val="00D75A94"/>
    <w:rsid w:val="00D76C89"/>
    <w:rsid w:val="00D83B49"/>
    <w:rsid w:val="00D84FEF"/>
    <w:rsid w:val="00D92326"/>
    <w:rsid w:val="00DA11F2"/>
    <w:rsid w:val="00DA203D"/>
    <w:rsid w:val="00DA244A"/>
    <w:rsid w:val="00DA3DBC"/>
    <w:rsid w:val="00DA5EA9"/>
    <w:rsid w:val="00DB2E2F"/>
    <w:rsid w:val="00DB479C"/>
    <w:rsid w:val="00DC0650"/>
    <w:rsid w:val="00DC21A2"/>
    <w:rsid w:val="00DC52DA"/>
    <w:rsid w:val="00DD3E99"/>
    <w:rsid w:val="00DD46C9"/>
    <w:rsid w:val="00DD51F1"/>
    <w:rsid w:val="00DE048D"/>
    <w:rsid w:val="00DE0A92"/>
    <w:rsid w:val="00DE2609"/>
    <w:rsid w:val="00DE58C2"/>
    <w:rsid w:val="00DE6113"/>
    <w:rsid w:val="00DE741C"/>
    <w:rsid w:val="00DE775D"/>
    <w:rsid w:val="00DE7F90"/>
    <w:rsid w:val="00DF5B19"/>
    <w:rsid w:val="00DF66FC"/>
    <w:rsid w:val="00E01BB4"/>
    <w:rsid w:val="00E020C9"/>
    <w:rsid w:val="00E05A71"/>
    <w:rsid w:val="00E05CF1"/>
    <w:rsid w:val="00E06A80"/>
    <w:rsid w:val="00E1045E"/>
    <w:rsid w:val="00E11696"/>
    <w:rsid w:val="00E120FF"/>
    <w:rsid w:val="00E12350"/>
    <w:rsid w:val="00E12CA0"/>
    <w:rsid w:val="00E214AF"/>
    <w:rsid w:val="00E21773"/>
    <w:rsid w:val="00E22EE9"/>
    <w:rsid w:val="00E25BF7"/>
    <w:rsid w:val="00E26C01"/>
    <w:rsid w:val="00E31342"/>
    <w:rsid w:val="00E35CE5"/>
    <w:rsid w:val="00E464A6"/>
    <w:rsid w:val="00E475B7"/>
    <w:rsid w:val="00E47A83"/>
    <w:rsid w:val="00E47E0F"/>
    <w:rsid w:val="00E51411"/>
    <w:rsid w:val="00E51528"/>
    <w:rsid w:val="00E52F5F"/>
    <w:rsid w:val="00E55EBF"/>
    <w:rsid w:val="00E57263"/>
    <w:rsid w:val="00E57AC2"/>
    <w:rsid w:val="00E61942"/>
    <w:rsid w:val="00E62D45"/>
    <w:rsid w:val="00E7400E"/>
    <w:rsid w:val="00E744DA"/>
    <w:rsid w:val="00E74DA0"/>
    <w:rsid w:val="00E7632B"/>
    <w:rsid w:val="00E81ADB"/>
    <w:rsid w:val="00E82679"/>
    <w:rsid w:val="00E833A0"/>
    <w:rsid w:val="00E845EC"/>
    <w:rsid w:val="00E85624"/>
    <w:rsid w:val="00E868FA"/>
    <w:rsid w:val="00E90711"/>
    <w:rsid w:val="00E918FE"/>
    <w:rsid w:val="00E91B7F"/>
    <w:rsid w:val="00E9395A"/>
    <w:rsid w:val="00EA7AED"/>
    <w:rsid w:val="00EA7C5E"/>
    <w:rsid w:val="00EB27DF"/>
    <w:rsid w:val="00EB6586"/>
    <w:rsid w:val="00EB7A1A"/>
    <w:rsid w:val="00EC01EE"/>
    <w:rsid w:val="00EC5158"/>
    <w:rsid w:val="00EC6466"/>
    <w:rsid w:val="00ED02B4"/>
    <w:rsid w:val="00ED06C9"/>
    <w:rsid w:val="00ED0B1F"/>
    <w:rsid w:val="00ED29A7"/>
    <w:rsid w:val="00ED32A3"/>
    <w:rsid w:val="00ED3E79"/>
    <w:rsid w:val="00ED6624"/>
    <w:rsid w:val="00ED69E5"/>
    <w:rsid w:val="00EE030C"/>
    <w:rsid w:val="00EE464C"/>
    <w:rsid w:val="00EE4EAB"/>
    <w:rsid w:val="00EF5132"/>
    <w:rsid w:val="00F01CCB"/>
    <w:rsid w:val="00F03BB5"/>
    <w:rsid w:val="00F052A0"/>
    <w:rsid w:val="00F063A4"/>
    <w:rsid w:val="00F14971"/>
    <w:rsid w:val="00F204BE"/>
    <w:rsid w:val="00F22043"/>
    <w:rsid w:val="00F25368"/>
    <w:rsid w:val="00F312E8"/>
    <w:rsid w:val="00F3293A"/>
    <w:rsid w:val="00F35533"/>
    <w:rsid w:val="00F375B4"/>
    <w:rsid w:val="00F478DA"/>
    <w:rsid w:val="00F610AA"/>
    <w:rsid w:val="00F62055"/>
    <w:rsid w:val="00F705D7"/>
    <w:rsid w:val="00F75CA2"/>
    <w:rsid w:val="00F7760F"/>
    <w:rsid w:val="00F8174C"/>
    <w:rsid w:val="00F865B8"/>
    <w:rsid w:val="00F937F6"/>
    <w:rsid w:val="00F94B16"/>
    <w:rsid w:val="00F96127"/>
    <w:rsid w:val="00FA4B4C"/>
    <w:rsid w:val="00FB34C0"/>
    <w:rsid w:val="00FB3579"/>
    <w:rsid w:val="00FB433F"/>
    <w:rsid w:val="00FB485C"/>
    <w:rsid w:val="00FC3F3B"/>
    <w:rsid w:val="00FC57FF"/>
    <w:rsid w:val="00FD02A8"/>
    <w:rsid w:val="00FD4E9A"/>
    <w:rsid w:val="00FD7B28"/>
    <w:rsid w:val="00FF2010"/>
    <w:rsid w:val="00FF35C3"/>
    <w:rsid w:val="00FF5849"/>
    <w:rsid w:val="00FF5B28"/>
    <w:rsid w:val="01B5C5EC"/>
    <w:rsid w:val="01DAC31B"/>
    <w:rsid w:val="02158724"/>
    <w:rsid w:val="0338F26B"/>
    <w:rsid w:val="0368797D"/>
    <w:rsid w:val="038B754C"/>
    <w:rsid w:val="03E39D71"/>
    <w:rsid w:val="0408E008"/>
    <w:rsid w:val="049D14EE"/>
    <w:rsid w:val="049DCF17"/>
    <w:rsid w:val="061EFBAB"/>
    <w:rsid w:val="065EDC13"/>
    <w:rsid w:val="069E17B8"/>
    <w:rsid w:val="06AF623A"/>
    <w:rsid w:val="06FC624F"/>
    <w:rsid w:val="077928A2"/>
    <w:rsid w:val="07B150AC"/>
    <w:rsid w:val="0800CFD9"/>
    <w:rsid w:val="0831FB25"/>
    <w:rsid w:val="08DBA271"/>
    <w:rsid w:val="097ACF40"/>
    <w:rsid w:val="09C55320"/>
    <w:rsid w:val="09F99B76"/>
    <w:rsid w:val="0AC03B3C"/>
    <w:rsid w:val="0B3EF15E"/>
    <w:rsid w:val="0BD9776F"/>
    <w:rsid w:val="0BE2E073"/>
    <w:rsid w:val="0C06A678"/>
    <w:rsid w:val="0D8718E9"/>
    <w:rsid w:val="0DC27518"/>
    <w:rsid w:val="0DC87613"/>
    <w:rsid w:val="0E066009"/>
    <w:rsid w:val="0E15D40B"/>
    <w:rsid w:val="0F0B2FDD"/>
    <w:rsid w:val="0F4B0598"/>
    <w:rsid w:val="0F81EE97"/>
    <w:rsid w:val="0F835035"/>
    <w:rsid w:val="0F9CF885"/>
    <w:rsid w:val="0FC7215C"/>
    <w:rsid w:val="100EC8F2"/>
    <w:rsid w:val="1106998E"/>
    <w:rsid w:val="11345BCC"/>
    <w:rsid w:val="117255A3"/>
    <w:rsid w:val="133F021E"/>
    <w:rsid w:val="1379D2D4"/>
    <w:rsid w:val="144C7988"/>
    <w:rsid w:val="148977E6"/>
    <w:rsid w:val="150D1A70"/>
    <w:rsid w:val="1522578E"/>
    <w:rsid w:val="15C47D6E"/>
    <w:rsid w:val="160744B7"/>
    <w:rsid w:val="17DF34E0"/>
    <w:rsid w:val="18A9AEF0"/>
    <w:rsid w:val="196B2E59"/>
    <w:rsid w:val="196C60EA"/>
    <w:rsid w:val="1A66383C"/>
    <w:rsid w:val="1A949A8D"/>
    <w:rsid w:val="1AAB20D9"/>
    <w:rsid w:val="1AC79DF4"/>
    <w:rsid w:val="1AF3A785"/>
    <w:rsid w:val="1AFF4516"/>
    <w:rsid w:val="1B2AEEA0"/>
    <w:rsid w:val="1BFECC15"/>
    <w:rsid w:val="1C428CF7"/>
    <w:rsid w:val="1C7779AA"/>
    <w:rsid w:val="1CA622D8"/>
    <w:rsid w:val="1D1C4072"/>
    <w:rsid w:val="1E611C39"/>
    <w:rsid w:val="1E828CE1"/>
    <w:rsid w:val="1E946224"/>
    <w:rsid w:val="1E949661"/>
    <w:rsid w:val="1E9D7B37"/>
    <w:rsid w:val="1F4B6B78"/>
    <w:rsid w:val="206D4AB8"/>
    <w:rsid w:val="213102F4"/>
    <w:rsid w:val="217D9F85"/>
    <w:rsid w:val="21BA3755"/>
    <w:rsid w:val="22095D6B"/>
    <w:rsid w:val="225CA8FB"/>
    <w:rsid w:val="2294D024"/>
    <w:rsid w:val="22EFCE35"/>
    <w:rsid w:val="23B2F7F6"/>
    <w:rsid w:val="23C2E80E"/>
    <w:rsid w:val="24D5C489"/>
    <w:rsid w:val="2500C994"/>
    <w:rsid w:val="2514C3F1"/>
    <w:rsid w:val="257A076C"/>
    <w:rsid w:val="258D49DA"/>
    <w:rsid w:val="25C5998A"/>
    <w:rsid w:val="2742322D"/>
    <w:rsid w:val="27D2A83F"/>
    <w:rsid w:val="27EBB55B"/>
    <w:rsid w:val="28671B6D"/>
    <w:rsid w:val="28CC085A"/>
    <w:rsid w:val="29016407"/>
    <w:rsid w:val="29DA1D17"/>
    <w:rsid w:val="29DC95B7"/>
    <w:rsid w:val="29DFB1D0"/>
    <w:rsid w:val="2AD17F85"/>
    <w:rsid w:val="2B43CB16"/>
    <w:rsid w:val="2B6A00A3"/>
    <w:rsid w:val="2C121796"/>
    <w:rsid w:val="2C143FAC"/>
    <w:rsid w:val="2CCC61E5"/>
    <w:rsid w:val="2D339400"/>
    <w:rsid w:val="2D717639"/>
    <w:rsid w:val="2EAA5F28"/>
    <w:rsid w:val="2EAD5762"/>
    <w:rsid w:val="2EEDDE94"/>
    <w:rsid w:val="2FE45F06"/>
    <w:rsid w:val="30965026"/>
    <w:rsid w:val="30A9C147"/>
    <w:rsid w:val="30AD3750"/>
    <w:rsid w:val="320D86A8"/>
    <w:rsid w:val="328E7289"/>
    <w:rsid w:val="3318912D"/>
    <w:rsid w:val="337D9B20"/>
    <w:rsid w:val="345C894E"/>
    <w:rsid w:val="348C11A9"/>
    <w:rsid w:val="34D1A26E"/>
    <w:rsid w:val="35089B99"/>
    <w:rsid w:val="3544F7FD"/>
    <w:rsid w:val="361A5137"/>
    <w:rsid w:val="367CCBE6"/>
    <w:rsid w:val="36CF125D"/>
    <w:rsid w:val="3702241E"/>
    <w:rsid w:val="37576045"/>
    <w:rsid w:val="377FB964"/>
    <w:rsid w:val="38A60F19"/>
    <w:rsid w:val="38C97637"/>
    <w:rsid w:val="38DB67C1"/>
    <w:rsid w:val="38F0C70D"/>
    <w:rsid w:val="391C1086"/>
    <w:rsid w:val="3937F2F0"/>
    <w:rsid w:val="3953CC1B"/>
    <w:rsid w:val="398F4F7C"/>
    <w:rsid w:val="3A1CF951"/>
    <w:rsid w:val="3C154979"/>
    <w:rsid w:val="3CE63571"/>
    <w:rsid w:val="3DBDFFB9"/>
    <w:rsid w:val="3DD3797D"/>
    <w:rsid w:val="3DF8F41C"/>
    <w:rsid w:val="3E45897E"/>
    <w:rsid w:val="3F91377D"/>
    <w:rsid w:val="3FAF4C56"/>
    <w:rsid w:val="400D54F4"/>
    <w:rsid w:val="400E228B"/>
    <w:rsid w:val="4036FC16"/>
    <w:rsid w:val="40F8D23D"/>
    <w:rsid w:val="4128E21A"/>
    <w:rsid w:val="41F1C0FD"/>
    <w:rsid w:val="420ACDC2"/>
    <w:rsid w:val="4224C30F"/>
    <w:rsid w:val="4232C46D"/>
    <w:rsid w:val="4255ED88"/>
    <w:rsid w:val="425CD153"/>
    <w:rsid w:val="42BEAE83"/>
    <w:rsid w:val="42C06AC3"/>
    <w:rsid w:val="43570209"/>
    <w:rsid w:val="4413008B"/>
    <w:rsid w:val="443C5DBB"/>
    <w:rsid w:val="44A6D6D5"/>
    <w:rsid w:val="451A6A4E"/>
    <w:rsid w:val="4532C015"/>
    <w:rsid w:val="4537B5A1"/>
    <w:rsid w:val="45843029"/>
    <w:rsid w:val="459F73D8"/>
    <w:rsid w:val="45AF29CA"/>
    <w:rsid w:val="46161E2F"/>
    <w:rsid w:val="462BA96F"/>
    <w:rsid w:val="465974F5"/>
    <w:rsid w:val="46839778"/>
    <w:rsid w:val="469CD6CF"/>
    <w:rsid w:val="46C9D7E1"/>
    <w:rsid w:val="477671D4"/>
    <w:rsid w:val="479B638B"/>
    <w:rsid w:val="47A0F6A5"/>
    <w:rsid w:val="48B2487E"/>
    <w:rsid w:val="49192AA2"/>
    <w:rsid w:val="49CEE2C9"/>
    <w:rsid w:val="4A0DDC0D"/>
    <w:rsid w:val="4A431138"/>
    <w:rsid w:val="4B54EB6F"/>
    <w:rsid w:val="4B9538A9"/>
    <w:rsid w:val="4C77DA96"/>
    <w:rsid w:val="4C7C2875"/>
    <w:rsid w:val="4D15B89B"/>
    <w:rsid w:val="4D84630A"/>
    <w:rsid w:val="4E6B72F8"/>
    <w:rsid w:val="4F2DFA4A"/>
    <w:rsid w:val="507FB8E7"/>
    <w:rsid w:val="50BB15AA"/>
    <w:rsid w:val="50EF7EB4"/>
    <w:rsid w:val="516F1D94"/>
    <w:rsid w:val="51B245FC"/>
    <w:rsid w:val="51B50E69"/>
    <w:rsid w:val="520A85C6"/>
    <w:rsid w:val="525BBA70"/>
    <w:rsid w:val="52847870"/>
    <w:rsid w:val="52911C68"/>
    <w:rsid w:val="54386AF6"/>
    <w:rsid w:val="5491B1ED"/>
    <w:rsid w:val="54CEC533"/>
    <w:rsid w:val="54DF6B59"/>
    <w:rsid w:val="55493373"/>
    <w:rsid w:val="556EBB85"/>
    <w:rsid w:val="5591E6A2"/>
    <w:rsid w:val="56311102"/>
    <w:rsid w:val="56F0A195"/>
    <w:rsid w:val="5770F718"/>
    <w:rsid w:val="577D39BB"/>
    <w:rsid w:val="57B24CCD"/>
    <w:rsid w:val="57C5BA35"/>
    <w:rsid w:val="57E77F6D"/>
    <w:rsid w:val="58130B01"/>
    <w:rsid w:val="5923B421"/>
    <w:rsid w:val="59B7E383"/>
    <w:rsid w:val="5AB60634"/>
    <w:rsid w:val="5B301282"/>
    <w:rsid w:val="5B8B9473"/>
    <w:rsid w:val="5C4C0B88"/>
    <w:rsid w:val="5C51A1CF"/>
    <w:rsid w:val="5C62C0B1"/>
    <w:rsid w:val="5CBEA12D"/>
    <w:rsid w:val="5CEFAC21"/>
    <w:rsid w:val="5D727375"/>
    <w:rsid w:val="5D915E29"/>
    <w:rsid w:val="5D9C2396"/>
    <w:rsid w:val="5DF9435C"/>
    <w:rsid w:val="5DFED2A4"/>
    <w:rsid w:val="5EB2C820"/>
    <w:rsid w:val="5EDCA426"/>
    <w:rsid w:val="6106AB93"/>
    <w:rsid w:val="6249402E"/>
    <w:rsid w:val="6268E614"/>
    <w:rsid w:val="62829F06"/>
    <w:rsid w:val="62C806FD"/>
    <w:rsid w:val="62FF921F"/>
    <w:rsid w:val="632FBF60"/>
    <w:rsid w:val="635AB9A6"/>
    <w:rsid w:val="649E8EE1"/>
    <w:rsid w:val="64BE01D4"/>
    <w:rsid w:val="64D94715"/>
    <w:rsid w:val="655696B1"/>
    <w:rsid w:val="656D4383"/>
    <w:rsid w:val="667A91E6"/>
    <w:rsid w:val="6694F7FB"/>
    <w:rsid w:val="669921BC"/>
    <w:rsid w:val="67821361"/>
    <w:rsid w:val="67C5D0ED"/>
    <w:rsid w:val="67E85B74"/>
    <w:rsid w:val="67FD630D"/>
    <w:rsid w:val="6830F98B"/>
    <w:rsid w:val="69A29F67"/>
    <w:rsid w:val="69B12199"/>
    <w:rsid w:val="69FE4AD7"/>
    <w:rsid w:val="6A5BB110"/>
    <w:rsid w:val="6B12BC47"/>
    <w:rsid w:val="6BA2409F"/>
    <w:rsid w:val="6BDD2A48"/>
    <w:rsid w:val="6BDD7C20"/>
    <w:rsid w:val="6C6D0895"/>
    <w:rsid w:val="6D6FF2E5"/>
    <w:rsid w:val="6DAEFCC2"/>
    <w:rsid w:val="6E20F14D"/>
    <w:rsid w:val="6E2506C3"/>
    <w:rsid w:val="6E7E3480"/>
    <w:rsid w:val="6EF95B52"/>
    <w:rsid w:val="70541296"/>
    <w:rsid w:val="70970B3B"/>
    <w:rsid w:val="70A90DFB"/>
    <w:rsid w:val="70DCA0E2"/>
    <w:rsid w:val="71C3D781"/>
    <w:rsid w:val="71F4CF6A"/>
    <w:rsid w:val="74CFDAA5"/>
    <w:rsid w:val="753C45F5"/>
    <w:rsid w:val="75510885"/>
    <w:rsid w:val="756B983B"/>
    <w:rsid w:val="75B57A72"/>
    <w:rsid w:val="75E9F4EA"/>
    <w:rsid w:val="761FDFFA"/>
    <w:rsid w:val="769C7919"/>
    <w:rsid w:val="76BC279D"/>
    <w:rsid w:val="777214C9"/>
    <w:rsid w:val="779CCCFF"/>
    <w:rsid w:val="78D58CA7"/>
    <w:rsid w:val="792A0EF4"/>
    <w:rsid w:val="79B3B441"/>
    <w:rsid w:val="7A1D518B"/>
    <w:rsid w:val="7A739AAB"/>
    <w:rsid w:val="7A974CF7"/>
    <w:rsid w:val="7AE2C15E"/>
    <w:rsid w:val="7AF3A5BF"/>
    <w:rsid w:val="7B790992"/>
    <w:rsid w:val="7BA08C87"/>
    <w:rsid w:val="7C07BA4D"/>
    <w:rsid w:val="7C179B06"/>
    <w:rsid w:val="7C1E68BA"/>
    <w:rsid w:val="7C1E91D8"/>
    <w:rsid w:val="7D5DE9E1"/>
    <w:rsid w:val="7DB1B4F3"/>
    <w:rsid w:val="7DDB84F8"/>
    <w:rsid w:val="7E01F1E6"/>
    <w:rsid w:val="7E4197AE"/>
    <w:rsid w:val="7E5AA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BE208C"/>
  <w15:docId w15:val="{0057C6EA-269E-4A91-A1B7-B28D7ECBD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MS Mincho"/>
      <w:sz w:val="24"/>
      <w:lang w:eastAsia="ja-JP"/>
    </w:rPr>
  </w:style>
  <w:style w:type="paragraph" w:styleId="Heading1">
    <w:name w:val="heading 1"/>
    <w:basedOn w:val="Normal"/>
    <w:next w:val="Text"/>
    <w:link w:val="Heading1Char"/>
    <w:qFormat/>
    <w:pPr>
      <w:keepNext/>
      <w:keepLines/>
      <w:numPr>
        <w:numId w:val="4"/>
      </w:numPr>
      <w:spacing w:before="360"/>
      <w:outlineLvl w:val="0"/>
    </w:pPr>
    <w:rPr>
      <w:rFonts w:ascii="Arial" w:eastAsia="MS Gothic" w:hAnsi="Arial"/>
      <w:b/>
      <w:sz w:val="28"/>
    </w:rPr>
  </w:style>
  <w:style w:type="paragraph" w:styleId="Heading2">
    <w:name w:val="heading 2"/>
    <w:basedOn w:val="Normal"/>
    <w:next w:val="Text"/>
    <w:qFormat/>
    <w:pPr>
      <w:keepNext/>
      <w:keepLines/>
      <w:numPr>
        <w:ilvl w:val="1"/>
        <w:numId w:val="4"/>
      </w:numPr>
      <w:spacing w:before="240"/>
      <w:outlineLvl w:val="1"/>
    </w:pPr>
    <w:rPr>
      <w:rFonts w:ascii="Arial" w:eastAsia="MS Gothic" w:hAnsi="Arial"/>
      <w:b/>
      <w:sz w:val="26"/>
    </w:rPr>
  </w:style>
  <w:style w:type="paragraph" w:styleId="Heading3">
    <w:name w:val="heading 3"/>
    <w:basedOn w:val="Normal"/>
    <w:next w:val="Text"/>
    <w:qFormat/>
    <w:pPr>
      <w:keepNext/>
      <w:keepLines/>
      <w:numPr>
        <w:ilvl w:val="2"/>
        <w:numId w:val="4"/>
      </w:numPr>
      <w:spacing w:before="240"/>
      <w:outlineLvl w:val="2"/>
    </w:pPr>
    <w:rPr>
      <w:rFonts w:ascii="Arial" w:eastAsia="MS Gothic" w:hAnsi="Arial"/>
      <w:b/>
    </w:rPr>
  </w:style>
  <w:style w:type="paragraph" w:styleId="Heading4">
    <w:name w:val="heading 4"/>
    <w:basedOn w:val="Normal"/>
    <w:next w:val="Text"/>
    <w:qFormat/>
    <w:pPr>
      <w:keepNext/>
      <w:keepLines/>
      <w:numPr>
        <w:ilvl w:val="3"/>
        <w:numId w:val="4"/>
      </w:numPr>
      <w:spacing w:before="240"/>
      <w:outlineLvl w:val="3"/>
    </w:pPr>
    <w:rPr>
      <w:rFonts w:ascii="Arial" w:eastAsia="MS Gothic" w:hAnsi="Arial"/>
      <w:b/>
    </w:rPr>
  </w:style>
  <w:style w:type="paragraph" w:styleId="Heading5">
    <w:name w:val="heading 5"/>
    <w:basedOn w:val="Heading4"/>
    <w:next w:val="Text"/>
    <w:qFormat/>
    <w:pPr>
      <w:numPr>
        <w:ilvl w:val="4"/>
      </w:numPr>
      <w:outlineLvl w:val="4"/>
    </w:pPr>
    <w:rPr>
      <w:b w:val="0"/>
    </w:rPr>
  </w:style>
  <w:style w:type="paragraph" w:styleId="Heading6">
    <w:name w:val="heading 6"/>
    <w:basedOn w:val="Normal"/>
    <w:next w:val="Text"/>
    <w:qFormat/>
    <w:pPr>
      <w:keepNext/>
      <w:keepLines/>
      <w:spacing w:before="240" w:after="60"/>
      <w:ind w:left="1701" w:hanging="1701"/>
      <w:outlineLvl w:val="5"/>
    </w:pPr>
    <w:rPr>
      <w:rFonts w:ascii="Arial" w:eastAsia="MS Gothic" w:hAnsi="Arial"/>
      <w:b/>
      <w:sz w:val="22"/>
    </w:rPr>
  </w:style>
  <w:style w:type="paragraph" w:styleId="Heading7">
    <w:name w:val="heading 7"/>
    <w:basedOn w:val="Normal"/>
    <w:next w:val="Text"/>
    <w:qFormat/>
    <w:pPr>
      <w:keepNext/>
      <w:keepLines/>
      <w:spacing w:before="240" w:after="60"/>
      <w:ind w:left="1701" w:hanging="1701"/>
      <w:outlineLvl w:val="6"/>
    </w:pPr>
    <w:rPr>
      <w:rFonts w:ascii="Arial" w:eastAsia="MS Gothic" w:hAnsi="Arial"/>
      <w:b/>
      <w:sz w:val="22"/>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s">
    <w:name w:val="Authors"/>
    <w:basedOn w:val="Normal"/>
    <w:pPr>
      <w:keepNext/>
      <w:spacing w:before="240"/>
    </w:pPr>
    <w:rPr>
      <w:rFonts w:ascii="Arial" w:eastAsia="MS Gothic" w:hAnsi="Arial"/>
    </w:rPr>
  </w:style>
  <w:style w:type="paragraph" w:customStyle="1" w:styleId="Comment">
    <w:name w:val="Comment"/>
    <w:basedOn w:val="Normal"/>
    <w:next w:val="Text"/>
    <w:link w:val="CommentChar"/>
    <w:qFormat/>
    <w:pPr>
      <w:keepLines/>
      <w:spacing w:before="120"/>
      <w:jc w:val="both"/>
    </w:pPr>
    <w:rPr>
      <w:i/>
      <w:color w:val="BF30B5"/>
      <w:szCs w:val="24"/>
    </w:rPr>
  </w:style>
  <w:style w:type="paragraph" w:customStyle="1" w:styleId="Compound">
    <w:name w:val="Compound"/>
    <w:basedOn w:val="Normal"/>
    <w:pPr>
      <w:keepNext/>
      <w:spacing w:before="720"/>
      <w:jc w:val="center"/>
    </w:pPr>
    <w:rPr>
      <w:rFonts w:ascii="Arial" w:eastAsia="MS Gothic" w:hAnsi="Arial"/>
      <w:sz w:val="32"/>
    </w:rPr>
  </w:style>
  <w:style w:type="paragraph" w:customStyle="1" w:styleId="Dedicatednumber">
    <w:name w:val="Dedicatednumber"/>
    <w:basedOn w:val="Normal"/>
    <w:pPr>
      <w:keepNext/>
      <w:spacing w:before="720"/>
      <w:jc w:val="center"/>
    </w:pPr>
    <w:rPr>
      <w:rFonts w:ascii="Arial" w:eastAsia="MS Gothic" w:hAnsi="Arial"/>
      <w:sz w:val="28"/>
    </w:rPr>
  </w:style>
  <w:style w:type="paragraph" w:customStyle="1" w:styleId="Department">
    <w:name w:val="Department"/>
    <w:basedOn w:val="Normal"/>
    <w:pPr>
      <w:keepNext/>
      <w:spacing w:before="360"/>
      <w:jc w:val="center"/>
    </w:pPr>
    <w:rPr>
      <w:rFonts w:ascii="Arial" w:eastAsia="MS Gothic" w:hAnsi="Arial"/>
      <w:sz w:val="28"/>
    </w:rPr>
  </w:style>
  <w:style w:type="paragraph" w:customStyle="1" w:styleId="Docstatus">
    <w:name w:val="Docstatus"/>
    <w:basedOn w:val="Normal"/>
    <w:pPr>
      <w:keepNext/>
      <w:spacing w:before="240"/>
    </w:pPr>
    <w:rPr>
      <w:rFonts w:ascii="Arial" w:eastAsia="MS Gothic" w:hAnsi="Arial"/>
    </w:rPr>
  </w:style>
  <w:style w:type="paragraph" w:customStyle="1" w:styleId="Doctype">
    <w:name w:val="Doctype"/>
    <w:basedOn w:val="Dedicatednumber"/>
    <w:pPr>
      <w:spacing w:before="240"/>
      <w:jc w:val="left"/>
    </w:pPr>
    <w:rPr>
      <w:sz w:val="24"/>
    </w:rPr>
  </w:style>
  <w:style w:type="character" w:styleId="EndnoteReference">
    <w:name w:val="endnote reference"/>
    <w:semiHidden/>
    <w:rPr>
      <w:vertAlign w:val="baseline"/>
    </w:rPr>
  </w:style>
  <w:style w:type="paragraph" w:styleId="EndnoteText">
    <w:name w:val="endnote text"/>
    <w:basedOn w:val="Normal"/>
    <w:semiHidden/>
    <w:pPr>
      <w:spacing w:before="80" w:after="60"/>
      <w:ind w:left="567" w:hanging="567"/>
    </w:pPr>
  </w:style>
  <w:style w:type="paragraph" w:customStyle="1" w:styleId="Firstpageinfo">
    <w:name w:val="Firstpageinfo"/>
    <w:basedOn w:val="Heading5"/>
    <w:pPr>
      <w:numPr>
        <w:ilvl w:val="0"/>
        <w:numId w:val="0"/>
      </w:numPr>
      <w:outlineLvl w:val="9"/>
    </w:pPr>
  </w:style>
  <w:style w:type="paragraph" w:styleId="Footer">
    <w:name w:val="footer"/>
    <w:basedOn w:val="Header"/>
    <w:semiHidden/>
  </w:style>
  <w:style w:type="paragraph" w:styleId="Header">
    <w:name w:val="header"/>
    <w:basedOn w:val="Normal"/>
    <w:pPr>
      <w:widowControl w:val="0"/>
      <w:tabs>
        <w:tab w:val="center" w:pos="4542"/>
        <w:tab w:val="right" w:pos="9078"/>
      </w:tabs>
    </w:pPr>
    <w:rPr>
      <w:rFonts w:ascii="Arial" w:eastAsia="MS Gothic" w:hAnsi="Arial"/>
      <w:sz w:val="20"/>
    </w:rPr>
  </w:style>
  <w:style w:type="paragraph" w:customStyle="1" w:styleId="Listlevel1">
    <w:name w:val="List level 1"/>
    <w:basedOn w:val="Normal"/>
    <w:pPr>
      <w:spacing w:before="40" w:after="20"/>
      <w:ind w:left="425" w:hanging="425"/>
    </w:pPr>
  </w:style>
  <w:style w:type="paragraph" w:customStyle="1" w:styleId="Listlevel2">
    <w:name w:val="List level 2"/>
    <w:basedOn w:val="Listlevel1"/>
    <w:pPr>
      <w:ind w:left="850"/>
    </w:pPr>
  </w:style>
  <w:style w:type="paragraph" w:customStyle="1" w:styleId="Non-proportional">
    <w:name w:val="Non-proportional"/>
    <w:basedOn w:val="Normal"/>
    <w:pPr>
      <w:spacing w:line="240" w:lineRule="atLeast"/>
      <w:jc w:val="both"/>
    </w:pPr>
    <w:rPr>
      <w:rFonts w:ascii="Courier New" w:hAnsi="Courier New"/>
      <w:spacing w:val="-10"/>
      <w:sz w:val="18"/>
    </w:rPr>
  </w:style>
  <w:style w:type="paragraph" w:customStyle="1" w:styleId="Nottoc-headings">
    <w:name w:val="Not toc-headings"/>
    <w:basedOn w:val="Normal"/>
    <w:next w:val="Text"/>
    <w:pPr>
      <w:keepNext/>
      <w:keepLines/>
      <w:spacing w:before="240" w:after="60"/>
    </w:pPr>
    <w:rPr>
      <w:rFonts w:ascii="Arial" w:eastAsia="MS Gothic" w:hAnsi="Arial"/>
      <w:b/>
      <w:szCs w:val="24"/>
    </w:rPr>
  </w:style>
  <w:style w:type="paragraph" w:customStyle="1" w:styleId="Numberofpages">
    <w:name w:val="Numberofpages"/>
    <w:basedOn w:val="Normal"/>
    <w:pPr>
      <w:keepNext/>
      <w:spacing w:before="240"/>
    </w:pPr>
    <w:rPr>
      <w:rFonts w:ascii="Arial" w:eastAsia="MS Gothic" w:hAnsi="Arial"/>
      <w:szCs w:val="24"/>
    </w:rPr>
  </w:style>
  <w:style w:type="paragraph" w:customStyle="1" w:styleId="Propertystatement">
    <w:name w:val="Propertystatement"/>
    <w:basedOn w:val="Numberofpages"/>
    <w:pPr>
      <w:keepNext w:val="0"/>
      <w:spacing w:before="1200"/>
      <w:jc w:val="center"/>
    </w:pPr>
    <w:rPr>
      <w:sz w:val="20"/>
    </w:rPr>
  </w:style>
  <w:style w:type="paragraph" w:customStyle="1" w:styleId="Reference">
    <w:name w:val="Reference"/>
    <w:basedOn w:val="Normal"/>
    <w:pPr>
      <w:spacing w:before="80" w:after="60"/>
    </w:pPr>
  </w:style>
  <w:style w:type="paragraph" w:customStyle="1" w:styleId="Releasedate">
    <w:name w:val="Releasedate"/>
    <w:basedOn w:val="Docstatus"/>
  </w:style>
  <w:style w:type="paragraph" w:customStyle="1" w:styleId="Table">
    <w:name w:val="Table"/>
    <w:aliases w:val="10 pt  Bold,9 pt,10 pt,table text 10 pt + Arial,Bold,Normal + (Latin) Arial,(Complex) Arial,Normal + Courier New,9 pNormal + Courier New"/>
    <w:basedOn w:val="Nottoc-headings"/>
    <w:link w:val="TableChar"/>
    <w:pPr>
      <w:keepNext w:val="0"/>
      <w:tabs>
        <w:tab w:val="left" w:pos="284"/>
      </w:tabs>
      <w:spacing w:before="40" w:after="20"/>
    </w:pPr>
    <w:rPr>
      <w:rFonts w:eastAsia="MS Mincho"/>
      <w:b w:val="0"/>
      <w:sz w:val="20"/>
    </w:rPr>
  </w:style>
  <w:style w:type="paragraph" w:customStyle="1" w:styleId="Text">
    <w:name w:val="Text"/>
    <w:basedOn w:val="Normal"/>
    <w:link w:val="TextChar"/>
    <w:qFormat/>
    <w:pPr>
      <w:spacing w:before="120"/>
      <w:jc w:val="both"/>
    </w:pPr>
  </w:style>
  <w:style w:type="paragraph" w:styleId="Title">
    <w:name w:val="Title"/>
    <w:basedOn w:val="Normal"/>
    <w:qFormat/>
    <w:pPr>
      <w:keepNext/>
      <w:spacing w:before="720" w:after="1320"/>
      <w:jc w:val="center"/>
    </w:pPr>
    <w:rPr>
      <w:rFonts w:ascii="Arial" w:eastAsia="MS Gothic" w:hAnsi="Arial"/>
      <w:b/>
      <w:sz w:val="32"/>
    </w:rPr>
  </w:style>
  <w:style w:type="paragraph" w:styleId="TOC1">
    <w:name w:val="toc 1"/>
    <w:basedOn w:val="Normal"/>
    <w:autoRedefine/>
    <w:pPr>
      <w:tabs>
        <w:tab w:val="right" w:leader="dot" w:pos="9061"/>
      </w:tabs>
      <w:spacing w:after="72"/>
      <w:ind w:left="425" w:right="454" w:hanging="425"/>
    </w:pPr>
  </w:style>
  <w:style w:type="paragraph" w:styleId="TOC2">
    <w:name w:val="toc 2"/>
    <w:basedOn w:val="TOC1"/>
    <w:autoRedefine/>
    <w:pPr>
      <w:ind w:left="1134" w:hanging="709"/>
    </w:pPr>
  </w:style>
  <w:style w:type="paragraph" w:styleId="TOC3">
    <w:name w:val="toc 3"/>
    <w:basedOn w:val="TOC2"/>
    <w:autoRedefine/>
    <w:pPr>
      <w:ind w:left="2126" w:hanging="992"/>
    </w:pPr>
  </w:style>
  <w:style w:type="paragraph" w:styleId="TOC6">
    <w:name w:val="toc 6"/>
    <w:basedOn w:val="Normal"/>
    <w:autoRedefine/>
    <w:pPr>
      <w:tabs>
        <w:tab w:val="right" w:leader="dot" w:pos="9061"/>
      </w:tabs>
      <w:spacing w:after="72"/>
      <w:ind w:left="2126" w:right="454" w:hanging="2126"/>
    </w:pPr>
  </w:style>
  <w:style w:type="paragraph" w:styleId="TOC7">
    <w:name w:val="toc 7"/>
    <w:basedOn w:val="Normal"/>
    <w:autoRedefine/>
    <w:pPr>
      <w:tabs>
        <w:tab w:val="right" w:leader="dot" w:pos="9061"/>
      </w:tabs>
      <w:spacing w:after="72"/>
      <w:ind w:left="2126" w:right="454" w:hanging="2126"/>
    </w:pPr>
  </w:style>
  <w:style w:type="paragraph" w:customStyle="1" w:styleId="Synopsis">
    <w:name w:val="Synopsis"/>
    <w:basedOn w:val="Text"/>
    <w:rPr>
      <w:rFonts w:ascii="Arial" w:eastAsia="MS Gothic" w:hAnsi="Arial"/>
      <w:sz w:val="20"/>
    </w:rPr>
  </w:style>
  <w:style w:type="numbering" w:styleId="111111">
    <w:name w:val="Outline List 2"/>
    <w:basedOn w:val="NoList"/>
    <w:semiHidden/>
    <w:pPr>
      <w:numPr>
        <w:numId w:val="1"/>
      </w:numPr>
    </w:pPr>
  </w:style>
  <w:style w:type="paragraph" w:customStyle="1" w:styleId="SAStext">
    <w:name w:val="SAS text"/>
    <w:rPr>
      <w:rFonts w:ascii="Courier New" w:eastAsia="MS Mincho" w:hAnsi="Courier New"/>
      <w:spacing w:val="-10"/>
    </w:rPr>
  </w:style>
  <w:style w:type="paragraph" w:customStyle="1" w:styleId="TOCEntry">
    <w:name w:val="TOC Entry"/>
    <w:basedOn w:val="Heading2"/>
    <w:next w:val="Text"/>
    <w:pPr>
      <w:numPr>
        <w:ilvl w:val="0"/>
        <w:numId w:val="0"/>
      </w:numPr>
    </w:pPr>
  </w:style>
  <w:style w:type="numbering" w:styleId="1ai">
    <w:name w:val="Outline List 1"/>
    <w:basedOn w:val="NoList"/>
    <w:semiHidden/>
    <w:pPr>
      <w:numPr>
        <w:numId w:val="2"/>
      </w:numPr>
    </w:pPr>
  </w:style>
  <w:style w:type="numbering" w:styleId="ArticleSection">
    <w:name w:val="Outline List 3"/>
    <w:basedOn w:val="NoList"/>
    <w:semiHidden/>
    <w:pPr>
      <w:numPr>
        <w:numId w:val="3"/>
      </w:numPr>
    </w:p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szCs w:val="16"/>
    </w:rPr>
  </w:style>
  <w:style w:type="paragraph" w:styleId="Closing">
    <w:name w:val="Closing"/>
    <w:basedOn w:val="Normal"/>
    <w:semiHidden/>
    <w:pPr>
      <w:ind w:left="4320"/>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semiHidden/>
    <w:rPr>
      <w:rFonts w:ascii="Arial" w:hAnsi="Arial" w:cs="Arial"/>
      <w:sz w:val="20"/>
    </w:rPr>
  </w:style>
  <w:style w:type="character" w:styleId="FollowedHyperlink">
    <w:name w:val="FollowedHyperlink"/>
    <w:semiHidden/>
    <w:rPr>
      <w:color w:val="0000FF"/>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sz w:val="20"/>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character" w:styleId="LineNumber">
    <w:name w:val="line number"/>
    <w:basedOn w:val="DefaultParagraphFont"/>
    <w:semiHidden/>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style>
  <w:style w:type="paragraph" w:styleId="ListBullet2">
    <w:name w:val="List Bullet 2"/>
    <w:basedOn w:val="Normal"/>
    <w:autoRedefine/>
    <w:semiHidden/>
  </w:style>
  <w:style w:type="paragraph" w:styleId="ListBullet3">
    <w:name w:val="List Bullet 3"/>
    <w:basedOn w:val="Normal"/>
    <w:autoRedefine/>
    <w:semiHidden/>
  </w:style>
  <w:style w:type="paragraph" w:styleId="ListBullet4">
    <w:name w:val="List Bullet 4"/>
    <w:basedOn w:val="Normal"/>
    <w:autoRedefine/>
    <w:semiHidden/>
  </w:style>
  <w:style w:type="paragraph" w:styleId="ListBullet5">
    <w:name w:val="List Bullet 5"/>
    <w:basedOn w:val="Normal"/>
    <w:autoRedefine/>
    <w:semiHidden/>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style>
  <w:style w:type="paragraph" w:styleId="ListNumber2">
    <w:name w:val="List Number 2"/>
    <w:basedOn w:val="Normal"/>
    <w:semiHidden/>
  </w:style>
  <w:style w:type="paragraph" w:styleId="ListNumber3">
    <w:name w:val="List Number 3"/>
    <w:basedOn w:val="Normal"/>
    <w:semiHidden/>
  </w:style>
  <w:style w:type="paragraph" w:styleId="ListNumber4">
    <w:name w:val="List Number 4"/>
    <w:basedOn w:val="Normal"/>
    <w:semiHidden/>
  </w:style>
  <w:style w:type="paragraph" w:styleId="ListNumber5">
    <w:name w:val="List Number 5"/>
    <w:basedOn w:val="Normal"/>
    <w:semiHidden/>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paragraph" w:styleId="NormalWeb">
    <w:name w:val="Normal (Web)"/>
    <w:basedOn w:val="Normal"/>
    <w:semiHidden/>
    <w:rPr>
      <w:szCs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character" w:styleId="PageNumber">
    <w:name w:val="page number"/>
    <w:basedOn w:val="DefaultParagraphFont"/>
    <w:semiHidden/>
  </w:style>
  <w:style w:type="paragraph" w:styleId="PlainText">
    <w:name w:val="Plain Text"/>
    <w:basedOn w:val="Normal"/>
    <w:semiHidden/>
    <w:rPr>
      <w:rFonts w:ascii="Courier New" w:hAnsi="Courier New" w:cs="Courier New"/>
      <w:sz w:val="20"/>
    </w:rPr>
  </w:style>
  <w:style w:type="paragraph" w:styleId="Salutation">
    <w:name w:val="Salutation"/>
    <w:basedOn w:val="Normal"/>
    <w:next w:val="Normal"/>
    <w:semiHidden/>
  </w:style>
  <w:style w:type="paragraph" w:styleId="Signature">
    <w:name w:val="Signature"/>
    <w:basedOn w:val="Normal"/>
    <w:semiHidden/>
    <w:pPr>
      <w:ind w:left="4320"/>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Cs w:val="24"/>
    </w:rPr>
  </w:style>
  <w:style w:type="table" w:styleId="Table3Deffects1">
    <w:name w:val="Table 3D effects 1"/>
    <w:basedOn w:val="TableNormal"/>
    <w:semiHidden/>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mmentChar">
    <w:name w:val="Comment Char"/>
    <w:basedOn w:val="DefaultParagraphFont"/>
    <w:link w:val="Comment"/>
    <w:rPr>
      <w:rFonts w:eastAsia="MS Mincho"/>
      <w:i/>
      <w:color w:val="BF30B5"/>
      <w:sz w:val="24"/>
      <w:szCs w:val="24"/>
      <w:lang w:eastAsia="ja-JP"/>
    </w:rPr>
  </w:style>
  <w:style w:type="paragraph" w:customStyle="1" w:styleId="JPLegend">
    <w:name w:val="JP Legend"/>
    <w:basedOn w:val="JPTable"/>
  </w:style>
  <w:style w:type="paragraph" w:customStyle="1" w:styleId="JPListlevel1">
    <w:name w:val="JP List level 1"/>
    <w:basedOn w:val="Listlevel1"/>
    <w:pPr>
      <w:spacing w:before="0" w:after="0" w:line="360" w:lineRule="atLeast"/>
    </w:pPr>
    <w:rPr>
      <w:sz w:val="21"/>
      <w:szCs w:val="21"/>
    </w:rPr>
  </w:style>
  <w:style w:type="paragraph" w:customStyle="1" w:styleId="JPListlevel2">
    <w:name w:val="JP List level 2"/>
    <w:basedOn w:val="Listlevel2"/>
    <w:pPr>
      <w:spacing w:before="0" w:after="0" w:line="360" w:lineRule="atLeast"/>
    </w:pPr>
    <w:rPr>
      <w:sz w:val="21"/>
      <w:szCs w:val="21"/>
    </w:rPr>
  </w:style>
  <w:style w:type="paragraph" w:customStyle="1" w:styleId="JPListlevel3">
    <w:name w:val="JP List level 3"/>
    <w:basedOn w:val="Listlevel3"/>
    <w:pPr>
      <w:spacing w:before="0" w:after="0" w:line="360" w:lineRule="atLeast"/>
    </w:pPr>
    <w:rPr>
      <w:sz w:val="21"/>
      <w:szCs w:val="21"/>
    </w:rPr>
  </w:style>
  <w:style w:type="paragraph" w:customStyle="1" w:styleId="JPReference">
    <w:name w:val="JP Reference"/>
    <w:basedOn w:val="Reference"/>
    <w:rPr>
      <w:sz w:val="21"/>
      <w:szCs w:val="21"/>
    </w:rPr>
  </w:style>
  <w:style w:type="paragraph" w:customStyle="1" w:styleId="JPSAStext">
    <w:name w:val="JP SAS text"/>
    <w:basedOn w:val="SAStext"/>
    <w:rPr>
      <w:rFonts w:cs="Courier New"/>
      <w:sz w:val="18"/>
      <w:szCs w:val="18"/>
    </w:rPr>
  </w:style>
  <w:style w:type="paragraph" w:customStyle="1" w:styleId="JPTable">
    <w:name w:val="JP Table"/>
    <w:basedOn w:val="Table"/>
    <w:rPr>
      <w:rFonts w:ascii="Times New Roman" w:hAnsi="Times New Roman"/>
      <w:sz w:val="18"/>
      <w:szCs w:val="18"/>
    </w:rPr>
  </w:style>
  <w:style w:type="paragraph" w:customStyle="1" w:styleId="JPText">
    <w:name w:val="JP Text"/>
    <w:basedOn w:val="Text"/>
    <w:pPr>
      <w:spacing w:before="0" w:line="360" w:lineRule="atLeast"/>
      <w:ind w:firstLineChars="100" w:firstLine="100"/>
    </w:pPr>
    <w:rPr>
      <w:sz w:val="21"/>
      <w:szCs w:val="21"/>
    </w:rPr>
  </w:style>
  <w:style w:type="paragraph" w:customStyle="1" w:styleId="Legend">
    <w:name w:val="Legend"/>
    <w:basedOn w:val="Table"/>
  </w:style>
  <w:style w:type="paragraph" w:customStyle="1" w:styleId="Listlevel3">
    <w:name w:val="List level 3"/>
    <w:basedOn w:val="Listlevel2"/>
    <w:pPr>
      <w:ind w:left="1296" w:hanging="432"/>
    </w:pPr>
  </w:style>
  <w:style w:type="paragraph" w:customStyle="1" w:styleId="SynopsisList">
    <w:name w:val="Synopsis List"/>
    <w:basedOn w:val="Synopsis"/>
    <w:pPr>
      <w:spacing w:before="40" w:after="20"/>
      <w:ind w:left="864" w:hanging="432"/>
      <w:jc w:val="left"/>
    </w:pPr>
  </w:style>
  <w:style w:type="character" w:styleId="CommentReference">
    <w:name w:val="annotation reference"/>
    <w:uiPriority w:val="99"/>
    <w:rPr>
      <w:sz w:val="16"/>
      <w:szCs w:val="16"/>
    </w:rPr>
  </w:style>
  <w:style w:type="paragraph" w:styleId="CommentText">
    <w:name w:val="annotation text"/>
    <w:aliases w:val="Annotationtext"/>
    <w:basedOn w:val="Normal"/>
    <w:link w:val="CommentTextChar"/>
    <w:uiPriority w:val="99"/>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JPnottoc-headings">
    <w:name w:val="JP not toc-headings"/>
    <w:basedOn w:val="Nottoc-headings"/>
    <w:next w:val="Normal"/>
    <w:rPr>
      <w:sz w:val="21"/>
    </w:rPr>
  </w:style>
  <w:style w:type="paragraph" w:styleId="DocumentMap">
    <w:name w:val="Document Map"/>
    <w:basedOn w:val="Normal"/>
    <w:semiHidden/>
    <w:pPr>
      <w:shd w:val="clear" w:color="auto" w:fill="000080"/>
    </w:pPr>
    <w:rPr>
      <w:rFonts w:ascii="Tahoma" w:hAnsi="Tahoma" w:cs="Tahoma"/>
      <w:sz w:val="20"/>
    </w:rPr>
  </w:style>
  <w:style w:type="paragraph" w:customStyle="1" w:styleId="BalloonText1">
    <w:name w:val="Balloon Text1"/>
    <w:basedOn w:val="Normal"/>
    <w:semiHidden/>
    <w:rPr>
      <w:rFonts w:ascii="Tahoma" w:hAnsi="Tahoma" w:cs="Tahoma"/>
      <w:sz w:val="16"/>
      <w:szCs w:val="16"/>
    </w:rPr>
  </w:style>
  <w:style w:type="character" w:customStyle="1" w:styleId="Heading1Char">
    <w:name w:val="Heading 1 Char"/>
    <w:basedOn w:val="DefaultParagraphFont"/>
    <w:link w:val="Heading1"/>
    <w:rPr>
      <w:rFonts w:ascii="Arial" w:eastAsia="MS Gothic" w:hAnsi="Arial"/>
      <w:b/>
      <w:sz w:val="28"/>
      <w:lang w:eastAsia="ja-JP"/>
    </w:rPr>
  </w:style>
  <w:style w:type="paragraph" w:styleId="Caption">
    <w:name w:val="caption"/>
    <w:basedOn w:val="Normal"/>
    <w:next w:val="Normal"/>
    <w:link w:val="CaptionChar"/>
    <w:qFormat/>
    <w:rPr>
      <w:b/>
      <w:bCs/>
      <w:sz w:val="20"/>
    </w:rPr>
  </w:style>
  <w:style w:type="paragraph" w:customStyle="1" w:styleId="CommentSubject1">
    <w:name w:val="Comment Subject1"/>
    <w:basedOn w:val="CommentText"/>
    <w:next w:val="CommentText"/>
    <w:semiHidden/>
    <w:rPr>
      <w:b/>
      <w:bCs/>
    </w:rPr>
  </w:style>
  <w:style w:type="character" w:styleId="FootnoteReference">
    <w:name w:val="footnote reference"/>
    <w:semiHidden/>
    <w:rPr>
      <w:vertAlign w:val="superscript"/>
    </w:rPr>
  </w:style>
  <w:style w:type="paragraph" w:styleId="FootnoteText">
    <w:name w:val="footnote text"/>
    <w:basedOn w:val="Normal"/>
    <w:link w:val="FootnoteTextChar"/>
    <w:semiHidden/>
    <w:rPr>
      <w:sz w:val="20"/>
    </w:rPr>
  </w:style>
  <w:style w:type="character" w:customStyle="1" w:styleId="FootnoteTextChar">
    <w:name w:val="Footnote Text Char"/>
    <w:basedOn w:val="DefaultParagraphFont"/>
    <w:link w:val="FootnoteText"/>
    <w:semiHidden/>
    <w:rPr>
      <w:rFonts w:eastAsia="MS Mincho"/>
      <w:lang w:eastAsia="ja-JP"/>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rPr>
  </w:style>
  <w:style w:type="character" w:customStyle="1" w:styleId="MacroTextChar">
    <w:name w:val="Macro Text Char"/>
    <w:basedOn w:val="DefaultParagraphFont"/>
    <w:link w:val="MacroText"/>
    <w:semiHidden/>
    <w:rPr>
      <w:rFonts w:ascii="Courier New" w:eastAsia="MS Mincho" w:hAnsi="Courier New" w:cs="Courier New"/>
    </w:rPr>
  </w:style>
  <w:style w:type="paragraph" w:customStyle="1" w:styleId="SynopsisList2">
    <w:name w:val="Synopsis List 2"/>
    <w:basedOn w:val="SynopsisList"/>
    <w:pPr>
      <w:ind w:left="1299" w:hanging="431"/>
    </w:p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style>
  <w:style w:type="paragraph" w:styleId="TOAHeading">
    <w:name w:val="toa heading"/>
    <w:basedOn w:val="Normal"/>
    <w:next w:val="Normal"/>
    <w:semiHidden/>
    <w:pPr>
      <w:spacing w:before="120"/>
    </w:pPr>
    <w:rPr>
      <w:rFonts w:ascii="Arial" w:hAnsi="Arial" w:cs="Arial"/>
      <w:b/>
      <w:bCs/>
      <w:szCs w:val="24"/>
    </w:r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customStyle="1" w:styleId="CommentTextChar">
    <w:name w:val="Comment Text Char"/>
    <w:aliases w:val="Annotationtext Char"/>
    <w:basedOn w:val="DefaultParagraphFont"/>
    <w:link w:val="CommentText"/>
    <w:uiPriority w:val="99"/>
    <w:rPr>
      <w:rFonts w:eastAsia="MS Mincho"/>
      <w:lang w:eastAsia="ja-JP"/>
    </w:rPr>
  </w:style>
  <w:style w:type="paragraph" w:customStyle="1" w:styleId="CNLegend">
    <w:name w:val="CN Legend"/>
    <w:basedOn w:val="Normal"/>
    <w:pPr>
      <w:spacing w:before="40" w:after="20"/>
    </w:pPr>
    <w:rPr>
      <w:rFonts w:eastAsia="SimSun"/>
      <w:sz w:val="21"/>
      <w:szCs w:val="18"/>
      <w:lang w:eastAsia="zh-CN"/>
    </w:rPr>
  </w:style>
  <w:style w:type="paragraph" w:customStyle="1" w:styleId="CNListlevel1">
    <w:name w:val="CN List level 1"/>
    <w:pPr>
      <w:spacing w:before="40" w:after="20" w:line="360" w:lineRule="atLeast"/>
      <w:ind w:left="425" w:hanging="425"/>
    </w:pPr>
    <w:rPr>
      <w:rFonts w:eastAsia="SimSun"/>
      <w:sz w:val="24"/>
      <w:szCs w:val="21"/>
      <w:lang w:eastAsia="zh-CN"/>
    </w:rPr>
  </w:style>
  <w:style w:type="paragraph" w:customStyle="1" w:styleId="CNListlevel2">
    <w:name w:val="CN List level 2"/>
    <w:basedOn w:val="CNListlevel1"/>
    <w:pPr>
      <w:ind w:left="850"/>
    </w:pPr>
  </w:style>
  <w:style w:type="paragraph" w:customStyle="1" w:styleId="CNListlevel3">
    <w:name w:val="CN List level 3"/>
    <w:basedOn w:val="CNListlevel1"/>
    <w:pPr>
      <w:ind w:left="1287"/>
    </w:pPr>
  </w:style>
  <w:style w:type="paragraph" w:customStyle="1" w:styleId="CNnottoc-headings">
    <w:name w:val="CN not toc-headings"/>
    <w:next w:val="Normal"/>
    <w:pPr>
      <w:keepNext/>
      <w:spacing w:before="240" w:after="60"/>
    </w:pPr>
    <w:rPr>
      <w:rFonts w:eastAsia="SimSun" w:cs="Arial"/>
      <w:b/>
      <w:sz w:val="24"/>
      <w:szCs w:val="24"/>
      <w:lang w:eastAsia="zh-CN"/>
    </w:rPr>
  </w:style>
  <w:style w:type="paragraph" w:customStyle="1" w:styleId="CNReference">
    <w:name w:val="CN Reference"/>
    <w:pPr>
      <w:spacing w:before="80" w:after="60"/>
    </w:pPr>
    <w:rPr>
      <w:rFonts w:eastAsia="SimSun"/>
      <w:sz w:val="24"/>
      <w:szCs w:val="21"/>
      <w:lang w:eastAsia="zh-CN"/>
    </w:rPr>
  </w:style>
  <w:style w:type="paragraph" w:customStyle="1" w:styleId="CNSAStext">
    <w:name w:val="CN SAS text"/>
    <w:rPr>
      <w:rFonts w:ascii="Courier New" w:eastAsia="SimSun" w:hAnsi="Courier New" w:cs="Courier New"/>
      <w:spacing w:val="-10"/>
      <w:sz w:val="21"/>
      <w:szCs w:val="18"/>
      <w:lang w:eastAsia="zh-CN"/>
    </w:rPr>
  </w:style>
  <w:style w:type="paragraph" w:customStyle="1" w:styleId="CNSynopsis">
    <w:name w:val="CN Synopsis"/>
    <w:pPr>
      <w:spacing w:before="120" w:after="20"/>
      <w:jc w:val="both"/>
    </w:pPr>
    <w:rPr>
      <w:rFonts w:eastAsia="SimSun"/>
      <w:sz w:val="24"/>
      <w:szCs w:val="24"/>
      <w:lang w:eastAsia="zh-CN"/>
    </w:rPr>
  </w:style>
  <w:style w:type="paragraph" w:customStyle="1" w:styleId="CNSynopsisList">
    <w:name w:val="CN Synopsis List"/>
    <w:basedOn w:val="CNSynopsis"/>
    <w:pPr>
      <w:spacing w:before="40"/>
      <w:ind w:left="862" w:hanging="431"/>
      <w:jc w:val="left"/>
    </w:pPr>
  </w:style>
  <w:style w:type="paragraph" w:customStyle="1" w:styleId="CNSynopsisList2">
    <w:name w:val="CN Synopsis List 2"/>
    <w:basedOn w:val="CNSynopsisList"/>
    <w:pPr>
      <w:ind w:left="1299"/>
    </w:pPr>
  </w:style>
  <w:style w:type="paragraph" w:customStyle="1" w:styleId="CNTable">
    <w:name w:val="CN Table"/>
    <w:pPr>
      <w:spacing w:before="40" w:after="20"/>
    </w:pPr>
    <w:rPr>
      <w:rFonts w:eastAsia="SimSun"/>
      <w:sz w:val="21"/>
      <w:szCs w:val="18"/>
      <w:lang w:eastAsia="zh-CN"/>
    </w:rPr>
  </w:style>
  <w:style w:type="paragraph" w:customStyle="1" w:styleId="CNText">
    <w:name w:val="CN Text"/>
    <w:pPr>
      <w:spacing w:after="20"/>
      <w:ind w:firstLineChars="200" w:firstLine="200"/>
      <w:jc w:val="both"/>
    </w:pPr>
    <w:rPr>
      <w:rFonts w:eastAsia="SimSun"/>
      <w:sz w:val="24"/>
      <w:szCs w:val="21"/>
      <w:lang w:eastAsia="zh-CN"/>
    </w:rPr>
  </w:style>
  <w:style w:type="character" w:customStyle="1" w:styleId="TextChar">
    <w:name w:val="Text Char"/>
    <w:link w:val="Text"/>
    <w:rPr>
      <w:rFonts w:eastAsia="MS Mincho"/>
      <w:sz w:val="24"/>
      <w:lang w:eastAsia="ja-JP"/>
    </w:rPr>
  </w:style>
  <w:style w:type="character" w:customStyle="1" w:styleId="TableChar">
    <w:name w:val="Table Char"/>
    <w:aliases w:val="10 pt  Bold Char,9 pt Char,10 pt Char,9pt Char"/>
    <w:link w:val="Table"/>
    <w:rPr>
      <w:rFonts w:ascii="Arial" w:eastAsia="MS Mincho" w:hAnsi="Arial"/>
      <w:szCs w:val="24"/>
      <w:lang w:eastAsia="ja-JP"/>
    </w:rPr>
  </w:style>
  <w:style w:type="paragraph" w:styleId="Revision">
    <w:name w:val="Revision"/>
    <w:hidden/>
    <w:uiPriority w:val="99"/>
    <w:semiHidden/>
    <w:rPr>
      <w:rFonts w:eastAsia="MS Mincho"/>
      <w:sz w:val="24"/>
      <w:lang w:eastAsia="ja-JP"/>
    </w:rPr>
  </w:style>
  <w:style w:type="paragraph" w:customStyle="1" w:styleId="Textstyle">
    <w:name w:val="Text style"/>
    <w:basedOn w:val="Text"/>
    <w:qFormat/>
    <w:rsid w:val="00461433"/>
  </w:style>
  <w:style w:type="paragraph" w:customStyle="1" w:styleId="TextStyle0">
    <w:name w:val="Text Style"/>
    <w:basedOn w:val="Text"/>
    <w:qFormat/>
    <w:rsid w:val="00461433"/>
  </w:style>
  <w:style w:type="paragraph" w:customStyle="1" w:styleId="CiteItBibliographyTitle">
    <w:name w:val="CiteIt Bibliography Title"/>
    <w:basedOn w:val="Normal"/>
    <w:link w:val="CiteItBibliographyTitleChar"/>
    <w:autoRedefine/>
    <w:qFormat/>
    <w:rsid w:val="006B6170"/>
    <w:pPr>
      <w:keepNext/>
      <w:spacing w:before="360"/>
      <w:jc w:val="center"/>
    </w:pPr>
    <w:rPr>
      <w:rFonts w:ascii="Arial" w:eastAsia="MS Gothic" w:hAnsi="Arial" w:cs="Arial"/>
      <w:sz w:val="32"/>
      <w:lang w:eastAsia="zh-CN"/>
    </w:rPr>
  </w:style>
  <w:style w:type="character" w:customStyle="1" w:styleId="CiteItBibliographyTitleChar">
    <w:name w:val="CiteIt Bibliography Title Char"/>
    <w:basedOn w:val="DefaultParagraphFont"/>
    <w:link w:val="CiteItBibliographyTitle"/>
    <w:rsid w:val="006B6170"/>
    <w:rPr>
      <w:rFonts w:ascii="Arial" w:eastAsia="MS Gothic" w:hAnsi="Arial" w:cs="Arial"/>
      <w:sz w:val="32"/>
      <w:lang w:eastAsia="zh-CN"/>
    </w:rPr>
  </w:style>
  <w:style w:type="character" w:customStyle="1" w:styleId="CaptionChar">
    <w:name w:val="Caption Char"/>
    <w:link w:val="Caption"/>
    <w:locked/>
    <w:rsid w:val="002777A5"/>
    <w:rPr>
      <w:rFonts w:eastAsia="MS Mincho"/>
      <w:b/>
      <w:bCs/>
      <w:lang w:eastAsia="ja-JP"/>
    </w:rPr>
  </w:style>
  <w:style w:type="table" w:customStyle="1" w:styleId="C-Table">
    <w:name w:val="C-Table"/>
    <w:basedOn w:val="TableNormal"/>
    <w:rsid w:val="002777A5"/>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rPr>
      <w:cantSplit/>
    </w:trPr>
  </w:style>
  <w:style w:type="character" w:styleId="Mention">
    <w:name w:val="Mention"/>
    <w:basedOn w:val="DefaultParagraphFont"/>
    <w:rsid w:val="002777A5"/>
    <w:rPr>
      <w:color w:val="2B579A"/>
      <w:shd w:val="clear" w:color="auto" w:fill="E1DFDD"/>
    </w:rPr>
  </w:style>
  <w:style w:type="paragraph" w:customStyle="1" w:styleId="C-TableHeader">
    <w:name w:val="C-Table Header"/>
    <w:next w:val="C-TableText"/>
    <w:rsid w:val="002777A5"/>
    <w:pPr>
      <w:keepNext/>
      <w:spacing w:before="60" w:after="60"/>
    </w:pPr>
    <w:rPr>
      <w:b/>
      <w:sz w:val="22"/>
    </w:rPr>
  </w:style>
  <w:style w:type="paragraph" w:customStyle="1" w:styleId="C-TableText">
    <w:name w:val="C-Table Text"/>
    <w:rsid w:val="002777A5"/>
    <w:pPr>
      <w:spacing w:before="60" w:after="60"/>
    </w:pPr>
    <w:rPr>
      <w:sz w:val="22"/>
    </w:rPr>
  </w:style>
  <w:style w:type="character" w:customStyle="1" w:styleId="eop">
    <w:name w:val="eop"/>
    <w:basedOn w:val="DefaultParagraphFont"/>
    <w:uiPriority w:val="1"/>
    <w:rsid w:val="76BC279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226158">
      <w:bodyDiv w:val="1"/>
      <w:marLeft w:val="0"/>
      <w:marRight w:val="0"/>
      <w:marTop w:val="0"/>
      <w:marBottom w:val="0"/>
      <w:divBdr>
        <w:top w:val="none" w:sz="0" w:space="0" w:color="auto"/>
        <w:left w:val="none" w:sz="0" w:space="0" w:color="auto"/>
        <w:bottom w:val="none" w:sz="0" w:space="0" w:color="auto"/>
        <w:right w:val="none" w:sz="0" w:space="0" w:color="auto"/>
      </w:divBdr>
    </w:div>
    <w:div w:id="1040201953">
      <w:bodyDiv w:val="1"/>
      <w:marLeft w:val="0"/>
      <w:marRight w:val="0"/>
      <w:marTop w:val="0"/>
      <w:marBottom w:val="0"/>
      <w:divBdr>
        <w:top w:val="none" w:sz="0" w:space="0" w:color="auto"/>
        <w:left w:val="none" w:sz="0" w:space="0" w:color="auto"/>
        <w:bottom w:val="none" w:sz="0" w:space="0" w:color="auto"/>
        <w:right w:val="none" w:sz="0" w:space="0" w:color="auto"/>
      </w:divBdr>
    </w:div>
    <w:div w:id="1451968448">
      <w:bodyDiv w:val="1"/>
      <w:marLeft w:val="0"/>
      <w:marRight w:val="0"/>
      <w:marTop w:val="0"/>
      <w:marBottom w:val="0"/>
      <w:divBdr>
        <w:top w:val="none" w:sz="0" w:space="0" w:color="auto"/>
        <w:left w:val="none" w:sz="0" w:space="0" w:color="auto"/>
        <w:bottom w:val="none" w:sz="0" w:space="0" w:color="auto"/>
        <w:right w:val="none" w:sz="0" w:space="0" w:color="auto"/>
      </w:divBdr>
    </w:div>
    <w:div w:id="1587878684">
      <w:bodyDiv w:val="1"/>
      <w:marLeft w:val="0"/>
      <w:marRight w:val="0"/>
      <w:marTop w:val="0"/>
      <w:marBottom w:val="0"/>
      <w:divBdr>
        <w:top w:val="none" w:sz="0" w:space="0" w:color="auto"/>
        <w:left w:val="none" w:sz="0" w:space="0" w:color="auto"/>
        <w:bottom w:val="none" w:sz="0" w:space="0" w:color="auto"/>
        <w:right w:val="none" w:sz="0" w:space="0" w:color="auto"/>
      </w:divBdr>
    </w:div>
    <w:div w:id="18388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NOVSTYL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c10089c-a7d0-46df-9a7c-6b0801300b4d">
      <UserInfo>
        <DisplayName/>
        <AccountId xsi:nil="true"/>
        <AccountType/>
      </UserInfo>
    </SharedWithUsers>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BA37C459F53B49B59E7F0F9FF0EC7A" ma:contentTypeVersion="8" ma:contentTypeDescription="Create a new document." ma:contentTypeScope="" ma:versionID="bddf31d8f3ceac042938763111cb3130">
  <xsd:schema xmlns:xsd="http://www.w3.org/2001/XMLSchema" xmlns:xs="http://www.w3.org/2001/XMLSchema" xmlns:p="http://schemas.microsoft.com/office/2006/metadata/properties" xmlns:ns2="0cee9875-1072-4623-8cfa-184321d1d242" xmlns:ns3="3c10089c-a7d0-46df-9a7c-6b0801300b4d" targetNamespace="http://schemas.microsoft.com/office/2006/metadata/properties" ma:root="true" ma:fieldsID="8ada7e255860efd38e7ab307e31c664a" ns2:_="" ns3:_="">
    <xsd:import namespace="0cee9875-1072-4623-8cfa-184321d1d242"/>
    <xsd:import namespace="3c10089c-a7d0-46df-9a7c-6b0801300b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ee9875-1072-4623-8cfa-184321d1d2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10089c-a7d0-46df-9a7c-6b0801300b4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45B44956-9992-4EA2-B1AD-117F822CD2B8}">
  <ds:schemaRefs>
    <ds:schemaRef ds:uri="http://purl.org/dc/terms/"/>
    <ds:schemaRef ds:uri="http://schemas.microsoft.com/office/2006/documentManagement/types"/>
    <ds:schemaRef ds:uri="0cee9875-1072-4623-8cfa-184321d1d242"/>
    <ds:schemaRef ds:uri="http://purl.org/dc/dcmitype/"/>
    <ds:schemaRef ds:uri="http://www.w3.org/XML/1998/namespace"/>
    <ds:schemaRef ds:uri="http://schemas.microsoft.com/office/infopath/2007/PartnerControls"/>
    <ds:schemaRef ds:uri="http://schemas.microsoft.com/office/2006/metadata/properties"/>
    <ds:schemaRef ds:uri="http://schemas.openxmlformats.org/package/2006/metadata/core-properties"/>
    <ds:schemaRef ds:uri="3c10089c-a7d0-46df-9a7c-6b0801300b4d"/>
    <ds:schemaRef ds:uri="http://purl.org/dc/elements/1.1/"/>
  </ds:schemaRefs>
</ds:datastoreItem>
</file>

<file path=customXml/itemProps2.xml><?xml version="1.0" encoding="utf-8"?>
<ds:datastoreItem xmlns:ds="http://schemas.openxmlformats.org/officeDocument/2006/customXml" ds:itemID="{6C0DB8CF-6021-4712-BF32-AA8BE945FA7E}">
  <ds:schemaRefs>
    <ds:schemaRef ds:uri="http://schemas.microsoft.com/sharepoint/v3/contenttype/forms"/>
  </ds:schemaRefs>
</ds:datastoreItem>
</file>

<file path=customXml/itemProps3.xml><?xml version="1.0" encoding="utf-8"?>
<ds:datastoreItem xmlns:ds="http://schemas.openxmlformats.org/officeDocument/2006/customXml" ds:itemID="{53749AF1-6808-49D7-801E-6E90E69A7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ee9875-1072-4623-8cfa-184321d1d242"/>
    <ds:schemaRef ds:uri="3c10089c-a7d0-46df-9a7c-6b0801300b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34D46D-6F20-4014-81EE-EF3EFADE6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NOVSTYLE</Template>
  <TotalTime>6</TotalTime>
  <Pages>7</Pages>
  <Words>2389</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RCKT CSR template</vt:lpstr>
    </vt:vector>
  </TitlesOfParts>
  <Company>Rocket Pharma</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RCKT CSR template</dc:title>
  <dc:subject/>
  <dc:creator>jboulaire@RocketPharma.com</dc:creator>
  <cp:keywords/>
  <dc:description>ICHE3 compliant template</dc:description>
  <cp:lastModifiedBy>Miriam Zeini</cp:lastModifiedBy>
  <cp:revision>7</cp:revision>
  <cp:lastPrinted>1901-01-01T08:00:00Z</cp:lastPrinted>
  <dcterms:created xsi:type="dcterms:W3CDTF">2025-05-14T14:38:00Z</dcterms:created>
  <dcterms:modified xsi:type="dcterms:W3CDTF">2025-05-14T14:43:00Z</dcterms:modified>
  <cp:category>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0x010100EDBA37C459F53B49B59E7F0F9FF0EC7A</vt:lpwstr>
  </property>
  <property fmtid="{D5CDD505-2E9C-101B-9397-08002B2CF9AE}" pid="3" name="Confidentiality">
    <vt:lpwstr>Business Use Only</vt:lpwstr>
  </property>
  <property fmtid="{D5CDD505-2E9C-101B-9397-08002B2CF9AE}" pid="4" name="MSIP_Label_3c9bec58-8084-492e-8360-0e1cfe36408c_Enabled">
    <vt:lpwstr>true</vt:lpwstr>
  </property>
  <property fmtid="{D5CDD505-2E9C-101B-9397-08002B2CF9AE}" pid="5" name="MSIP_Label_3c9bec58-8084-492e-8360-0e1cfe36408c_SetDate">
    <vt:lpwstr>2022-10-06T05:05:25Z</vt:lpwstr>
  </property>
  <property fmtid="{D5CDD505-2E9C-101B-9397-08002B2CF9AE}" pid="6" name="MSIP_Label_3c9bec58-8084-492e-8360-0e1cfe36408c_Method">
    <vt:lpwstr>Privileged</vt:lpwstr>
  </property>
  <property fmtid="{D5CDD505-2E9C-101B-9397-08002B2CF9AE}" pid="7" name="MSIP_Label_3c9bec58-8084-492e-8360-0e1cfe36408c_Name">
    <vt:lpwstr>Not Protected -Pilot</vt:lpwstr>
  </property>
  <property fmtid="{D5CDD505-2E9C-101B-9397-08002B2CF9AE}" pid="8" name="MSIP_Label_3c9bec58-8084-492e-8360-0e1cfe36408c_SiteId">
    <vt:lpwstr>f35a6974-607f-47d4-82d7-ff31d7dc53a5</vt:lpwstr>
  </property>
  <property fmtid="{D5CDD505-2E9C-101B-9397-08002B2CF9AE}" pid="9" name="MSIP_Label_3c9bec58-8084-492e-8360-0e1cfe36408c_ActionId">
    <vt:lpwstr>5c2d69e1-2a66-443b-b039-5600361a0435</vt:lpwstr>
  </property>
  <property fmtid="{D5CDD505-2E9C-101B-9397-08002B2CF9AE}" pid="10" name="MSIP_Label_3c9bec58-8084-492e-8360-0e1cfe36408c_ContentBits">
    <vt:lpwstr>0</vt:lpwstr>
  </property>
  <property fmtid="{D5CDD505-2E9C-101B-9397-08002B2CF9AE}" pid="11" name="BibliographyTitle">
    <vt:lpwstr>References</vt:lpwstr>
  </property>
  <property fmtid="{D5CDD505-2E9C-101B-9397-08002B2CF9AE}" pid="12" name="SelectedBibliographyStyleName">
    <vt:lpwstr>American Medical Association</vt:lpwstr>
  </property>
  <property fmtid="{D5CDD505-2E9C-101B-9397-08002B2CF9AE}" pid="13" name="xd_ProgID">
    <vt:lpwstr/>
  </property>
  <property fmtid="{D5CDD505-2E9C-101B-9397-08002B2CF9AE}" pid="14" name="MediaServiceImageTags">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xd_Signature">
    <vt:bool>false</vt:bool>
  </property>
  <property fmtid="{D5CDD505-2E9C-101B-9397-08002B2CF9AE}" pid="19" name="TriggerFlowInfo">
    <vt:lpwstr/>
  </property>
</Properties>
</file>