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66A895" w14:textId="77777777" w:rsidR="00744FF9" w:rsidRDefault="00744FF9" w:rsidP="00744FF9">
      <w:pPr>
        <w:rPr>
          <w:lang w:val="en-US"/>
        </w:rPr>
      </w:pPr>
    </w:p>
    <w:p w14:paraId="355E1F7E" w14:textId="77777777" w:rsidR="00744FF9" w:rsidRDefault="00744FF9" w:rsidP="002D6684">
      <w:pPr>
        <w:rPr>
          <w:lang w:val="en-US"/>
        </w:rPr>
      </w:pPr>
    </w:p>
    <w:p w14:paraId="76EAE38F" w14:textId="77777777" w:rsidR="00744FF9" w:rsidRDefault="00744FF9" w:rsidP="002D6684">
      <w:pPr>
        <w:rPr>
          <w:lang w:val="en-US"/>
        </w:rPr>
      </w:pPr>
    </w:p>
    <w:p w14:paraId="2C28ED65" w14:textId="77777777" w:rsidR="00744FF9" w:rsidRDefault="00744FF9" w:rsidP="002D6684">
      <w:pPr>
        <w:rPr>
          <w:lang w:val="en-US"/>
        </w:rPr>
      </w:pPr>
    </w:p>
    <w:p w14:paraId="39280CB1" w14:textId="77777777" w:rsidR="00744FF9" w:rsidRPr="00744FF9" w:rsidRDefault="00744FF9" w:rsidP="00744FF9">
      <w:pPr>
        <w:spacing w:line="276" w:lineRule="auto"/>
        <w:rPr>
          <w:rFonts w:asciiTheme="minorHAnsi" w:hAnsiTheme="minorHAnsi" w:cstheme="minorHAnsi"/>
          <w:sz w:val="28"/>
          <w:szCs w:val="28"/>
          <w:lang w:val="en-US"/>
        </w:rPr>
      </w:pPr>
      <w:proofErr w:type="spellStart"/>
      <w:r w:rsidRPr="00744FF9">
        <w:rPr>
          <w:rFonts w:asciiTheme="minorHAnsi" w:hAnsiTheme="minorHAnsi" w:cstheme="minorHAnsi"/>
          <w:sz w:val="28"/>
          <w:szCs w:val="28"/>
          <w:u w:val="single"/>
          <w:lang w:val="en-US"/>
        </w:rPr>
        <w:t>Eudract</w:t>
      </w:r>
      <w:proofErr w:type="spellEnd"/>
      <w:r w:rsidRPr="00744FF9">
        <w:rPr>
          <w:rFonts w:asciiTheme="minorHAnsi" w:hAnsiTheme="minorHAnsi" w:cstheme="minorHAnsi"/>
          <w:sz w:val="28"/>
          <w:szCs w:val="28"/>
          <w:u w:val="single"/>
          <w:lang w:val="en-US"/>
        </w:rPr>
        <w:t xml:space="preserve"> nr</w:t>
      </w:r>
      <w:r w:rsidRPr="00744FF9">
        <w:rPr>
          <w:rFonts w:asciiTheme="minorHAnsi" w:hAnsiTheme="minorHAnsi" w:cstheme="minorHAnsi"/>
          <w:sz w:val="28"/>
          <w:szCs w:val="28"/>
          <w:lang w:val="en-US"/>
        </w:rPr>
        <w:t>: 2020-001243-15</w:t>
      </w:r>
    </w:p>
    <w:p w14:paraId="507BA356" w14:textId="77777777" w:rsidR="00744FF9" w:rsidRPr="00744FF9" w:rsidRDefault="00744FF9" w:rsidP="00744FF9">
      <w:pPr>
        <w:spacing w:line="276" w:lineRule="auto"/>
        <w:rPr>
          <w:rFonts w:asciiTheme="minorHAnsi" w:hAnsiTheme="minorHAnsi" w:cstheme="minorHAnsi"/>
          <w:sz w:val="28"/>
          <w:szCs w:val="28"/>
          <w:lang w:val="en-US"/>
        </w:rPr>
      </w:pPr>
      <w:r w:rsidRPr="00744FF9">
        <w:rPr>
          <w:rFonts w:asciiTheme="minorHAnsi" w:hAnsiTheme="minorHAnsi" w:cstheme="minorHAnsi"/>
          <w:sz w:val="28"/>
          <w:szCs w:val="28"/>
          <w:u w:val="single"/>
          <w:lang w:val="en-US"/>
        </w:rPr>
        <w:t>Protocol:</w:t>
      </w:r>
      <w:r w:rsidRPr="00744FF9">
        <w:rPr>
          <w:rFonts w:asciiTheme="minorHAnsi" w:hAnsiTheme="minorHAnsi" w:cstheme="minorHAnsi"/>
          <w:sz w:val="28"/>
          <w:szCs w:val="28"/>
          <w:lang w:val="en-US"/>
        </w:rPr>
        <w:t xml:space="preserve"> </w:t>
      </w:r>
      <w:r w:rsidRPr="00744FF9">
        <w:rPr>
          <w:rFonts w:asciiTheme="minorHAnsi" w:hAnsiTheme="minorHAnsi" w:cstheme="minorHAnsi"/>
          <w:sz w:val="28"/>
          <w:szCs w:val="28"/>
          <w:lang w:val="en-US" w:eastAsia="nl-BE"/>
        </w:rPr>
        <w:t>A randomized, open-label, adaptive, proof-of-concept clinical</w:t>
      </w:r>
    </w:p>
    <w:p w14:paraId="32360D8F" w14:textId="77777777" w:rsidR="00744FF9" w:rsidRPr="00744FF9" w:rsidRDefault="00744FF9" w:rsidP="00744FF9">
      <w:pPr>
        <w:spacing w:line="276" w:lineRule="auto"/>
        <w:rPr>
          <w:rFonts w:asciiTheme="minorHAnsi" w:hAnsiTheme="minorHAnsi" w:cstheme="minorHAnsi"/>
          <w:sz w:val="28"/>
          <w:szCs w:val="28"/>
          <w:lang w:val="en-US"/>
        </w:rPr>
      </w:pPr>
      <w:r w:rsidRPr="00744FF9">
        <w:rPr>
          <w:rFonts w:asciiTheme="minorHAnsi" w:hAnsiTheme="minorHAnsi" w:cstheme="minorHAnsi"/>
          <w:sz w:val="28"/>
          <w:szCs w:val="28"/>
          <w:lang w:val="en-US" w:eastAsia="nl-BE"/>
        </w:rPr>
        <w:t>trial of new antiviral drug candidates against SARS-CoV-2</w:t>
      </w:r>
    </w:p>
    <w:p w14:paraId="5EB2EF54" w14:textId="77777777" w:rsidR="00744FF9" w:rsidRDefault="00744FF9" w:rsidP="002D6684">
      <w:pPr>
        <w:rPr>
          <w:lang w:val="en-US"/>
        </w:rPr>
      </w:pPr>
    </w:p>
    <w:p w14:paraId="11945531" w14:textId="77777777" w:rsidR="00E97F96" w:rsidRDefault="00E97F96" w:rsidP="00E97F96">
      <w:pPr>
        <w:autoSpaceDE w:val="0"/>
        <w:autoSpaceDN w:val="0"/>
        <w:adjustRightInd w:val="0"/>
        <w:rPr>
          <w:lang w:val="en-US"/>
        </w:rPr>
      </w:pPr>
    </w:p>
    <w:p w14:paraId="0294ECF4" w14:textId="7F4E44BB" w:rsidR="00E97F96" w:rsidRPr="009A0C44" w:rsidRDefault="00E06DF5" w:rsidP="009A0C44">
      <w:pPr>
        <w:autoSpaceDE w:val="0"/>
        <w:autoSpaceDN w:val="0"/>
        <w:adjustRightInd w:val="0"/>
        <w:spacing w:line="360" w:lineRule="auto"/>
        <w:rPr>
          <w:rFonts w:asciiTheme="minorHAnsi" w:eastAsia="ArialUnicodeMS" w:hAnsiTheme="minorHAnsi" w:cstheme="minorHAnsi"/>
          <w:sz w:val="22"/>
          <w:szCs w:val="22"/>
          <w:u w:val="single"/>
          <w:lang w:val="en-US" w:eastAsia="nl-BE"/>
        </w:rPr>
      </w:pPr>
      <w:r>
        <w:rPr>
          <w:rFonts w:asciiTheme="minorHAnsi" w:eastAsia="ArialUnicodeMS" w:hAnsiTheme="minorHAnsi" w:cstheme="minorHAnsi"/>
          <w:sz w:val="22"/>
          <w:szCs w:val="22"/>
          <w:u w:val="single"/>
          <w:lang w:val="en-US" w:eastAsia="nl-BE"/>
        </w:rPr>
        <w:t>R</w:t>
      </w:r>
      <w:r w:rsidR="00744FF9">
        <w:rPr>
          <w:rFonts w:asciiTheme="minorHAnsi" w:eastAsia="ArialUnicodeMS" w:hAnsiTheme="minorHAnsi" w:cstheme="minorHAnsi"/>
          <w:sz w:val="22"/>
          <w:szCs w:val="22"/>
          <w:u w:val="single"/>
          <w:lang w:val="en-US" w:eastAsia="nl-BE"/>
        </w:rPr>
        <w:t>eason for premature discontinuation</w:t>
      </w:r>
    </w:p>
    <w:p w14:paraId="2653104E" w14:textId="15C3C14E" w:rsidR="00E97F96" w:rsidRPr="009A0C44" w:rsidRDefault="00E06DF5" w:rsidP="009A0C44">
      <w:pPr>
        <w:autoSpaceDE w:val="0"/>
        <w:autoSpaceDN w:val="0"/>
        <w:adjustRightInd w:val="0"/>
        <w:spacing w:line="360" w:lineRule="auto"/>
        <w:rPr>
          <w:rFonts w:asciiTheme="minorHAnsi" w:eastAsia="ArialUnicodeMS" w:hAnsiTheme="minorHAnsi" w:cstheme="minorHAnsi"/>
          <w:sz w:val="22"/>
          <w:szCs w:val="22"/>
          <w:lang w:val="en-US" w:eastAsia="nl-BE"/>
        </w:rPr>
      </w:pPr>
      <w:r>
        <w:rPr>
          <w:rFonts w:asciiTheme="minorHAnsi" w:eastAsia="ArialUnicodeMS" w:hAnsiTheme="minorHAnsi" w:cstheme="minorHAnsi"/>
          <w:sz w:val="22"/>
          <w:szCs w:val="22"/>
          <w:lang w:val="en-US" w:eastAsia="nl-BE"/>
        </w:rPr>
        <w:t xml:space="preserve">The trial was initiated in the early phase of the pandemic when preclinical models were not yet available. In parallel with the study a preclinical hamster model of COVID-19 was established. Itraconazole was tested in this model but </w:t>
      </w:r>
      <w:r w:rsidR="00E97F96" w:rsidRPr="009A0C44">
        <w:rPr>
          <w:rFonts w:asciiTheme="minorHAnsi" w:eastAsia="ArialUnicodeMS" w:hAnsiTheme="minorHAnsi" w:cstheme="minorHAnsi"/>
          <w:sz w:val="22"/>
          <w:szCs w:val="22"/>
          <w:lang w:val="en-US" w:eastAsia="nl-BE"/>
        </w:rPr>
        <w:t>did not reduce viral load in lungs,</w:t>
      </w:r>
    </w:p>
    <w:p w14:paraId="5BA534A3" w14:textId="0DF027A1" w:rsidR="00E97F96" w:rsidRPr="009A0C44" w:rsidRDefault="00E97F96" w:rsidP="009A0C44">
      <w:pPr>
        <w:autoSpaceDE w:val="0"/>
        <w:autoSpaceDN w:val="0"/>
        <w:adjustRightInd w:val="0"/>
        <w:spacing w:line="360" w:lineRule="auto"/>
        <w:rPr>
          <w:rFonts w:asciiTheme="minorHAnsi" w:eastAsia="ArialUnicodeMS" w:hAnsiTheme="minorHAnsi" w:cstheme="minorHAnsi"/>
          <w:sz w:val="22"/>
          <w:szCs w:val="22"/>
          <w:lang w:val="en-US" w:eastAsia="nl-BE"/>
        </w:rPr>
      </w:pPr>
      <w:r w:rsidRPr="009A0C44">
        <w:rPr>
          <w:rFonts w:asciiTheme="minorHAnsi" w:eastAsia="ArialUnicodeMS" w:hAnsiTheme="minorHAnsi" w:cstheme="minorHAnsi"/>
          <w:sz w:val="22"/>
          <w:szCs w:val="22"/>
          <w:lang w:val="en-US" w:eastAsia="nl-BE"/>
        </w:rPr>
        <w:t xml:space="preserve">stools or ileum, despite adequate plasma and lung drug concentrations. </w:t>
      </w:r>
      <w:r w:rsidR="00E06DF5">
        <w:rPr>
          <w:rFonts w:asciiTheme="minorHAnsi" w:eastAsia="ArialUnicodeMS" w:hAnsiTheme="minorHAnsi" w:cstheme="minorHAnsi"/>
          <w:sz w:val="22"/>
          <w:szCs w:val="22"/>
          <w:lang w:val="en-US" w:eastAsia="nl-BE"/>
        </w:rPr>
        <w:t xml:space="preserve">Also in a SARS-CoV-2 </w:t>
      </w:r>
      <w:r w:rsidRPr="009A0C44">
        <w:rPr>
          <w:rFonts w:asciiTheme="minorHAnsi" w:eastAsia="ArialUnicodeMS" w:hAnsiTheme="minorHAnsi" w:cstheme="minorHAnsi"/>
          <w:sz w:val="22"/>
          <w:szCs w:val="22"/>
          <w:lang w:val="en-US" w:eastAsia="nl-BE"/>
        </w:rPr>
        <w:t xml:space="preserve"> </w:t>
      </w:r>
    </w:p>
    <w:p w14:paraId="6BE139D0" w14:textId="77777777" w:rsidR="00E97F96" w:rsidRPr="009A0C44" w:rsidRDefault="00E97F96" w:rsidP="009A0C44">
      <w:pPr>
        <w:autoSpaceDE w:val="0"/>
        <w:autoSpaceDN w:val="0"/>
        <w:adjustRightInd w:val="0"/>
        <w:spacing w:line="360" w:lineRule="auto"/>
        <w:rPr>
          <w:rFonts w:asciiTheme="minorHAnsi" w:eastAsia="ArialUnicodeMS" w:hAnsiTheme="minorHAnsi" w:cstheme="minorHAnsi"/>
          <w:sz w:val="22"/>
          <w:szCs w:val="22"/>
          <w:lang w:val="en-US" w:eastAsia="nl-BE"/>
        </w:rPr>
      </w:pPr>
      <w:r w:rsidRPr="009A0C44">
        <w:rPr>
          <w:rFonts w:asciiTheme="minorHAnsi" w:eastAsia="ArialUnicodeMS" w:hAnsiTheme="minorHAnsi" w:cstheme="minorHAnsi"/>
          <w:sz w:val="22"/>
          <w:szCs w:val="22"/>
          <w:lang w:val="en-US" w:eastAsia="nl-BE"/>
        </w:rPr>
        <w:t>transmission model, itraconazole failed to prevent viral transmission. The clinical trial</w:t>
      </w:r>
    </w:p>
    <w:p w14:paraId="3A73D048" w14:textId="131D0E95" w:rsidR="00E97F96" w:rsidRPr="009A0C44" w:rsidRDefault="00E97F96" w:rsidP="009A0C44">
      <w:pPr>
        <w:autoSpaceDE w:val="0"/>
        <w:autoSpaceDN w:val="0"/>
        <w:adjustRightInd w:val="0"/>
        <w:spacing w:line="360" w:lineRule="auto"/>
        <w:rPr>
          <w:rFonts w:asciiTheme="minorHAnsi" w:eastAsia="ArialUnicodeMS" w:hAnsiTheme="minorHAnsi" w:cstheme="minorHAnsi"/>
          <w:sz w:val="22"/>
          <w:szCs w:val="22"/>
          <w:lang w:val="en-US" w:eastAsia="nl-BE"/>
        </w:rPr>
      </w:pPr>
      <w:r w:rsidRPr="009A0C44">
        <w:rPr>
          <w:rFonts w:asciiTheme="minorHAnsi" w:eastAsia="ArialUnicodeMS" w:hAnsiTheme="minorHAnsi" w:cstheme="minorHAnsi"/>
          <w:sz w:val="22"/>
          <w:szCs w:val="22"/>
          <w:lang w:val="en-US" w:eastAsia="nl-BE"/>
        </w:rPr>
        <w:t xml:space="preserve">was </w:t>
      </w:r>
      <w:r w:rsidR="00E06DF5">
        <w:rPr>
          <w:rFonts w:asciiTheme="minorHAnsi" w:eastAsia="ArialUnicodeMS" w:hAnsiTheme="minorHAnsi" w:cstheme="minorHAnsi"/>
          <w:sz w:val="22"/>
          <w:szCs w:val="22"/>
          <w:lang w:val="en-US" w:eastAsia="nl-BE"/>
        </w:rPr>
        <w:t xml:space="preserve">therefore </w:t>
      </w:r>
      <w:r w:rsidRPr="009A0C44">
        <w:rPr>
          <w:rFonts w:asciiTheme="minorHAnsi" w:eastAsia="ArialUnicodeMS" w:hAnsiTheme="minorHAnsi" w:cstheme="minorHAnsi"/>
          <w:sz w:val="22"/>
          <w:szCs w:val="22"/>
          <w:lang w:val="en-US" w:eastAsia="nl-BE"/>
        </w:rPr>
        <w:t>prematurely discontinued after evaluation of the</w:t>
      </w:r>
      <w:r w:rsidR="00E06DF5">
        <w:rPr>
          <w:rFonts w:asciiTheme="minorHAnsi" w:eastAsia="ArialUnicodeMS" w:hAnsiTheme="minorHAnsi" w:cstheme="minorHAnsi"/>
          <w:sz w:val="22"/>
          <w:szCs w:val="22"/>
          <w:lang w:val="en-US" w:eastAsia="nl-BE"/>
        </w:rPr>
        <w:t>se</w:t>
      </w:r>
      <w:r w:rsidRPr="009A0C44">
        <w:rPr>
          <w:rFonts w:asciiTheme="minorHAnsi" w:eastAsia="ArialUnicodeMS" w:hAnsiTheme="minorHAnsi" w:cstheme="minorHAnsi"/>
          <w:sz w:val="22"/>
          <w:szCs w:val="22"/>
          <w:lang w:val="en-US" w:eastAsia="nl-BE"/>
        </w:rPr>
        <w:t xml:space="preserve"> preclinical studies</w:t>
      </w:r>
      <w:r w:rsidR="00E06DF5">
        <w:rPr>
          <w:rFonts w:asciiTheme="minorHAnsi" w:eastAsia="ArialUnicodeMS" w:hAnsiTheme="minorHAnsi" w:cstheme="minorHAnsi"/>
          <w:sz w:val="22"/>
          <w:szCs w:val="22"/>
          <w:lang w:val="en-US" w:eastAsia="nl-BE"/>
        </w:rPr>
        <w:t>. I</w:t>
      </w:r>
      <w:r w:rsidRPr="009A0C44">
        <w:rPr>
          <w:rFonts w:asciiTheme="minorHAnsi" w:eastAsia="ArialUnicodeMS" w:hAnsiTheme="minorHAnsi" w:cstheme="minorHAnsi"/>
          <w:sz w:val="22"/>
          <w:szCs w:val="22"/>
          <w:lang w:val="en-US" w:eastAsia="nl-BE"/>
        </w:rPr>
        <w:t>nterim</w:t>
      </w:r>
    </w:p>
    <w:p w14:paraId="080A2D68" w14:textId="77777777" w:rsidR="00E97F96" w:rsidRPr="009A0C44" w:rsidRDefault="00E97F96" w:rsidP="009A0C44">
      <w:pPr>
        <w:autoSpaceDE w:val="0"/>
        <w:autoSpaceDN w:val="0"/>
        <w:adjustRightInd w:val="0"/>
        <w:spacing w:line="360" w:lineRule="auto"/>
        <w:rPr>
          <w:rFonts w:asciiTheme="minorHAnsi" w:eastAsia="ArialUnicodeMS" w:hAnsiTheme="minorHAnsi" w:cstheme="minorHAnsi"/>
          <w:sz w:val="22"/>
          <w:szCs w:val="22"/>
          <w:lang w:val="en-US" w:eastAsia="nl-BE"/>
        </w:rPr>
      </w:pPr>
      <w:r w:rsidRPr="009A0C44">
        <w:rPr>
          <w:rFonts w:asciiTheme="minorHAnsi" w:eastAsia="ArialUnicodeMS" w:hAnsiTheme="minorHAnsi" w:cstheme="minorHAnsi"/>
          <w:sz w:val="22"/>
          <w:szCs w:val="22"/>
          <w:lang w:val="en-US" w:eastAsia="nl-BE"/>
        </w:rPr>
        <w:t>analysis that showed no trends for a more favorable outcome with itraconazole: mean</w:t>
      </w:r>
    </w:p>
    <w:p w14:paraId="097C9AB1" w14:textId="77777777" w:rsidR="00E97F96" w:rsidRPr="009A0C44" w:rsidRDefault="00E97F96" w:rsidP="009A0C44">
      <w:pPr>
        <w:autoSpaceDE w:val="0"/>
        <w:autoSpaceDN w:val="0"/>
        <w:adjustRightInd w:val="0"/>
        <w:spacing w:line="360" w:lineRule="auto"/>
        <w:rPr>
          <w:rFonts w:asciiTheme="minorHAnsi" w:eastAsia="ArialUnicodeMS" w:hAnsiTheme="minorHAnsi" w:cstheme="minorHAnsi"/>
          <w:sz w:val="22"/>
          <w:szCs w:val="22"/>
          <w:lang w:val="en-US" w:eastAsia="nl-BE"/>
        </w:rPr>
      </w:pPr>
      <w:r w:rsidRPr="009A0C44">
        <w:rPr>
          <w:rFonts w:asciiTheme="minorHAnsi" w:eastAsia="ArialUnicodeMS" w:hAnsiTheme="minorHAnsi" w:cstheme="minorHAnsi"/>
          <w:sz w:val="22"/>
          <w:szCs w:val="22"/>
          <w:lang w:val="en-US" w:eastAsia="nl-BE"/>
        </w:rPr>
        <w:t>cumulative score of the clinical status 49 vs 47, ratio of geometric means 1.01 (95%</w:t>
      </w:r>
    </w:p>
    <w:p w14:paraId="0C473CB7" w14:textId="77777777" w:rsidR="00E97F96" w:rsidRPr="009A0C44" w:rsidRDefault="00E97F96" w:rsidP="009A0C44">
      <w:pPr>
        <w:autoSpaceDE w:val="0"/>
        <w:autoSpaceDN w:val="0"/>
        <w:adjustRightInd w:val="0"/>
        <w:spacing w:line="360" w:lineRule="auto"/>
        <w:rPr>
          <w:rFonts w:asciiTheme="minorHAnsi" w:eastAsia="ArialUnicodeMS" w:hAnsiTheme="minorHAnsi" w:cstheme="minorHAnsi"/>
          <w:sz w:val="22"/>
          <w:szCs w:val="22"/>
          <w:lang w:val="en-US" w:eastAsia="nl-BE"/>
        </w:rPr>
      </w:pPr>
      <w:r w:rsidRPr="009A0C44">
        <w:rPr>
          <w:rFonts w:asciiTheme="minorHAnsi" w:eastAsia="ArialUnicodeMS" w:hAnsiTheme="minorHAnsi" w:cstheme="minorHAnsi"/>
          <w:sz w:val="22"/>
          <w:szCs w:val="22"/>
          <w:lang w:val="en-US" w:eastAsia="nl-BE"/>
        </w:rPr>
        <w:t>CI 0.85 to 1.19), median time to clinical improvement 10 vs 9 days, hazard ratio 0.94</w:t>
      </w:r>
    </w:p>
    <w:p w14:paraId="23F0E5BD" w14:textId="6493456F" w:rsidR="00E97F96" w:rsidRDefault="00E97F96" w:rsidP="009A0C44">
      <w:pPr>
        <w:autoSpaceDE w:val="0"/>
        <w:autoSpaceDN w:val="0"/>
        <w:adjustRightInd w:val="0"/>
        <w:spacing w:line="360" w:lineRule="auto"/>
        <w:rPr>
          <w:rFonts w:asciiTheme="minorHAnsi" w:eastAsia="ArialUnicodeMS" w:hAnsiTheme="minorHAnsi" w:cstheme="minorHAnsi"/>
          <w:sz w:val="22"/>
          <w:szCs w:val="22"/>
          <w:lang w:val="en-US" w:eastAsia="nl-BE"/>
        </w:rPr>
      </w:pPr>
      <w:r w:rsidRPr="009A0C44">
        <w:rPr>
          <w:rFonts w:asciiTheme="minorHAnsi" w:eastAsia="ArialUnicodeMS" w:hAnsiTheme="minorHAnsi" w:cstheme="minorHAnsi"/>
          <w:sz w:val="22"/>
          <w:szCs w:val="22"/>
          <w:lang w:val="en-US" w:eastAsia="nl-BE"/>
        </w:rPr>
        <w:t>(95% CI 0.56 to 1.60) for itraconazole vs standard of care.</w:t>
      </w:r>
      <w:r w:rsidR="00E06DF5">
        <w:rPr>
          <w:rFonts w:asciiTheme="minorHAnsi" w:eastAsia="ArialUnicodeMS" w:hAnsiTheme="minorHAnsi" w:cstheme="minorHAnsi"/>
          <w:sz w:val="22"/>
          <w:szCs w:val="22"/>
          <w:lang w:val="en-US" w:eastAsia="nl-BE"/>
        </w:rPr>
        <w:t xml:space="preserve"> The study was therefore discontinued. </w:t>
      </w:r>
    </w:p>
    <w:p w14:paraId="00DBA345" w14:textId="77777777" w:rsidR="00E06DF5" w:rsidRPr="009A0C44" w:rsidRDefault="00E06DF5" w:rsidP="009A0C44">
      <w:pPr>
        <w:autoSpaceDE w:val="0"/>
        <w:autoSpaceDN w:val="0"/>
        <w:adjustRightInd w:val="0"/>
        <w:spacing w:line="360" w:lineRule="auto"/>
        <w:rPr>
          <w:rFonts w:asciiTheme="minorHAnsi" w:eastAsia="ArialUnicodeMS" w:hAnsiTheme="minorHAnsi" w:cstheme="minorHAnsi"/>
          <w:sz w:val="22"/>
          <w:szCs w:val="22"/>
          <w:lang w:val="en-US" w:eastAsia="nl-BE"/>
        </w:rPr>
      </w:pPr>
    </w:p>
    <w:p w14:paraId="31F470D6" w14:textId="78AFB004" w:rsidR="00E06DF5" w:rsidRDefault="00E06DF5">
      <w:pPr>
        <w:rPr>
          <w:rFonts w:asciiTheme="minorHAnsi" w:eastAsia="ArialUnicodeMS" w:hAnsiTheme="minorHAnsi" w:cstheme="minorHAnsi"/>
          <w:sz w:val="22"/>
          <w:szCs w:val="22"/>
          <w:u w:val="single"/>
          <w:lang w:val="en-US" w:eastAsia="nl-BE"/>
        </w:rPr>
      </w:pPr>
      <w:r>
        <w:rPr>
          <w:rFonts w:asciiTheme="minorHAnsi" w:eastAsia="ArialUnicodeMS" w:hAnsiTheme="minorHAnsi" w:cstheme="minorHAnsi"/>
          <w:sz w:val="22"/>
          <w:szCs w:val="22"/>
          <w:u w:val="single"/>
          <w:lang w:val="en-US" w:eastAsia="nl-BE"/>
        </w:rPr>
        <w:br w:type="page"/>
      </w:r>
    </w:p>
    <w:p w14:paraId="070093D9" w14:textId="77777777" w:rsidR="00566210" w:rsidRPr="009A0C44" w:rsidRDefault="00566210" w:rsidP="009A0C44">
      <w:pPr>
        <w:spacing w:line="360" w:lineRule="auto"/>
        <w:rPr>
          <w:rFonts w:asciiTheme="minorHAnsi" w:hAnsiTheme="minorHAnsi" w:cstheme="minorHAnsi"/>
          <w:sz w:val="22"/>
          <w:szCs w:val="22"/>
          <w:lang w:val="en-US"/>
        </w:rPr>
      </w:pPr>
    </w:p>
    <w:p w14:paraId="7ED96809" w14:textId="600D5AA5" w:rsidR="00E06DF5" w:rsidRPr="00204780" w:rsidRDefault="00E06DF5" w:rsidP="00E06DF5">
      <w:pPr>
        <w:pStyle w:val="Heading2"/>
      </w:pPr>
      <w:r>
        <w:t>Methods</w:t>
      </w:r>
    </w:p>
    <w:p w14:paraId="75792D02" w14:textId="77777777" w:rsidR="00E06DF5" w:rsidRPr="00286BC3" w:rsidRDefault="00E06DF5" w:rsidP="00E06DF5">
      <w:pPr>
        <w:pStyle w:val="Heading3"/>
      </w:pPr>
      <w:r w:rsidRPr="00286BC3">
        <w:t>Study design</w:t>
      </w:r>
    </w:p>
    <w:p w14:paraId="44C09CCA" w14:textId="77777777" w:rsidR="00E06DF5" w:rsidRPr="00204780" w:rsidRDefault="00E06DF5" w:rsidP="00E06DF5">
      <w:pPr>
        <w:spacing w:line="480" w:lineRule="auto"/>
        <w:jc w:val="both"/>
        <w:rPr>
          <w:rFonts w:asciiTheme="minorHAnsi" w:hAnsiTheme="minorHAnsi" w:cstheme="minorHAnsi"/>
          <w:color w:val="000000" w:themeColor="text1"/>
          <w:lang w:val="en-US"/>
        </w:rPr>
      </w:pPr>
      <w:r w:rsidRPr="00204780">
        <w:rPr>
          <w:rFonts w:asciiTheme="minorHAnsi" w:hAnsiTheme="minorHAnsi" w:cstheme="minorHAnsi"/>
          <w:color w:val="000000" w:themeColor="text1"/>
          <w:lang w:val="en-US"/>
        </w:rPr>
        <w:t xml:space="preserve">The </w:t>
      </w:r>
      <w:r>
        <w:rPr>
          <w:rFonts w:asciiTheme="minorHAnsi" w:hAnsiTheme="minorHAnsi" w:cstheme="minorHAnsi"/>
          <w:color w:val="000000" w:themeColor="text1"/>
          <w:lang w:val="en-US"/>
        </w:rPr>
        <w:t>Direct Antivirals Working against new Corona virus (</w:t>
      </w:r>
      <w:proofErr w:type="spellStart"/>
      <w:r w:rsidRPr="00204780">
        <w:rPr>
          <w:rFonts w:asciiTheme="minorHAnsi" w:hAnsiTheme="minorHAnsi" w:cstheme="minorHAnsi"/>
          <w:color w:val="000000" w:themeColor="text1"/>
          <w:lang w:val="en-US"/>
        </w:rPr>
        <w:t>DAWn</w:t>
      </w:r>
      <w:proofErr w:type="spellEnd"/>
      <w:r>
        <w:rPr>
          <w:rFonts w:asciiTheme="minorHAnsi" w:hAnsiTheme="minorHAnsi" w:cstheme="minorHAnsi"/>
          <w:color w:val="000000" w:themeColor="text1"/>
          <w:lang w:val="en-US"/>
        </w:rPr>
        <w:t>)</w:t>
      </w:r>
      <w:r w:rsidRPr="00204780">
        <w:rPr>
          <w:rFonts w:asciiTheme="minorHAnsi" w:hAnsiTheme="minorHAnsi" w:cstheme="minorHAnsi"/>
          <w:color w:val="000000" w:themeColor="text1"/>
          <w:lang w:val="en-US"/>
        </w:rPr>
        <w:t xml:space="preserve">-Itraconazole study was an open-label, randomized, single-center pilot trial in hospitalized COVID-19 patients. The trial was conducted </w:t>
      </w:r>
      <w:r>
        <w:rPr>
          <w:rFonts w:asciiTheme="minorHAnsi" w:hAnsiTheme="minorHAnsi" w:cstheme="minorHAnsi"/>
          <w:color w:val="000000" w:themeColor="text1"/>
          <w:lang w:val="en-US"/>
        </w:rPr>
        <w:t>at</w:t>
      </w:r>
      <w:r w:rsidRPr="00204780">
        <w:rPr>
          <w:rFonts w:asciiTheme="minorHAnsi" w:hAnsiTheme="minorHAnsi" w:cstheme="minorHAnsi"/>
          <w:color w:val="000000" w:themeColor="text1"/>
          <w:lang w:val="en-US"/>
        </w:rPr>
        <w:t xml:space="preserve"> the University </w:t>
      </w:r>
      <w:r>
        <w:rPr>
          <w:rFonts w:asciiTheme="minorHAnsi" w:hAnsiTheme="minorHAnsi" w:cstheme="minorHAnsi"/>
          <w:color w:val="000000" w:themeColor="text1"/>
          <w:lang w:val="en-US"/>
        </w:rPr>
        <w:t>H</w:t>
      </w:r>
      <w:r w:rsidRPr="00204780">
        <w:rPr>
          <w:rFonts w:asciiTheme="minorHAnsi" w:hAnsiTheme="minorHAnsi" w:cstheme="minorHAnsi"/>
          <w:color w:val="000000" w:themeColor="text1"/>
          <w:lang w:val="en-US"/>
        </w:rPr>
        <w:t xml:space="preserve">ospitals Leuven, Belgium, between March and June 2020. The study compared standard </w:t>
      </w:r>
      <w:r>
        <w:rPr>
          <w:rFonts w:asciiTheme="minorHAnsi" w:hAnsiTheme="minorHAnsi" w:cstheme="minorHAnsi"/>
          <w:color w:val="000000" w:themeColor="text1"/>
          <w:lang w:val="en-US"/>
        </w:rPr>
        <w:t xml:space="preserve">of </w:t>
      </w:r>
      <w:r w:rsidRPr="00204780">
        <w:rPr>
          <w:rFonts w:asciiTheme="minorHAnsi" w:hAnsiTheme="minorHAnsi" w:cstheme="minorHAnsi"/>
          <w:color w:val="000000" w:themeColor="text1"/>
          <w:lang w:val="en-US"/>
        </w:rPr>
        <w:t>care with or without itraconazole in a 1:1 randomization. Standard</w:t>
      </w:r>
      <w:r>
        <w:rPr>
          <w:rFonts w:asciiTheme="minorHAnsi" w:hAnsiTheme="minorHAnsi" w:cstheme="minorHAnsi"/>
          <w:color w:val="000000" w:themeColor="text1"/>
          <w:lang w:val="en-US"/>
        </w:rPr>
        <w:t xml:space="preserve"> of</w:t>
      </w:r>
      <w:r w:rsidRPr="00204780">
        <w:rPr>
          <w:rFonts w:asciiTheme="minorHAnsi" w:hAnsiTheme="minorHAnsi" w:cstheme="minorHAnsi"/>
          <w:color w:val="000000" w:themeColor="text1"/>
          <w:lang w:val="en-US"/>
        </w:rPr>
        <w:t xml:space="preserve"> care was based on guidelines of national and international organizations and outlined in an institutional policy. </w:t>
      </w:r>
    </w:p>
    <w:p w14:paraId="2C4BBCFD" w14:textId="77777777" w:rsidR="00E06DF5" w:rsidRPr="00204780" w:rsidRDefault="00E06DF5" w:rsidP="00E06DF5">
      <w:pPr>
        <w:spacing w:line="48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T</w:t>
      </w:r>
      <w:r w:rsidRPr="00204780">
        <w:rPr>
          <w:rFonts w:asciiTheme="minorHAnsi" w:hAnsiTheme="minorHAnsi" w:cstheme="minorHAnsi"/>
          <w:color w:val="000000" w:themeColor="text1"/>
          <w:lang w:val="en-US"/>
        </w:rPr>
        <w:t xml:space="preserve">he study was conducted in accordance with the International Conference on Harmonization Guidelines for Good Clinical Practice and the Declaration of Helsinki. The protocol was approved by the institutional </w:t>
      </w:r>
      <w:r>
        <w:rPr>
          <w:rFonts w:asciiTheme="minorHAnsi" w:hAnsiTheme="minorHAnsi" w:cstheme="minorHAnsi"/>
          <w:color w:val="000000" w:themeColor="text1"/>
          <w:lang w:val="en-US"/>
        </w:rPr>
        <w:t>Et</w:t>
      </w:r>
      <w:r w:rsidRPr="00204780">
        <w:rPr>
          <w:rFonts w:asciiTheme="minorHAnsi" w:hAnsiTheme="minorHAnsi" w:cstheme="minorHAnsi"/>
          <w:color w:val="000000" w:themeColor="text1"/>
          <w:lang w:val="en-US"/>
        </w:rPr>
        <w:t xml:space="preserve">hics </w:t>
      </w:r>
      <w:r>
        <w:rPr>
          <w:rFonts w:asciiTheme="minorHAnsi" w:hAnsiTheme="minorHAnsi" w:cstheme="minorHAnsi"/>
          <w:color w:val="000000" w:themeColor="text1"/>
          <w:lang w:val="en-US"/>
        </w:rPr>
        <w:t>C</w:t>
      </w:r>
      <w:r w:rsidRPr="00204780">
        <w:rPr>
          <w:rFonts w:asciiTheme="minorHAnsi" w:hAnsiTheme="minorHAnsi" w:cstheme="minorHAnsi"/>
          <w:color w:val="000000" w:themeColor="text1"/>
          <w:lang w:val="en-US"/>
        </w:rPr>
        <w:t>ommittee and by the Belgian Federal Agency for Medicines and Health Products (EudraCT 2020-001243-15).</w:t>
      </w:r>
      <w:r>
        <w:rPr>
          <w:rFonts w:asciiTheme="minorHAnsi" w:hAnsiTheme="minorHAnsi" w:cstheme="minorHAnsi"/>
          <w:color w:val="000000" w:themeColor="text1"/>
          <w:lang w:val="en-US"/>
        </w:rPr>
        <w:t xml:space="preserve"> </w:t>
      </w:r>
      <w:r w:rsidRPr="00204780">
        <w:rPr>
          <w:rFonts w:asciiTheme="minorHAnsi" w:hAnsiTheme="minorHAnsi" w:cstheme="minorHAnsi"/>
          <w:color w:val="000000" w:themeColor="text1"/>
          <w:lang w:val="en-US"/>
        </w:rPr>
        <w:t>Th</w:t>
      </w:r>
      <w:r>
        <w:rPr>
          <w:rFonts w:asciiTheme="minorHAnsi" w:hAnsiTheme="minorHAnsi" w:cstheme="minorHAnsi"/>
          <w:color w:val="000000" w:themeColor="text1"/>
          <w:lang w:val="en-US"/>
        </w:rPr>
        <w:t>e trial</w:t>
      </w:r>
      <w:r w:rsidRPr="00204780">
        <w:rPr>
          <w:rFonts w:asciiTheme="minorHAnsi" w:hAnsiTheme="minorHAnsi" w:cstheme="minorHAnsi"/>
          <w:color w:val="000000" w:themeColor="text1"/>
          <w:lang w:val="en-US"/>
        </w:rPr>
        <w:t xml:space="preserve"> was part of the </w:t>
      </w:r>
      <w:proofErr w:type="spellStart"/>
      <w:r w:rsidRPr="00204780">
        <w:rPr>
          <w:rFonts w:asciiTheme="minorHAnsi" w:hAnsiTheme="minorHAnsi" w:cstheme="minorHAnsi"/>
          <w:color w:val="000000" w:themeColor="text1"/>
          <w:lang w:val="en-US"/>
        </w:rPr>
        <w:t>DAWn</w:t>
      </w:r>
      <w:proofErr w:type="spellEnd"/>
      <w:r w:rsidRPr="00204780">
        <w:rPr>
          <w:rFonts w:asciiTheme="minorHAnsi" w:hAnsiTheme="minorHAnsi" w:cstheme="minorHAnsi"/>
          <w:color w:val="000000" w:themeColor="text1"/>
          <w:lang w:val="en-US"/>
        </w:rPr>
        <w:t xml:space="preserve"> clinical studies</w:t>
      </w:r>
      <w:r>
        <w:rPr>
          <w:rFonts w:asciiTheme="minorHAnsi" w:hAnsiTheme="minorHAnsi" w:cstheme="minorHAnsi"/>
          <w:color w:val="000000" w:themeColor="text1"/>
          <w:lang w:val="en-US"/>
        </w:rPr>
        <w:t>.</w:t>
      </w:r>
      <w:r>
        <w:rPr>
          <w:rFonts w:asciiTheme="minorHAnsi" w:hAnsiTheme="minorHAnsi" w:cstheme="minorHAnsi"/>
          <w:color w:val="000000" w:themeColor="text1"/>
          <w:lang w:val="en-US"/>
        </w:rPr>
        <w:fldChar w:fldCharType="begin">
          <w:fldData xml:space="preserve">PEVuZE5vdGU+PENpdGU+PEF1dGhvcj5EZXZvczwvQXV0aG9yPjxZZWFyPjIwMjA8L1llYXI+PFJl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</w:fldData>
        </w:fldChar>
      </w:r>
      <w:r>
        <w:rPr>
          <w:rFonts w:asciiTheme="minorHAnsi" w:hAnsiTheme="minorHAnsi" w:cstheme="minorHAnsi"/>
          <w:color w:val="000000" w:themeColor="text1"/>
          <w:lang w:val="en-US"/>
        </w:rPr>
        <w:instrText xml:space="preserve"> ADDIN EN.CITE </w:instrText>
      </w:r>
      <w:r>
        <w:rPr>
          <w:rFonts w:asciiTheme="minorHAnsi" w:hAnsiTheme="minorHAnsi" w:cstheme="minorHAnsi"/>
          <w:color w:val="000000" w:themeColor="text1"/>
          <w:lang w:val="en-US"/>
        </w:rPr>
        <w:fldChar w:fldCharType="begin">
          <w:fldData xml:space="preserve">PEVuZE5vdGU+PENpdGU+PEF1dGhvcj5EZXZvczwvQXV0aG9yPjxZZWFyPjIwMjA8L1llYXI+PFJl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</w:fldData>
        </w:fldChar>
      </w:r>
      <w:r>
        <w:rPr>
          <w:rFonts w:asciiTheme="minorHAnsi" w:hAnsiTheme="minorHAnsi" w:cstheme="minorHAnsi"/>
          <w:color w:val="000000" w:themeColor="text1"/>
          <w:lang w:val="en-US"/>
        </w:rPr>
        <w:instrText xml:space="preserve"> ADDIN EN.CITE.DATA </w:instrText>
      </w:r>
      <w:r>
        <w:rPr>
          <w:rFonts w:asciiTheme="minorHAnsi" w:hAnsiTheme="minorHAnsi" w:cstheme="minorHAnsi"/>
          <w:color w:val="000000" w:themeColor="text1"/>
          <w:lang w:val="en-US"/>
        </w:rPr>
      </w:r>
      <w:r>
        <w:rPr>
          <w:rFonts w:asciiTheme="minorHAnsi" w:hAnsiTheme="minorHAnsi" w:cstheme="minorHAnsi"/>
          <w:color w:val="000000" w:themeColor="text1"/>
          <w:lang w:val="en-US"/>
        </w:rPr>
        <w:fldChar w:fldCharType="end"/>
      </w:r>
      <w:r>
        <w:rPr>
          <w:rFonts w:asciiTheme="minorHAnsi" w:hAnsiTheme="minorHAnsi" w:cstheme="minorHAnsi"/>
          <w:color w:val="000000" w:themeColor="text1"/>
          <w:lang w:val="en-US"/>
        </w:rPr>
      </w:r>
      <w:r>
        <w:rPr>
          <w:rFonts w:asciiTheme="minorHAnsi" w:hAnsiTheme="minorHAnsi" w:cstheme="minorHAnsi"/>
          <w:color w:val="000000" w:themeColor="text1"/>
          <w:lang w:val="en-US"/>
        </w:rPr>
        <w:fldChar w:fldCharType="separate"/>
      </w:r>
      <w:r w:rsidRPr="00A23169">
        <w:rPr>
          <w:rFonts w:asciiTheme="minorHAnsi" w:hAnsiTheme="minorHAnsi" w:cstheme="minorHAnsi"/>
          <w:noProof/>
          <w:color w:val="000000" w:themeColor="text1"/>
          <w:vertAlign w:val="superscript"/>
          <w:lang w:val="en-US"/>
        </w:rPr>
        <w:t>10-12</w:t>
      </w:r>
      <w:r>
        <w:rPr>
          <w:rFonts w:asciiTheme="minorHAnsi" w:hAnsiTheme="minorHAnsi" w:cstheme="minorHAnsi"/>
          <w:color w:val="000000" w:themeColor="text1"/>
          <w:lang w:val="en-US"/>
        </w:rPr>
        <w:fldChar w:fldCharType="end"/>
      </w:r>
      <w:r>
        <w:rPr>
          <w:rFonts w:asciiTheme="minorHAnsi" w:hAnsiTheme="minorHAnsi" w:cstheme="minorHAnsi"/>
          <w:color w:val="000000" w:themeColor="text1"/>
          <w:lang w:val="en-US"/>
        </w:rPr>
        <w:t xml:space="preserve"> </w:t>
      </w:r>
      <w:r w:rsidRPr="00204780">
        <w:rPr>
          <w:rFonts w:asciiTheme="minorHAnsi" w:hAnsiTheme="minorHAnsi" w:cstheme="minorHAnsi"/>
          <w:color w:val="000000" w:themeColor="text1"/>
          <w:lang w:val="en-US"/>
        </w:rPr>
        <w:t xml:space="preserve">An independent data and safety monitoring committee (DSMB) reviewed trial </w:t>
      </w:r>
      <w:r>
        <w:rPr>
          <w:rFonts w:asciiTheme="minorHAnsi" w:hAnsiTheme="minorHAnsi" w:cstheme="minorHAnsi"/>
          <w:color w:val="000000" w:themeColor="text1"/>
          <w:lang w:val="en-US"/>
        </w:rPr>
        <w:t xml:space="preserve">safety </w:t>
      </w:r>
      <w:r w:rsidRPr="00204780">
        <w:rPr>
          <w:rFonts w:asciiTheme="minorHAnsi" w:hAnsiTheme="minorHAnsi" w:cstheme="minorHAnsi"/>
          <w:color w:val="000000" w:themeColor="text1"/>
          <w:lang w:val="en-US"/>
        </w:rPr>
        <w:t>outcomes. The full protocol and statistical analysis plan are available in Supplement.</w:t>
      </w:r>
    </w:p>
    <w:p w14:paraId="709DF3F3" w14:textId="77777777" w:rsidR="00E06DF5" w:rsidRPr="00204780" w:rsidRDefault="00E06DF5" w:rsidP="00E06DF5">
      <w:pPr>
        <w:spacing w:line="480" w:lineRule="auto"/>
        <w:jc w:val="both"/>
        <w:rPr>
          <w:rFonts w:asciiTheme="minorHAnsi" w:hAnsiTheme="minorHAnsi" w:cstheme="minorHAnsi"/>
          <w:color w:val="000000" w:themeColor="text1"/>
          <w:lang w:val="en-US"/>
        </w:rPr>
      </w:pPr>
    </w:p>
    <w:p w14:paraId="76A49A66" w14:textId="77777777" w:rsidR="00E06DF5" w:rsidRPr="00204780" w:rsidRDefault="00E06DF5" w:rsidP="00E06DF5">
      <w:pPr>
        <w:pStyle w:val="Heading3"/>
      </w:pPr>
      <w:r w:rsidRPr="00204780">
        <w:t>Patients</w:t>
      </w:r>
    </w:p>
    <w:p w14:paraId="23C43544" w14:textId="77777777" w:rsidR="00E06DF5" w:rsidRPr="00204780" w:rsidRDefault="00E06DF5" w:rsidP="00E06DF5">
      <w:pPr>
        <w:spacing w:line="480" w:lineRule="auto"/>
        <w:jc w:val="both"/>
        <w:rPr>
          <w:rFonts w:asciiTheme="minorHAnsi" w:hAnsiTheme="minorHAnsi" w:cstheme="minorHAnsi"/>
          <w:color w:val="000000" w:themeColor="text1"/>
          <w:lang w:val="en-US"/>
        </w:rPr>
      </w:pPr>
      <w:r w:rsidRPr="00204780">
        <w:rPr>
          <w:rFonts w:asciiTheme="minorHAnsi" w:hAnsiTheme="minorHAnsi" w:cstheme="minorHAnsi"/>
          <w:color w:val="000000" w:themeColor="text1"/>
          <w:lang w:val="en-US"/>
        </w:rPr>
        <w:t>Hospitalized patients</w:t>
      </w:r>
      <w:r>
        <w:rPr>
          <w:rFonts w:asciiTheme="minorHAnsi" w:hAnsiTheme="minorHAnsi" w:cstheme="minorHAnsi"/>
          <w:color w:val="000000" w:themeColor="text1"/>
          <w:lang w:val="en-US"/>
        </w:rPr>
        <w:t xml:space="preserve"> aged</w:t>
      </w:r>
      <w:r w:rsidRPr="00204780">
        <w:rPr>
          <w:rFonts w:asciiTheme="minorHAnsi" w:hAnsiTheme="minorHAnsi" w:cstheme="minorHAnsi"/>
          <w:color w:val="000000" w:themeColor="text1"/>
          <w:lang w:val="en-US"/>
        </w:rPr>
        <w:t xml:space="preserve"> 18 years or older with COVID-19, confirmed by PCR or a typical chest CT-scan</w:t>
      </w:r>
      <w:r>
        <w:rPr>
          <w:rFonts w:asciiTheme="minorHAnsi" w:hAnsiTheme="minorHAnsi" w:cstheme="minorHAnsi"/>
          <w:color w:val="000000" w:themeColor="text1"/>
          <w:lang w:val="en-US"/>
        </w:rPr>
        <w:t>,</w:t>
      </w:r>
      <w:r w:rsidRPr="00204780">
        <w:rPr>
          <w:rFonts w:asciiTheme="minorHAnsi" w:hAnsiTheme="minorHAnsi" w:cstheme="minorHAnsi"/>
          <w:color w:val="000000" w:themeColor="text1"/>
          <w:lang w:val="en-US"/>
        </w:rPr>
        <w:t xml:space="preserve"> were eligible if they displayed at least one of the following features: radiographic infiltrates, Sp02 ≤ 94% on room air, or requiring supplemental oxygen. Subjects were excluded in case of elevated liver tests (ALT/AST &gt; 5 times the upper limit of normal), pregnancy or breast feeding, heart failure with severely reduced ejection fraction (≤ 30%)</w:t>
      </w:r>
      <w:r>
        <w:rPr>
          <w:rFonts w:asciiTheme="minorHAnsi" w:hAnsiTheme="minorHAnsi" w:cstheme="minorHAnsi"/>
          <w:color w:val="000000" w:themeColor="text1"/>
          <w:lang w:val="en-US"/>
        </w:rPr>
        <w:t>,</w:t>
      </w:r>
      <w:r w:rsidRPr="00204780">
        <w:rPr>
          <w:rFonts w:asciiTheme="minorHAnsi" w:hAnsiTheme="minorHAnsi" w:cstheme="minorHAnsi"/>
          <w:color w:val="000000" w:themeColor="text1"/>
          <w:lang w:val="en-US"/>
        </w:rPr>
        <w:t xml:space="preserve"> or concomitant treatment with lopinavir/ritonavir or potent CYP450 inducers. </w:t>
      </w:r>
    </w:p>
    <w:p w14:paraId="393C2F12" w14:textId="77777777" w:rsidR="00E06DF5" w:rsidRPr="00204780" w:rsidRDefault="00E06DF5" w:rsidP="00E06DF5">
      <w:pPr>
        <w:spacing w:line="480" w:lineRule="auto"/>
        <w:jc w:val="both"/>
        <w:rPr>
          <w:rFonts w:asciiTheme="minorHAnsi" w:hAnsiTheme="minorHAnsi" w:cstheme="minorHAnsi"/>
          <w:color w:val="000000" w:themeColor="text1"/>
          <w:lang w:val="en-US"/>
        </w:rPr>
      </w:pPr>
      <w:r w:rsidRPr="00204780">
        <w:rPr>
          <w:rFonts w:asciiTheme="minorHAnsi" w:hAnsiTheme="minorHAnsi" w:cstheme="minorHAnsi"/>
          <w:color w:val="000000" w:themeColor="text1"/>
          <w:lang w:val="en-US"/>
        </w:rPr>
        <w:lastRenderedPageBreak/>
        <w:t xml:space="preserve">Because of safety concerns due to the risk of transmission of SARS-CoV-2, verbal informed consent in the presence of an independent witness was obtained during hospitalization of all patients. Written informed consent was obtained after discharge from quarantine. </w:t>
      </w:r>
    </w:p>
    <w:p w14:paraId="54E69650" w14:textId="77777777" w:rsidR="00E06DF5" w:rsidRPr="00204780" w:rsidRDefault="00E06DF5" w:rsidP="00E06DF5">
      <w:pPr>
        <w:spacing w:line="480" w:lineRule="auto"/>
        <w:jc w:val="both"/>
        <w:rPr>
          <w:rFonts w:asciiTheme="minorHAnsi" w:hAnsiTheme="minorHAnsi" w:cstheme="minorHAnsi"/>
          <w:color w:val="000000" w:themeColor="text1"/>
          <w:lang w:val="en-US"/>
        </w:rPr>
      </w:pPr>
    </w:p>
    <w:p w14:paraId="2D214D8F" w14:textId="77777777" w:rsidR="00E06DF5" w:rsidRPr="00204780" w:rsidRDefault="00E06DF5" w:rsidP="00E06DF5">
      <w:pPr>
        <w:pStyle w:val="Heading3"/>
      </w:pPr>
      <w:bookmarkStart w:id="0" w:name="_Toc48826562"/>
      <w:r w:rsidRPr="00204780">
        <w:t>Interventions</w:t>
      </w:r>
      <w:bookmarkEnd w:id="0"/>
    </w:p>
    <w:p w14:paraId="71A94043" w14:textId="77777777" w:rsidR="00E06DF5" w:rsidRPr="00204780" w:rsidRDefault="00E06DF5" w:rsidP="00E06DF5">
      <w:pPr>
        <w:spacing w:line="480" w:lineRule="auto"/>
        <w:jc w:val="both"/>
        <w:rPr>
          <w:rFonts w:asciiTheme="minorHAnsi" w:hAnsiTheme="minorHAnsi" w:cstheme="minorHAnsi"/>
          <w:color w:val="000000" w:themeColor="text1"/>
          <w:lang w:val="en-US"/>
        </w:rPr>
      </w:pPr>
      <w:r w:rsidRPr="00204780">
        <w:rPr>
          <w:rFonts w:asciiTheme="minorHAnsi" w:hAnsiTheme="minorHAnsi" w:cstheme="minorHAnsi"/>
          <w:color w:val="000000" w:themeColor="text1"/>
          <w:lang w:val="en-US"/>
        </w:rPr>
        <w:t xml:space="preserve">Subjects were assigned to standard </w:t>
      </w:r>
      <w:r>
        <w:rPr>
          <w:rFonts w:asciiTheme="minorHAnsi" w:hAnsiTheme="minorHAnsi" w:cstheme="minorHAnsi"/>
          <w:color w:val="000000" w:themeColor="text1"/>
          <w:lang w:val="en-US"/>
        </w:rPr>
        <w:t xml:space="preserve">of </w:t>
      </w:r>
      <w:r w:rsidRPr="00204780">
        <w:rPr>
          <w:rFonts w:asciiTheme="minorHAnsi" w:hAnsiTheme="minorHAnsi" w:cstheme="minorHAnsi"/>
          <w:color w:val="000000" w:themeColor="text1"/>
          <w:lang w:val="en-US"/>
        </w:rPr>
        <w:t>care with or without itraconazole. Itraconazole was administered as capsules or as an oral solution with a loading dose of 200 mg three times per day for the first 3 days, followed by 200 mg twice daily. Itraconazole was continued for at least 10 days and up to 14 days if patients remained hospitalized.</w:t>
      </w:r>
    </w:p>
    <w:p w14:paraId="051337F7" w14:textId="77777777" w:rsidR="00E06DF5" w:rsidRPr="00204780" w:rsidRDefault="00E06DF5" w:rsidP="00E06DF5">
      <w:pPr>
        <w:spacing w:line="480" w:lineRule="auto"/>
        <w:jc w:val="both"/>
        <w:rPr>
          <w:rFonts w:asciiTheme="minorHAnsi" w:hAnsiTheme="minorHAnsi" w:cstheme="minorHAnsi"/>
          <w:color w:val="000000" w:themeColor="text1"/>
          <w:lang w:val="en-US"/>
        </w:rPr>
      </w:pPr>
      <w:r w:rsidRPr="00204780">
        <w:rPr>
          <w:rFonts w:asciiTheme="minorHAnsi" w:hAnsiTheme="minorHAnsi" w:cstheme="minorHAnsi"/>
          <w:color w:val="000000" w:themeColor="text1"/>
          <w:lang w:val="en-US"/>
        </w:rPr>
        <w:t xml:space="preserve">Standard </w:t>
      </w:r>
      <w:r>
        <w:rPr>
          <w:rFonts w:asciiTheme="minorHAnsi" w:hAnsiTheme="minorHAnsi" w:cstheme="minorHAnsi"/>
          <w:color w:val="000000" w:themeColor="text1"/>
          <w:lang w:val="en-US"/>
        </w:rPr>
        <w:t xml:space="preserve">of </w:t>
      </w:r>
      <w:r w:rsidRPr="00204780">
        <w:rPr>
          <w:rFonts w:asciiTheme="minorHAnsi" w:hAnsiTheme="minorHAnsi" w:cstheme="minorHAnsi"/>
          <w:color w:val="000000" w:themeColor="text1"/>
          <w:lang w:val="en-US"/>
        </w:rPr>
        <w:t>care was defined by the Belgian COVID-19 guidelines</w:t>
      </w:r>
      <w:r>
        <w:rPr>
          <w:rFonts w:asciiTheme="minorHAnsi" w:hAnsiTheme="minorHAnsi" w:cstheme="minorHAnsi"/>
          <w:color w:val="000000" w:themeColor="text1"/>
          <w:lang w:val="en-US"/>
        </w:rPr>
        <w:t>,</w:t>
      </w:r>
      <w:r>
        <w:rPr>
          <w:rFonts w:asciiTheme="minorHAnsi" w:hAnsiTheme="minorHAnsi" w:cstheme="minorHAnsi"/>
          <w:color w:val="000000" w:themeColor="text1"/>
          <w:lang w:val="en-US"/>
        </w:rPr>
        <w:fldChar w:fldCharType="begin"/>
      </w:r>
      <w:r>
        <w:rPr>
          <w:rFonts w:asciiTheme="minorHAnsi" w:hAnsiTheme="minorHAnsi" w:cstheme="minorHAnsi"/>
          <w:color w:val="000000" w:themeColor="text1"/>
          <w:lang w:val="en-US"/>
        </w:rPr>
        <w:instrText xml:space="preserve"> ADDIN EN.CITE &lt;EndNote&gt;&lt;Cite&gt;&lt;Author&gt;Sciensano&lt;/Author&gt;&lt;Year&gt;March 2020&lt;/Year&gt;&lt;RecNum&gt;143&lt;/RecNum&gt;&lt;DisplayText&gt;&lt;style face="superscript"&gt;13&lt;/style&gt;&lt;/DisplayText&gt;&lt;record&gt;&lt;rec-number&gt;143&lt;/rec-number&gt;&lt;foreign-keys&gt;&lt;key app="EN" db-id="x59dvp2x3r5sxaezvekv9v55d0avvpw09zpx" timestamp="1603883488"&gt;143&lt;/key&gt;&lt;/foreign-keys&gt;&lt;ref-type name="Web Page"&gt;12&lt;/ref-type&gt;&lt;contributors&gt;&lt;authors&gt;&lt;author&gt;Sciensano&lt;/author&gt;&lt;/authors&gt;&lt;/contributors&gt;&lt;titles&gt;&lt;title&gt;Interim clinical guidance for adults with suspected or confirmed Covid-19 in Belgium. Accessed from https://covid-19.sciensano.be/ &lt;/title&gt;&lt;/titles&gt;&lt;number&gt;March 2020&lt;/number&gt;&lt;dates&gt;&lt;year&gt;March 2020&lt;/year&gt;&lt;/dates&gt;&lt;urls&gt;&lt;/urls&gt;&lt;/record&gt;&lt;/Cite&gt;&lt;/EndNote&gt;</w:instrText>
      </w:r>
      <w:r>
        <w:rPr>
          <w:rFonts w:asciiTheme="minorHAnsi" w:hAnsiTheme="minorHAnsi" w:cstheme="minorHAnsi"/>
          <w:color w:val="000000" w:themeColor="text1"/>
          <w:lang w:val="en-US"/>
        </w:rPr>
        <w:fldChar w:fldCharType="separate"/>
      </w:r>
      <w:r w:rsidRPr="00A23169">
        <w:rPr>
          <w:rFonts w:asciiTheme="minorHAnsi" w:hAnsiTheme="minorHAnsi" w:cstheme="minorHAnsi"/>
          <w:noProof/>
          <w:color w:val="000000" w:themeColor="text1"/>
          <w:vertAlign w:val="superscript"/>
          <w:lang w:val="en-US"/>
        </w:rPr>
        <w:t>13</w:t>
      </w:r>
      <w:r>
        <w:rPr>
          <w:rFonts w:asciiTheme="minorHAnsi" w:hAnsiTheme="minorHAnsi" w:cstheme="minorHAnsi"/>
          <w:color w:val="000000" w:themeColor="text1"/>
          <w:lang w:val="en-US"/>
        </w:rPr>
        <w:fldChar w:fldCharType="end"/>
      </w:r>
      <w:r w:rsidRPr="00204780">
        <w:rPr>
          <w:rFonts w:asciiTheme="minorHAnsi" w:hAnsiTheme="minorHAnsi" w:cstheme="minorHAnsi"/>
          <w:color w:val="000000" w:themeColor="text1"/>
          <w:lang w:val="en-US"/>
        </w:rPr>
        <w:t xml:space="preserve"> which at the time </w:t>
      </w:r>
      <w:r>
        <w:rPr>
          <w:rFonts w:asciiTheme="minorHAnsi" w:hAnsiTheme="minorHAnsi" w:cstheme="minorHAnsi"/>
          <w:color w:val="000000" w:themeColor="text1"/>
          <w:lang w:val="en-US"/>
        </w:rPr>
        <w:t xml:space="preserve">of </w:t>
      </w:r>
      <w:r w:rsidRPr="00204780">
        <w:rPr>
          <w:rFonts w:asciiTheme="minorHAnsi" w:hAnsiTheme="minorHAnsi" w:cstheme="minorHAnsi"/>
          <w:color w:val="000000" w:themeColor="text1"/>
          <w:lang w:val="en-US"/>
        </w:rPr>
        <w:t xml:space="preserve">recruitment included supportive treatment, broad spectrum antibiotics (ceftriaxone 2g/day) and hydroxychloroquine (400 mg twice daily loading dose, followed by 200 mg twice daily for five days). </w:t>
      </w:r>
      <w:r>
        <w:rPr>
          <w:rFonts w:asciiTheme="minorHAnsi" w:hAnsiTheme="minorHAnsi" w:cstheme="minorHAnsi"/>
          <w:color w:val="000000" w:themeColor="text1"/>
          <w:lang w:val="en-US"/>
        </w:rPr>
        <w:t>Itraconazole c</w:t>
      </w:r>
      <w:r w:rsidRPr="00204780">
        <w:rPr>
          <w:rFonts w:asciiTheme="minorHAnsi" w:hAnsiTheme="minorHAnsi" w:cstheme="minorHAnsi"/>
          <w:color w:val="000000" w:themeColor="text1"/>
          <w:lang w:val="en-US"/>
        </w:rPr>
        <w:t xml:space="preserve">apsules were administered with a meal, whereas solution was given at least 2 hours before or 1 hour after a meal. Concomitant treatment with proton-pump inhibitors was avoided in patients treated with capsules. </w:t>
      </w:r>
    </w:p>
    <w:p w14:paraId="4D56A851" w14:textId="77777777" w:rsidR="00E06DF5" w:rsidRPr="00204780" w:rsidRDefault="00E06DF5" w:rsidP="00E06DF5">
      <w:pPr>
        <w:spacing w:line="480" w:lineRule="auto"/>
        <w:jc w:val="both"/>
        <w:rPr>
          <w:rFonts w:asciiTheme="minorHAnsi" w:hAnsiTheme="minorHAnsi" w:cstheme="minorHAnsi"/>
          <w:color w:val="000000" w:themeColor="text1"/>
          <w:lang w:val="en-US"/>
        </w:rPr>
      </w:pPr>
    </w:p>
    <w:p w14:paraId="1083FE00" w14:textId="77777777" w:rsidR="00E06DF5" w:rsidRPr="00204780" w:rsidRDefault="00E06DF5" w:rsidP="00E06DF5">
      <w:pPr>
        <w:spacing w:line="480" w:lineRule="auto"/>
        <w:jc w:val="both"/>
        <w:rPr>
          <w:rFonts w:asciiTheme="minorHAnsi" w:hAnsiTheme="minorHAnsi" w:cstheme="minorHAnsi"/>
          <w:color w:val="000000" w:themeColor="text1"/>
          <w:lang w:val="en-US"/>
        </w:rPr>
      </w:pPr>
      <w:r w:rsidRPr="00204780">
        <w:rPr>
          <w:rFonts w:asciiTheme="minorHAnsi" w:hAnsiTheme="minorHAnsi" w:cstheme="minorHAnsi"/>
          <w:color w:val="000000" w:themeColor="text1"/>
          <w:lang w:val="en-US"/>
        </w:rPr>
        <w:t xml:space="preserve">Outcomes were assessed </w:t>
      </w:r>
      <w:r>
        <w:rPr>
          <w:rFonts w:asciiTheme="minorHAnsi" w:hAnsiTheme="minorHAnsi" w:cstheme="minorHAnsi"/>
          <w:color w:val="000000" w:themeColor="text1"/>
          <w:lang w:val="en-US"/>
        </w:rPr>
        <w:t>for</w:t>
      </w:r>
      <w:r w:rsidRPr="00204780">
        <w:rPr>
          <w:rFonts w:asciiTheme="minorHAnsi" w:hAnsiTheme="minorHAnsi" w:cstheme="minorHAnsi"/>
          <w:color w:val="000000" w:themeColor="text1"/>
          <w:lang w:val="en-US"/>
        </w:rPr>
        <w:t xml:space="preserve"> 28 days. Clinical parameters and laboratory tests that where part of routine clinical care where captured from the electronic patient files.</w:t>
      </w:r>
      <w:r>
        <w:rPr>
          <w:rFonts w:asciiTheme="minorHAnsi" w:hAnsiTheme="minorHAnsi" w:cstheme="minorHAnsi"/>
          <w:color w:val="000000" w:themeColor="text1"/>
          <w:lang w:val="en-US"/>
        </w:rPr>
        <w:t xml:space="preserve"> I</w:t>
      </w:r>
      <w:r w:rsidRPr="00204780">
        <w:rPr>
          <w:rFonts w:asciiTheme="minorHAnsi" w:hAnsiTheme="minorHAnsi" w:cstheme="minorHAnsi"/>
          <w:color w:val="000000" w:themeColor="text1"/>
          <w:lang w:val="en-US"/>
        </w:rPr>
        <w:t>f feasible</w:t>
      </w:r>
      <w:r>
        <w:rPr>
          <w:rFonts w:asciiTheme="minorHAnsi" w:hAnsiTheme="minorHAnsi" w:cstheme="minorHAnsi"/>
          <w:color w:val="000000" w:themeColor="text1"/>
          <w:lang w:val="en-US"/>
        </w:rPr>
        <w:t xml:space="preserve"> </w:t>
      </w:r>
      <w:r w:rsidRPr="00204780">
        <w:rPr>
          <w:rFonts w:asciiTheme="minorHAnsi" w:hAnsiTheme="minorHAnsi" w:cstheme="minorHAnsi"/>
          <w:color w:val="000000" w:themeColor="text1"/>
          <w:lang w:val="en-US"/>
        </w:rPr>
        <w:t xml:space="preserve">a </w:t>
      </w:r>
      <w:r>
        <w:rPr>
          <w:rFonts w:asciiTheme="minorHAnsi" w:hAnsiTheme="minorHAnsi" w:cstheme="minorHAnsi"/>
          <w:color w:val="000000" w:themeColor="text1"/>
          <w:lang w:val="en-US"/>
        </w:rPr>
        <w:t xml:space="preserve">follow-up </w:t>
      </w:r>
      <w:r w:rsidRPr="00204780">
        <w:rPr>
          <w:rFonts w:asciiTheme="minorHAnsi" w:hAnsiTheme="minorHAnsi" w:cstheme="minorHAnsi"/>
          <w:color w:val="000000" w:themeColor="text1"/>
          <w:lang w:val="en-US"/>
        </w:rPr>
        <w:t xml:space="preserve">nasopharyngeal swab was obtained on day 6. </w:t>
      </w:r>
      <w:r>
        <w:rPr>
          <w:rFonts w:asciiTheme="minorHAnsi" w:hAnsiTheme="minorHAnsi" w:cstheme="minorHAnsi"/>
          <w:color w:val="000000" w:themeColor="text1"/>
          <w:lang w:val="en-US"/>
        </w:rPr>
        <w:t>When</w:t>
      </w:r>
      <w:r w:rsidRPr="00204780">
        <w:rPr>
          <w:rFonts w:asciiTheme="minorHAnsi" w:hAnsiTheme="minorHAnsi" w:cstheme="minorHAnsi"/>
          <w:color w:val="000000" w:themeColor="text1"/>
          <w:lang w:val="en-US"/>
        </w:rPr>
        <w:t xml:space="preserve"> discharge</w:t>
      </w:r>
      <w:r>
        <w:rPr>
          <w:rFonts w:asciiTheme="minorHAnsi" w:hAnsiTheme="minorHAnsi" w:cstheme="minorHAnsi"/>
          <w:color w:val="000000" w:themeColor="text1"/>
          <w:lang w:val="en-US"/>
        </w:rPr>
        <w:t>d</w:t>
      </w:r>
      <w:r w:rsidRPr="00204780">
        <w:rPr>
          <w:rFonts w:asciiTheme="minorHAnsi" w:hAnsiTheme="minorHAnsi" w:cstheme="minorHAnsi"/>
          <w:color w:val="000000" w:themeColor="text1"/>
          <w:lang w:val="en-US"/>
        </w:rPr>
        <w:t>, patients were contacted by phone on day 15 and day 2</w:t>
      </w:r>
      <w:r>
        <w:rPr>
          <w:rFonts w:asciiTheme="minorHAnsi" w:hAnsiTheme="minorHAnsi" w:cstheme="minorHAnsi"/>
          <w:color w:val="000000" w:themeColor="text1"/>
          <w:lang w:val="en-US"/>
        </w:rPr>
        <w:t>9</w:t>
      </w:r>
      <w:r w:rsidRPr="00204780">
        <w:rPr>
          <w:rFonts w:asciiTheme="minorHAnsi" w:hAnsiTheme="minorHAnsi" w:cstheme="minorHAnsi"/>
          <w:color w:val="000000" w:themeColor="text1"/>
          <w:lang w:val="en-US"/>
        </w:rPr>
        <w:t xml:space="preserve"> to verify their clinical status. </w:t>
      </w:r>
    </w:p>
    <w:p w14:paraId="32B3FFEC" w14:textId="77777777" w:rsidR="00E06DF5" w:rsidRPr="00204780" w:rsidRDefault="00E06DF5" w:rsidP="00E06DF5">
      <w:pPr>
        <w:spacing w:line="480" w:lineRule="auto"/>
        <w:jc w:val="both"/>
        <w:rPr>
          <w:rFonts w:asciiTheme="minorHAnsi" w:hAnsiTheme="minorHAnsi" w:cstheme="minorHAnsi"/>
          <w:color w:val="000000" w:themeColor="text1"/>
          <w:lang w:val="en-US"/>
        </w:rPr>
      </w:pPr>
    </w:p>
    <w:p w14:paraId="3E6DC3DF" w14:textId="77777777" w:rsidR="00E06DF5" w:rsidRPr="00204780" w:rsidRDefault="00E06DF5" w:rsidP="00E06DF5">
      <w:pPr>
        <w:pStyle w:val="Heading3"/>
      </w:pPr>
      <w:bookmarkStart w:id="1" w:name="_Toc48826563"/>
      <w:r w:rsidRPr="00204780">
        <w:t>Randomization and masking</w:t>
      </w:r>
      <w:bookmarkEnd w:id="1"/>
    </w:p>
    <w:p w14:paraId="14001243" w14:textId="77777777" w:rsidR="00E06DF5" w:rsidRPr="00204780" w:rsidRDefault="00E06DF5" w:rsidP="00E06DF5">
      <w:pPr>
        <w:spacing w:line="480" w:lineRule="auto"/>
        <w:jc w:val="both"/>
        <w:rPr>
          <w:rFonts w:asciiTheme="minorHAnsi" w:hAnsiTheme="minorHAnsi" w:cstheme="minorHAnsi"/>
          <w:color w:val="000000" w:themeColor="text1"/>
          <w:lang w:val="en-US"/>
        </w:rPr>
      </w:pPr>
      <w:r w:rsidRPr="00204780">
        <w:rPr>
          <w:rFonts w:asciiTheme="minorHAnsi" w:hAnsiTheme="minorHAnsi" w:cstheme="minorHAnsi"/>
          <w:color w:val="000000" w:themeColor="text1"/>
          <w:lang w:val="en-US"/>
        </w:rPr>
        <w:t>Randomization (1:1) with</w:t>
      </w:r>
      <w:r>
        <w:rPr>
          <w:rFonts w:asciiTheme="minorHAnsi" w:hAnsiTheme="minorHAnsi" w:cstheme="minorHAnsi"/>
          <w:color w:val="000000" w:themeColor="text1"/>
          <w:lang w:val="en-US"/>
        </w:rPr>
        <w:t xml:space="preserve"> a</w:t>
      </w:r>
      <w:r w:rsidRPr="00204780">
        <w:rPr>
          <w:rFonts w:asciiTheme="minorHAnsi" w:hAnsiTheme="minorHAnsi" w:cstheme="minorHAnsi"/>
          <w:color w:val="000000" w:themeColor="text1"/>
          <w:lang w:val="en-US"/>
        </w:rPr>
        <w:t xml:space="preserve"> computerized system was stratified according to </w:t>
      </w:r>
      <w:r>
        <w:rPr>
          <w:rFonts w:asciiTheme="minorHAnsi" w:hAnsiTheme="minorHAnsi" w:cstheme="minorHAnsi"/>
          <w:color w:val="000000" w:themeColor="text1"/>
          <w:lang w:val="en-US"/>
        </w:rPr>
        <w:t>disease severity</w:t>
      </w:r>
      <w:r w:rsidRPr="00204780">
        <w:rPr>
          <w:rFonts w:asciiTheme="minorHAnsi" w:hAnsiTheme="minorHAnsi" w:cstheme="minorHAnsi"/>
          <w:color w:val="000000" w:themeColor="text1"/>
          <w:lang w:val="en-US"/>
        </w:rPr>
        <w:t xml:space="preserve">. The study was open label without blinding for patients, healthcare workers or investigators. </w:t>
      </w:r>
      <w:r w:rsidRPr="00204780">
        <w:rPr>
          <w:rFonts w:asciiTheme="minorHAnsi" w:hAnsiTheme="minorHAnsi" w:cstheme="minorHAnsi"/>
          <w:color w:val="000000" w:themeColor="text1"/>
          <w:lang w:val="en-US"/>
        </w:rPr>
        <w:lastRenderedPageBreak/>
        <w:t>The biostatisticians who conducted the statistical analyses were blinded to the different treatment groups</w:t>
      </w:r>
      <w:r>
        <w:rPr>
          <w:rFonts w:asciiTheme="minorHAnsi" w:hAnsiTheme="minorHAnsi" w:cstheme="minorHAnsi"/>
          <w:color w:val="000000" w:themeColor="text1"/>
          <w:lang w:val="en-US"/>
        </w:rPr>
        <w:t xml:space="preserve"> during the conduct of the trial</w:t>
      </w:r>
      <w:r w:rsidRPr="00204780">
        <w:rPr>
          <w:rFonts w:asciiTheme="minorHAnsi" w:hAnsiTheme="minorHAnsi" w:cstheme="minorHAnsi"/>
          <w:color w:val="000000" w:themeColor="text1"/>
          <w:lang w:val="en-US"/>
        </w:rPr>
        <w:t xml:space="preserve">. </w:t>
      </w:r>
    </w:p>
    <w:p w14:paraId="61C95C6B" w14:textId="77777777" w:rsidR="00E06DF5" w:rsidRPr="00204780" w:rsidRDefault="00E06DF5" w:rsidP="00E06DF5">
      <w:pPr>
        <w:spacing w:line="480" w:lineRule="auto"/>
        <w:jc w:val="both"/>
        <w:rPr>
          <w:rFonts w:asciiTheme="minorHAnsi" w:hAnsiTheme="minorHAnsi" w:cstheme="minorHAnsi"/>
          <w:color w:val="000000" w:themeColor="text1"/>
          <w:lang w:val="en-US"/>
        </w:rPr>
      </w:pPr>
    </w:p>
    <w:p w14:paraId="04EB6B09" w14:textId="77777777" w:rsidR="00E06DF5" w:rsidRPr="00204780" w:rsidRDefault="00E06DF5" w:rsidP="00E06DF5">
      <w:pPr>
        <w:pStyle w:val="Heading3"/>
      </w:pPr>
      <w:bookmarkStart w:id="2" w:name="_Toc48826564"/>
      <w:r w:rsidRPr="00204780">
        <w:t>Outcomes</w:t>
      </w:r>
      <w:bookmarkEnd w:id="2"/>
    </w:p>
    <w:p w14:paraId="5675FCE7" w14:textId="77777777" w:rsidR="00E06DF5" w:rsidRPr="00204780" w:rsidRDefault="00E06DF5" w:rsidP="00E06DF5">
      <w:pPr>
        <w:spacing w:line="480" w:lineRule="auto"/>
        <w:jc w:val="both"/>
        <w:rPr>
          <w:rFonts w:asciiTheme="minorHAnsi" w:hAnsiTheme="minorHAnsi" w:cstheme="minorHAnsi"/>
          <w:color w:val="000000" w:themeColor="text1"/>
          <w:lang w:val="en-US"/>
        </w:rPr>
      </w:pPr>
      <w:r w:rsidRPr="00204780">
        <w:rPr>
          <w:rFonts w:asciiTheme="minorHAnsi" w:hAnsiTheme="minorHAnsi" w:cstheme="minorHAnsi"/>
          <w:color w:val="000000" w:themeColor="text1"/>
          <w:lang w:val="en-US"/>
        </w:rPr>
        <w:t xml:space="preserve">The primary outcome was defined as cumulative clinical status on day 15. This endpoint consists of the sum of daily clinical status scores on the 7-point WHO ordinal scale from day 1 to 15 included. The WHO ordinal scale consists of the following 7 categories: 1) not hospitalized, no limitations on activities; 2) not hospitalized, limitations on activities; 3) hospitalized, not requiring supplemental oxygen; 4) hospitalized, requiring supplemental oxygen; 5) hospitalized, on non-invasive ventilation or high flow oxygen devices; 6) hospitalized, requiring </w:t>
      </w:r>
      <w:r w:rsidRPr="00E72578">
        <w:rPr>
          <w:rFonts w:asciiTheme="minorHAnsi" w:hAnsiTheme="minorHAnsi" w:cstheme="minorHAnsi"/>
          <w:color w:val="000000" w:themeColor="text1"/>
          <w:lang w:val="en-US"/>
        </w:rPr>
        <w:t>extracorporeal membrane oxygenation</w:t>
      </w:r>
      <w:r>
        <w:rPr>
          <w:rFonts w:asciiTheme="minorHAnsi" w:hAnsiTheme="minorHAnsi" w:cstheme="minorHAnsi"/>
          <w:color w:val="000000" w:themeColor="text1"/>
          <w:lang w:val="en-US"/>
        </w:rPr>
        <w:t xml:space="preserve"> (ECMO) or </w:t>
      </w:r>
      <w:r w:rsidRPr="00204780">
        <w:rPr>
          <w:rFonts w:asciiTheme="minorHAnsi" w:hAnsiTheme="minorHAnsi" w:cstheme="minorHAnsi"/>
          <w:color w:val="000000" w:themeColor="text1"/>
          <w:lang w:val="en-US"/>
        </w:rPr>
        <w:t>invasive mechanical ventilation; and 7) death.</w:t>
      </w:r>
    </w:p>
    <w:p w14:paraId="07741272" w14:textId="77777777" w:rsidR="00E06DF5" w:rsidRPr="00204780" w:rsidRDefault="00E06DF5" w:rsidP="00E06DF5">
      <w:pPr>
        <w:spacing w:line="480" w:lineRule="auto"/>
        <w:jc w:val="both"/>
        <w:rPr>
          <w:rFonts w:asciiTheme="minorHAnsi" w:hAnsiTheme="minorHAnsi" w:cstheme="minorHAnsi"/>
          <w:color w:val="000000" w:themeColor="text1"/>
          <w:lang w:val="en-US"/>
        </w:rPr>
      </w:pPr>
      <w:r w:rsidRPr="00204780">
        <w:rPr>
          <w:rFonts w:asciiTheme="minorHAnsi" w:hAnsiTheme="minorHAnsi" w:cstheme="minorHAnsi"/>
          <w:color w:val="000000" w:themeColor="text1"/>
          <w:lang w:val="en-US"/>
        </w:rPr>
        <w:t>The secondary outcome was defined as time to sustained clinical improvement or live discharge, whichever comes first, whereby a sustained clinical improvement is defined as an improvement of more than 2 points on the 7-point ordinal scale versus the highest value of day 0 and 1 and sustained for at least 3 days. Other secondary outcomes included: time to events (admission to ICU, death, discharge); mortality on day 15 and day 29, duration of supplemental oxygen, need for and duration of mechanical ventilation, duration of hospitalization, duration of intensive care stay, National Early Warning Score (NEWS) assessed daily while hospitalized and on days 15 and 29.</w:t>
      </w:r>
    </w:p>
    <w:p w14:paraId="0AF461CE" w14:textId="77777777" w:rsidR="00E06DF5" w:rsidRPr="00204780" w:rsidRDefault="00E06DF5" w:rsidP="00E06DF5">
      <w:pPr>
        <w:spacing w:line="480" w:lineRule="auto"/>
        <w:jc w:val="both"/>
        <w:rPr>
          <w:rFonts w:asciiTheme="minorHAnsi" w:hAnsiTheme="minorHAnsi" w:cstheme="minorHAnsi"/>
          <w:color w:val="000000" w:themeColor="text1"/>
          <w:lang w:val="en-US"/>
        </w:rPr>
      </w:pPr>
      <w:r w:rsidRPr="00204780">
        <w:rPr>
          <w:rFonts w:asciiTheme="minorHAnsi" w:hAnsiTheme="minorHAnsi" w:cstheme="minorHAnsi"/>
          <w:color w:val="000000" w:themeColor="text1"/>
          <w:lang w:val="en-US"/>
        </w:rPr>
        <w:t>Safety outcomes included adverse events</w:t>
      </w:r>
      <w:r>
        <w:rPr>
          <w:rFonts w:asciiTheme="minorHAnsi" w:hAnsiTheme="minorHAnsi" w:cstheme="minorHAnsi"/>
          <w:color w:val="000000" w:themeColor="text1"/>
          <w:lang w:val="en-US"/>
        </w:rPr>
        <w:t xml:space="preserve"> (AE)</w:t>
      </w:r>
      <w:r w:rsidRPr="00204780">
        <w:rPr>
          <w:rFonts w:asciiTheme="minorHAnsi" w:hAnsiTheme="minorHAnsi" w:cstheme="minorHAnsi"/>
          <w:color w:val="000000" w:themeColor="text1"/>
          <w:lang w:val="en-US"/>
        </w:rPr>
        <w:t xml:space="preserve"> graded as grade 4 or 5 or </w:t>
      </w:r>
      <w:r>
        <w:rPr>
          <w:rFonts w:asciiTheme="minorHAnsi" w:hAnsiTheme="minorHAnsi" w:cstheme="minorHAnsi"/>
          <w:color w:val="000000" w:themeColor="text1"/>
          <w:lang w:val="en-US"/>
        </w:rPr>
        <w:t>serious adverse events (SAE)</w:t>
      </w:r>
      <w:r w:rsidRPr="00204780">
        <w:rPr>
          <w:rFonts w:asciiTheme="minorHAnsi" w:hAnsiTheme="minorHAnsi" w:cstheme="minorHAnsi"/>
          <w:color w:val="000000" w:themeColor="text1"/>
          <w:lang w:val="en-US"/>
        </w:rPr>
        <w:t xml:space="preserve">. Laboratory parameters that were captured </w:t>
      </w:r>
      <w:r w:rsidRPr="00C85EB5">
        <w:rPr>
          <w:rFonts w:asciiTheme="minorHAnsi" w:hAnsiTheme="minorHAnsi" w:cstheme="minorHAnsi"/>
          <w:color w:val="000000" w:themeColor="text1"/>
          <w:lang w:val="en-US"/>
        </w:rPr>
        <w:t>included C-</w:t>
      </w:r>
      <w:r>
        <w:rPr>
          <w:rFonts w:asciiTheme="minorHAnsi" w:hAnsiTheme="minorHAnsi" w:cstheme="minorHAnsi"/>
          <w:color w:val="000000" w:themeColor="text1"/>
          <w:lang w:val="en-US"/>
        </w:rPr>
        <w:t>r</w:t>
      </w:r>
      <w:r w:rsidRPr="00C85EB5">
        <w:rPr>
          <w:rFonts w:asciiTheme="minorHAnsi" w:hAnsiTheme="minorHAnsi" w:cstheme="minorHAnsi"/>
          <w:color w:val="000000" w:themeColor="text1"/>
          <w:lang w:val="en-US"/>
        </w:rPr>
        <w:t xml:space="preserve">eactive Protein, white cell count, absolute neutrophil count, absolute lymphocyte count, hemoglobin, </w:t>
      </w:r>
      <w:r>
        <w:rPr>
          <w:rFonts w:asciiTheme="minorHAnsi" w:hAnsiTheme="minorHAnsi" w:cstheme="minorHAnsi"/>
          <w:color w:val="000000" w:themeColor="text1"/>
          <w:lang w:val="en-US"/>
        </w:rPr>
        <w:t xml:space="preserve">blood </w:t>
      </w:r>
      <w:r w:rsidRPr="00C85EB5">
        <w:rPr>
          <w:rFonts w:asciiTheme="minorHAnsi" w:hAnsiTheme="minorHAnsi" w:cstheme="minorHAnsi"/>
          <w:color w:val="000000" w:themeColor="text1"/>
          <w:lang w:val="en-US"/>
        </w:rPr>
        <w:t>platelet</w:t>
      </w:r>
      <w:r>
        <w:rPr>
          <w:rFonts w:asciiTheme="minorHAnsi" w:hAnsiTheme="minorHAnsi" w:cstheme="minorHAnsi"/>
          <w:color w:val="000000" w:themeColor="text1"/>
          <w:lang w:val="en-US"/>
        </w:rPr>
        <w:t xml:space="preserve"> count</w:t>
      </w:r>
      <w:r w:rsidRPr="00C85EB5">
        <w:rPr>
          <w:rFonts w:asciiTheme="minorHAnsi" w:hAnsiTheme="minorHAnsi" w:cstheme="minorHAnsi"/>
          <w:color w:val="000000" w:themeColor="text1"/>
          <w:lang w:val="en-US"/>
        </w:rPr>
        <w:t xml:space="preserve">, serum creatinine, estimated Glomerular Filtration Rate (eGFR </w:t>
      </w:r>
      <w:r>
        <w:rPr>
          <w:rFonts w:asciiTheme="minorHAnsi" w:hAnsiTheme="minorHAnsi" w:cstheme="minorHAnsi"/>
          <w:color w:val="000000" w:themeColor="text1"/>
          <w:lang w:val="en-US"/>
        </w:rPr>
        <w:t xml:space="preserve">according to </w:t>
      </w:r>
      <w:r w:rsidRPr="00C85EB5">
        <w:rPr>
          <w:rFonts w:asciiTheme="minorHAnsi" w:hAnsiTheme="minorHAnsi" w:cstheme="minorHAnsi"/>
          <w:color w:val="000000" w:themeColor="text1"/>
          <w:lang w:val="en-US"/>
        </w:rPr>
        <w:t xml:space="preserve">CKD-EPI), </w:t>
      </w:r>
      <w:proofErr w:type="spellStart"/>
      <w:r w:rsidRPr="00C85EB5">
        <w:rPr>
          <w:rFonts w:asciiTheme="minorHAnsi" w:hAnsiTheme="minorHAnsi" w:cstheme="minorHAnsi"/>
          <w:color w:val="000000" w:themeColor="text1"/>
          <w:lang w:val="en-US"/>
        </w:rPr>
        <w:lastRenderedPageBreak/>
        <w:t>hs-TroponinT</w:t>
      </w:r>
      <w:proofErr w:type="spellEnd"/>
      <w:r w:rsidRPr="00C85EB5">
        <w:rPr>
          <w:rFonts w:asciiTheme="minorHAnsi" w:hAnsiTheme="minorHAnsi" w:cstheme="minorHAnsi"/>
          <w:color w:val="000000" w:themeColor="text1"/>
          <w:lang w:val="en-US"/>
        </w:rPr>
        <w:t xml:space="preserve">, glucose, potassium, total bilirubin, ALT, and AST </w:t>
      </w:r>
      <w:r>
        <w:rPr>
          <w:rFonts w:asciiTheme="minorHAnsi" w:hAnsiTheme="minorHAnsi" w:cstheme="minorHAnsi"/>
          <w:color w:val="000000" w:themeColor="text1"/>
          <w:lang w:val="en-US"/>
        </w:rPr>
        <w:t>if</w:t>
      </w:r>
      <w:r w:rsidRPr="00C85EB5">
        <w:rPr>
          <w:rFonts w:asciiTheme="minorHAnsi" w:hAnsiTheme="minorHAnsi" w:cstheme="minorHAnsi"/>
          <w:color w:val="000000" w:themeColor="text1"/>
          <w:lang w:val="en-US"/>
        </w:rPr>
        <w:t xml:space="preserve"> measured as part of routine clinical practice.</w:t>
      </w:r>
      <w:r>
        <w:rPr>
          <w:rFonts w:asciiTheme="minorHAnsi" w:hAnsiTheme="minorHAnsi" w:cstheme="minorHAnsi"/>
          <w:color w:val="000000" w:themeColor="text1"/>
          <w:lang w:val="en-US"/>
        </w:rPr>
        <w:t xml:space="preserve"> </w:t>
      </w:r>
      <w:r w:rsidRPr="00204780">
        <w:rPr>
          <w:rFonts w:asciiTheme="minorHAnsi" w:hAnsiTheme="minorHAnsi" w:cstheme="minorHAnsi"/>
          <w:color w:val="000000" w:themeColor="text1"/>
          <w:lang w:val="en-US"/>
        </w:rPr>
        <w:t>The qualitative and quantitative PCR for SARS-CoV-2 in (nasopharyngeal) swab on day 1 and day 6 were exploratory outcomes. A team of cardiologists monitored absolute QTc and delta QTc interval between baseline ECG and follow-up ECG at day 2</w:t>
      </w:r>
      <w:r>
        <w:rPr>
          <w:rFonts w:asciiTheme="minorHAnsi" w:hAnsiTheme="minorHAnsi" w:cstheme="minorHAnsi"/>
          <w:color w:val="000000" w:themeColor="text1"/>
          <w:lang w:val="en-US"/>
        </w:rPr>
        <w:t xml:space="preserve"> </w:t>
      </w:r>
      <w:r w:rsidRPr="00204780">
        <w:rPr>
          <w:rFonts w:asciiTheme="minorHAnsi" w:hAnsiTheme="minorHAnsi" w:cstheme="minorHAnsi"/>
          <w:color w:val="000000" w:themeColor="text1"/>
          <w:lang w:val="en-US"/>
        </w:rPr>
        <w:t>or 3, or with continuous ECG monitoring on ICU. A team of clinical pharmacists monitored all patients for drug-drug interactions.</w:t>
      </w:r>
      <w:r>
        <w:rPr>
          <w:rFonts w:asciiTheme="minorHAnsi" w:hAnsiTheme="minorHAnsi" w:cstheme="minorHAnsi"/>
          <w:color w:val="000000" w:themeColor="text1"/>
          <w:lang w:val="en-US"/>
        </w:rPr>
        <w:t xml:space="preserve"> </w:t>
      </w:r>
    </w:p>
    <w:p w14:paraId="5C58CCC3" w14:textId="77777777" w:rsidR="00E06DF5" w:rsidRPr="00204780" w:rsidRDefault="00E06DF5" w:rsidP="00E06DF5">
      <w:pPr>
        <w:spacing w:line="480" w:lineRule="auto"/>
        <w:jc w:val="both"/>
        <w:rPr>
          <w:rFonts w:asciiTheme="minorHAnsi" w:hAnsiTheme="minorHAnsi" w:cstheme="minorHAnsi"/>
          <w:color w:val="000000" w:themeColor="text1"/>
          <w:lang w:val="en-US"/>
        </w:rPr>
      </w:pPr>
    </w:p>
    <w:p w14:paraId="55B44621" w14:textId="77777777" w:rsidR="00E06DF5" w:rsidRPr="00204780" w:rsidRDefault="00E06DF5" w:rsidP="00E06DF5">
      <w:pPr>
        <w:pStyle w:val="Heading3"/>
      </w:pPr>
      <w:r w:rsidRPr="00204780">
        <w:t>Pharmacokinetic analysis</w:t>
      </w:r>
    </w:p>
    <w:p w14:paraId="7FF35266" w14:textId="77777777" w:rsidR="00E06DF5" w:rsidRPr="00204780" w:rsidRDefault="00E06DF5" w:rsidP="00E06DF5">
      <w:pPr>
        <w:spacing w:line="48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If feasible, </w:t>
      </w:r>
      <w:r w:rsidRPr="00204780">
        <w:rPr>
          <w:rFonts w:asciiTheme="minorHAnsi" w:hAnsiTheme="minorHAnsi" w:cstheme="minorHAnsi"/>
          <w:color w:val="000000" w:themeColor="text1"/>
          <w:lang w:val="en-US"/>
        </w:rPr>
        <w:t>itraconazole and its main metabolite, hydroxy-itraconazole, trough concentrations</w:t>
      </w:r>
      <w:r>
        <w:rPr>
          <w:rFonts w:asciiTheme="minorHAnsi" w:hAnsiTheme="minorHAnsi" w:cstheme="minorHAnsi"/>
          <w:color w:val="000000" w:themeColor="text1"/>
          <w:lang w:val="en-US"/>
        </w:rPr>
        <w:t xml:space="preserve"> were</w:t>
      </w:r>
      <w:r w:rsidRPr="00204780">
        <w:rPr>
          <w:rFonts w:asciiTheme="minorHAnsi" w:hAnsiTheme="minorHAnsi" w:cstheme="minorHAnsi"/>
          <w:color w:val="000000" w:themeColor="text1"/>
          <w:lang w:val="en-US"/>
        </w:rPr>
        <w:t xml:space="preserve"> obtained</w:t>
      </w:r>
      <w:r>
        <w:rPr>
          <w:rFonts w:asciiTheme="minorHAnsi" w:hAnsiTheme="minorHAnsi" w:cstheme="minorHAnsi"/>
          <w:color w:val="000000" w:themeColor="text1"/>
          <w:lang w:val="en-US"/>
        </w:rPr>
        <w:t xml:space="preserve"> at different time points,</w:t>
      </w:r>
      <w:r w:rsidRPr="00204780">
        <w:rPr>
          <w:rFonts w:asciiTheme="minorHAnsi" w:hAnsiTheme="minorHAnsi" w:cstheme="minorHAnsi"/>
          <w:color w:val="000000" w:themeColor="text1"/>
          <w:lang w:val="en-US"/>
        </w:rPr>
        <w:t xml:space="preserve"> just before the next dose.</w:t>
      </w:r>
      <w:r>
        <w:rPr>
          <w:rFonts w:asciiTheme="minorHAnsi" w:hAnsiTheme="minorHAnsi" w:cstheme="minorHAnsi"/>
          <w:color w:val="000000" w:themeColor="text1"/>
          <w:lang w:val="en-US"/>
        </w:rPr>
        <w:t xml:space="preserve"> </w:t>
      </w:r>
      <w:r w:rsidRPr="00FB240E">
        <w:rPr>
          <w:rFonts w:asciiTheme="minorHAnsi" w:hAnsiTheme="minorHAnsi" w:cstheme="minorHAnsi"/>
          <w:color w:val="000000" w:themeColor="text1"/>
          <w:lang w:val="en-US"/>
        </w:rPr>
        <w:t xml:space="preserve">Itraconazole and </w:t>
      </w:r>
      <w:proofErr w:type="spellStart"/>
      <w:r w:rsidRPr="00FB240E">
        <w:rPr>
          <w:rFonts w:asciiTheme="minorHAnsi" w:hAnsiTheme="minorHAnsi" w:cstheme="minorHAnsi"/>
          <w:color w:val="000000" w:themeColor="text1"/>
          <w:lang w:val="en-US"/>
        </w:rPr>
        <w:t>hydrox</w:t>
      </w:r>
      <w:proofErr w:type="spellEnd"/>
      <w:r w:rsidRPr="00FB240E">
        <w:rPr>
          <w:rFonts w:asciiTheme="minorHAnsi" w:hAnsiTheme="minorHAnsi" w:cstheme="minorHAnsi"/>
          <w:color w:val="000000" w:themeColor="text1"/>
          <w:lang w:val="en-US"/>
        </w:rPr>
        <w:t xml:space="preserve">-itraconazole concentrations were determined with liquid chromatography tandem mass spectrometry (Waters </w:t>
      </w:r>
      <w:proofErr w:type="spellStart"/>
      <w:r w:rsidRPr="00FB240E">
        <w:rPr>
          <w:rFonts w:asciiTheme="minorHAnsi" w:hAnsiTheme="minorHAnsi" w:cstheme="minorHAnsi"/>
          <w:color w:val="000000" w:themeColor="text1"/>
          <w:lang w:val="en-US"/>
        </w:rPr>
        <w:t>Acquity</w:t>
      </w:r>
      <w:proofErr w:type="spellEnd"/>
      <w:r w:rsidRPr="00FB240E">
        <w:rPr>
          <w:rFonts w:asciiTheme="minorHAnsi" w:hAnsiTheme="minorHAnsi" w:cstheme="minorHAnsi"/>
          <w:color w:val="000000" w:themeColor="text1"/>
          <w:lang w:val="en-US"/>
        </w:rPr>
        <w:t xml:space="preserve"> TDQ system with Recipe </w:t>
      </w:r>
      <w:proofErr w:type="spellStart"/>
      <w:r w:rsidRPr="00FB240E">
        <w:rPr>
          <w:rFonts w:asciiTheme="minorHAnsi" w:hAnsiTheme="minorHAnsi" w:cstheme="minorHAnsi"/>
          <w:color w:val="000000" w:themeColor="text1"/>
          <w:lang w:val="en-US"/>
        </w:rPr>
        <w:t>ClinMass</w:t>
      </w:r>
      <w:proofErr w:type="spellEnd"/>
      <w:r w:rsidRPr="00FB240E">
        <w:rPr>
          <w:rFonts w:asciiTheme="minorHAnsi" w:hAnsiTheme="minorHAnsi" w:cstheme="minorHAnsi"/>
          <w:color w:val="000000" w:themeColor="text1"/>
          <w:lang w:val="en-US"/>
        </w:rPr>
        <w:t>® antimycotics kit).</w:t>
      </w:r>
      <w:r w:rsidRPr="00204780">
        <w:rPr>
          <w:rFonts w:asciiTheme="minorHAnsi" w:hAnsiTheme="minorHAnsi" w:cstheme="minorHAnsi"/>
          <w:color w:val="000000" w:themeColor="text1"/>
          <w:lang w:val="en-US"/>
        </w:rPr>
        <w:t xml:space="preserve"> The trough concentrations measured before and after 72 hours after initiation of treatment </w:t>
      </w:r>
      <w:r>
        <w:rPr>
          <w:rFonts w:asciiTheme="minorHAnsi" w:hAnsiTheme="minorHAnsi" w:cstheme="minorHAnsi"/>
          <w:color w:val="000000" w:themeColor="text1"/>
          <w:lang w:val="en-US"/>
        </w:rPr>
        <w:t>were</w:t>
      </w:r>
      <w:r w:rsidRPr="00204780">
        <w:rPr>
          <w:rFonts w:asciiTheme="minorHAnsi" w:hAnsiTheme="minorHAnsi" w:cstheme="minorHAnsi"/>
          <w:color w:val="000000" w:themeColor="text1"/>
          <w:lang w:val="en-US"/>
        </w:rPr>
        <w:t xml:space="preserve"> defined as early and late exposure, respectively. </w:t>
      </w:r>
    </w:p>
    <w:p w14:paraId="34AD2145" w14:textId="77777777" w:rsidR="00E06DF5" w:rsidRPr="00204780" w:rsidRDefault="00E06DF5" w:rsidP="00E06DF5">
      <w:pPr>
        <w:tabs>
          <w:tab w:val="left" w:pos="2844"/>
        </w:tabs>
        <w:spacing w:line="480" w:lineRule="auto"/>
        <w:jc w:val="both"/>
        <w:rPr>
          <w:rFonts w:asciiTheme="minorHAnsi" w:hAnsiTheme="minorHAnsi" w:cstheme="minorHAnsi"/>
          <w:color w:val="000000" w:themeColor="text1"/>
          <w:lang w:val="en-US"/>
        </w:rPr>
      </w:pPr>
    </w:p>
    <w:p w14:paraId="70E2249D" w14:textId="77777777" w:rsidR="00E06DF5" w:rsidRPr="00204780" w:rsidRDefault="00E06DF5" w:rsidP="00E06DF5">
      <w:pPr>
        <w:pStyle w:val="Heading3"/>
      </w:pPr>
      <w:bookmarkStart w:id="3" w:name="_Toc48826565"/>
      <w:r w:rsidRPr="00204780">
        <w:t>Statistical analysis</w:t>
      </w:r>
      <w:bookmarkEnd w:id="3"/>
    </w:p>
    <w:p w14:paraId="2EA37EFE" w14:textId="77777777" w:rsidR="00E06DF5" w:rsidRPr="00204780" w:rsidRDefault="00E06DF5" w:rsidP="00E06DF5">
      <w:pPr>
        <w:shd w:val="clear" w:color="auto" w:fill="FFFFFF"/>
        <w:spacing w:line="48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Preclinical studies were analyzed</w:t>
      </w:r>
      <w:r w:rsidRPr="00204780">
        <w:rPr>
          <w:rFonts w:asciiTheme="minorHAnsi" w:hAnsiTheme="minorHAnsi" w:cstheme="minorHAnsi"/>
          <w:color w:val="000000" w:themeColor="text1"/>
          <w:lang w:val="en-US"/>
        </w:rPr>
        <w:t xml:space="preserve"> with GraphPad Prism (GraphPad Software, Inc.); the non-parametric Mann Whitney U-test was used to ascertain statistical significance; a P value ≤0.05 was considered significant.</w:t>
      </w:r>
    </w:p>
    <w:p w14:paraId="514B95BD" w14:textId="77777777" w:rsidR="00E06DF5" w:rsidRDefault="00E06DF5" w:rsidP="00E06DF5">
      <w:pPr>
        <w:spacing w:line="480" w:lineRule="auto"/>
        <w:jc w:val="both"/>
        <w:rPr>
          <w:rFonts w:asciiTheme="minorHAnsi" w:hAnsiTheme="minorHAnsi" w:cstheme="minorHAnsi"/>
          <w:color w:val="000000" w:themeColor="text1"/>
          <w:lang w:val="en-US"/>
        </w:rPr>
      </w:pPr>
      <w:r w:rsidRPr="00204780">
        <w:rPr>
          <w:rFonts w:asciiTheme="minorHAnsi" w:hAnsiTheme="minorHAnsi" w:cstheme="minorHAnsi"/>
          <w:color w:val="000000" w:themeColor="text1"/>
          <w:lang w:val="en-US"/>
        </w:rPr>
        <w:t xml:space="preserve">Analyses of the clinical data were performed with SAS software version 9.41. </w:t>
      </w:r>
      <w:r>
        <w:rPr>
          <w:rFonts w:asciiTheme="minorHAnsi" w:hAnsiTheme="minorHAnsi" w:cstheme="minorHAnsi"/>
          <w:color w:val="000000" w:themeColor="text1"/>
          <w:lang w:val="en-US"/>
        </w:rPr>
        <w:t xml:space="preserve">All treatment comparisons made using two-sided tests at a significance level of 5% and were adjusted for disease severity, to account for the stratified randomization. For all outcomes, the treatment effect was estimated using an appropriate measure and presented along with its 95% confidence interval. All analyses were performed on this Full Analysis Set (FAS) which included </w:t>
      </w:r>
      <w:r>
        <w:rPr>
          <w:rFonts w:asciiTheme="minorHAnsi" w:hAnsiTheme="minorHAnsi" w:cstheme="minorHAnsi"/>
          <w:color w:val="000000" w:themeColor="text1"/>
          <w:lang w:val="en-US"/>
        </w:rPr>
        <w:lastRenderedPageBreak/>
        <w:t>all randomized patients, with the exception of randomized patients that violated the following eligibility criteria:</w:t>
      </w:r>
    </w:p>
    <w:p w14:paraId="5BBC47BA" w14:textId="77777777" w:rsidR="00E06DF5" w:rsidRDefault="00E06DF5" w:rsidP="00E06DF5">
      <w:pPr>
        <w:pStyle w:val="ListParagraph"/>
        <w:numPr>
          <w:ilvl w:val="0"/>
          <w:numId w:val="1"/>
        </w:numPr>
        <w:spacing w:line="48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No confirmed diagnosis of COVID-19.</w:t>
      </w:r>
    </w:p>
    <w:p w14:paraId="6118A321" w14:textId="77777777" w:rsidR="00E06DF5" w:rsidRPr="00EA69A8" w:rsidRDefault="00E06DF5" w:rsidP="00E06DF5">
      <w:pPr>
        <w:pStyle w:val="ListParagraph"/>
        <w:numPr>
          <w:ilvl w:val="0"/>
          <w:numId w:val="1"/>
        </w:numPr>
        <w:spacing w:line="48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Known drug-drug interaction with </w:t>
      </w:r>
      <w:proofErr w:type="spellStart"/>
      <w:r>
        <w:rPr>
          <w:rFonts w:asciiTheme="minorHAnsi" w:hAnsiTheme="minorHAnsi" w:cstheme="minorHAnsi"/>
          <w:color w:val="000000" w:themeColor="text1"/>
          <w:lang w:val="en-US"/>
        </w:rPr>
        <w:t>Intraconazole</w:t>
      </w:r>
      <w:proofErr w:type="spellEnd"/>
      <w:r>
        <w:rPr>
          <w:rFonts w:asciiTheme="minorHAnsi" w:hAnsiTheme="minorHAnsi" w:cstheme="minorHAnsi"/>
          <w:color w:val="000000" w:themeColor="text1"/>
          <w:lang w:val="en-US"/>
        </w:rPr>
        <w:t>.</w:t>
      </w:r>
    </w:p>
    <w:p w14:paraId="09370CCC" w14:textId="77777777" w:rsidR="00E06DF5" w:rsidRDefault="00E06DF5" w:rsidP="00E06DF5">
      <w:pPr>
        <w:spacing w:line="48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Missing Clinical Status data up to Day 29 were accounted for by means of multiple imputation, using a total of 100 imputations. The cumulative clinical status was analyzed using a general linear model adjusted for the status at baseline and disease severity after log-transformation, thus yielding the ratio of geometric means between the treatment groups. Time-to-event data were analyzed using a Cox regression or, in the presence of competing risks, a </w:t>
      </w:r>
      <w:proofErr w:type="spellStart"/>
      <w:r>
        <w:rPr>
          <w:rFonts w:asciiTheme="minorHAnsi" w:hAnsiTheme="minorHAnsi" w:cstheme="minorHAnsi"/>
          <w:color w:val="000000" w:themeColor="text1"/>
          <w:lang w:val="en-US"/>
        </w:rPr>
        <w:t>Fine&amp;Gray</w:t>
      </w:r>
      <w:proofErr w:type="spellEnd"/>
      <w:r>
        <w:rPr>
          <w:rFonts w:asciiTheme="minorHAnsi" w:hAnsiTheme="minorHAnsi" w:cstheme="minorHAnsi"/>
          <w:color w:val="000000" w:themeColor="text1"/>
          <w:lang w:val="en-US"/>
        </w:rPr>
        <w:t xml:space="preserve"> regression model, yielding hazard ratios and </w:t>
      </w:r>
      <w:proofErr w:type="spellStart"/>
      <w:r>
        <w:rPr>
          <w:rFonts w:asciiTheme="minorHAnsi" w:hAnsiTheme="minorHAnsi" w:cstheme="minorHAnsi"/>
          <w:color w:val="000000" w:themeColor="text1"/>
          <w:lang w:val="en-US"/>
        </w:rPr>
        <w:t>subdistribution</w:t>
      </w:r>
      <w:proofErr w:type="spellEnd"/>
      <w:r>
        <w:rPr>
          <w:rFonts w:asciiTheme="minorHAnsi" w:hAnsiTheme="minorHAnsi" w:cstheme="minorHAnsi"/>
          <w:color w:val="000000" w:themeColor="text1"/>
          <w:lang w:val="en-US"/>
        </w:rPr>
        <w:t xml:space="preserve"> hazard ratios, respectively.</w:t>
      </w:r>
    </w:p>
    <w:p w14:paraId="1FF29F7D" w14:textId="77777777" w:rsidR="00E06DF5" w:rsidRPr="00204780" w:rsidRDefault="00E06DF5" w:rsidP="00E06DF5">
      <w:pPr>
        <w:spacing w:line="48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Full details of all statistical analyses are provided in Statistical Analysis which is provided in the online Supplement.</w:t>
      </w:r>
    </w:p>
    <w:p w14:paraId="39DD4CC9" w14:textId="77777777" w:rsidR="00E06DF5" w:rsidRDefault="00E06DF5" w:rsidP="00E06DF5">
      <w:pPr>
        <w:spacing w:line="480" w:lineRule="auto"/>
        <w:jc w:val="both"/>
        <w:rPr>
          <w:rFonts w:asciiTheme="minorHAnsi" w:hAnsiTheme="minorHAnsi" w:cstheme="minorHAnsi"/>
          <w:color w:val="000000" w:themeColor="text1"/>
          <w:lang w:val="en-US"/>
        </w:rPr>
      </w:pPr>
      <w:r w:rsidRPr="00204780">
        <w:rPr>
          <w:rFonts w:asciiTheme="minorHAnsi" w:hAnsiTheme="minorHAnsi" w:cstheme="minorHAnsi"/>
          <w:color w:val="000000" w:themeColor="text1"/>
          <w:lang w:val="en-US"/>
        </w:rPr>
        <w:t xml:space="preserve">Sample size estimation was based on the clinical scores on day 7 and day 15 from previously published COVID-19 clinical trial data </w:t>
      </w:r>
      <w:r w:rsidRPr="00204780">
        <w:rPr>
          <w:rFonts w:asciiTheme="minorHAnsi" w:hAnsiTheme="minorHAnsi" w:cstheme="minorHAnsi"/>
          <w:color w:val="000000" w:themeColor="text1"/>
        </w:rPr>
        <w:fldChar w:fldCharType="begin">
          <w:fldData xml:space="preserve">PEVuZE5vdGU+PENpdGU+PEF1dGhvcj5DYW88L0F1dGhvcj48WWVhcj4yMDIwPC9ZZWFyPjxSZWNO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</w:fldData>
        </w:fldChar>
      </w:r>
      <w:r w:rsidRPr="00E06DF5">
        <w:rPr>
          <w:rFonts w:asciiTheme="minorHAnsi" w:hAnsiTheme="minorHAnsi" w:cstheme="minorHAnsi"/>
          <w:color w:val="000000" w:themeColor="text1"/>
          <w:lang w:val="en-US"/>
        </w:rPr>
        <w:instrText xml:space="preserve"> ADDIN EN.CITE </w:instrText>
      </w:r>
      <w:r>
        <w:rPr>
          <w:rFonts w:asciiTheme="minorHAnsi" w:hAnsiTheme="minorHAnsi" w:cstheme="minorHAnsi"/>
          <w:color w:val="000000" w:themeColor="text1"/>
        </w:rPr>
        <w:fldChar w:fldCharType="begin">
          <w:fldData xml:space="preserve">PEVuZE5vdGU+PENpdGU+PEF1dGhvcj5DYW88L0F1dGhvcj48WWVhcj4yMDIwPC9ZZWFyPjxSZWNO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</w:fldData>
        </w:fldChar>
      </w:r>
      <w:r w:rsidRPr="00E06DF5">
        <w:rPr>
          <w:rFonts w:asciiTheme="minorHAnsi" w:hAnsiTheme="minorHAnsi" w:cstheme="minorHAnsi"/>
          <w:color w:val="000000" w:themeColor="text1"/>
          <w:lang w:val="en-US"/>
        </w:rPr>
        <w:instrText xml:space="preserve"> ADDIN EN.CITE.DATA </w:instrText>
      </w:r>
      <w:r>
        <w:rPr>
          <w:rFonts w:asciiTheme="minorHAnsi" w:hAnsiTheme="minorHAnsi" w:cstheme="minorHAnsi"/>
          <w:color w:val="000000" w:themeColor="text1"/>
        </w:rPr>
      </w:r>
      <w:r>
        <w:rPr>
          <w:rFonts w:asciiTheme="minorHAnsi" w:hAnsiTheme="minorHAnsi" w:cstheme="minorHAnsi"/>
          <w:color w:val="000000" w:themeColor="text1"/>
        </w:rPr>
        <w:fldChar w:fldCharType="end"/>
      </w:r>
      <w:r w:rsidRPr="00204780">
        <w:rPr>
          <w:rFonts w:asciiTheme="minorHAnsi" w:hAnsiTheme="minorHAnsi" w:cstheme="minorHAnsi"/>
          <w:color w:val="000000" w:themeColor="text1"/>
        </w:rPr>
      </w:r>
      <w:r w:rsidRPr="00204780">
        <w:rPr>
          <w:rFonts w:asciiTheme="minorHAnsi" w:hAnsiTheme="minorHAnsi" w:cstheme="minorHAnsi"/>
          <w:color w:val="000000" w:themeColor="text1"/>
        </w:rPr>
        <w:fldChar w:fldCharType="separate"/>
      </w:r>
      <w:r w:rsidRPr="00A23169">
        <w:rPr>
          <w:rFonts w:asciiTheme="minorHAnsi" w:hAnsiTheme="minorHAnsi" w:cstheme="minorHAnsi"/>
          <w:noProof/>
          <w:color w:val="000000" w:themeColor="text1"/>
          <w:vertAlign w:val="superscript"/>
          <w:lang w:val="en-US"/>
        </w:rPr>
        <w:t>14</w:t>
      </w:r>
      <w:r w:rsidRPr="00204780">
        <w:rPr>
          <w:rFonts w:asciiTheme="minorHAnsi" w:hAnsiTheme="minorHAnsi" w:cstheme="minorHAnsi"/>
          <w:color w:val="000000" w:themeColor="text1"/>
        </w:rPr>
        <w:fldChar w:fldCharType="end"/>
      </w:r>
      <w:r w:rsidRPr="00204780">
        <w:rPr>
          <w:rFonts w:asciiTheme="minorHAnsi" w:hAnsiTheme="minorHAnsi" w:cstheme="minorHAnsi"/>
          <w:color w:val="000000" w:themeColor="text1"/>
          <w:lang w:val="en-US"/>
        </w:rPr>
        <w:t>. The mean cumulative clinical severity score on day 15 was estimated to be 60, with a standard deviation of 20. With a power of 0.8 and an alpha of 0.05, sample size estimates to detect a 5-point difference and an 8-point difference in cumulative clinical severity score required 502 patients (251 in each group) and 196 patients (2 times 98), respectively. No formal interim analyses for efficacy or futility were foreseen. A Data Safety Monitoring Board</w:t>
      </w:r>
      <w:r>
        <w:rPr>
          <w:rFonts w:asciiTheme="minorHAnsi" w:hAnsiTheme="minorHAnsi" w:cstheme="minorHAnsi"/>
          <w:color w:val="000000" w:themeColor="text1"/>
          <w:lang w:val="en-US"/>
        </w:rPr>
        <w:t xml:space="preserve"> </w:t>
      </w:r>
      <w:r w:rsidRPr="00204780">
        <w:rPr>
          <w:rFonts w:asciiTheme="minorHAnsi" w:hAnsiTheme="minorHAnsi" w:cstheme="minorHAnsi"/>
          <w:color w:val="000000" w:themeColor="text1"/>
          <w:lang w:val="en-US"/>
        </w:rPr>
        <w:t>review</w:t>
      </w:r>
      <w:r>
        <w:rPr>
          <w:rFonts w:asciiTheme="minorHAnsi" w:hAnsiTheme="minorHAnsi" w:cstheme="minorHAnsi"/>
          <w:color w:val="000000" w:themeColor="text1"/>
          <w:lang w:val="en-US"/>
        </w:rPr>
        <w:t>ed</w:t>
      </w:r>
      <w:r w:rsidRPr="00204780">
        <w:rPr>
          <w:rFonts w:asciiTheme="minorHAnsi" w:hAnsiTheme="minorHAnsi" w:cstheme="minorHAnsi"/>
          <w:color w:val="000000" w:themeColor="text1"/>
          <w:lang w:val="en-US"/>
        </w:rPr>
        <w:t xml:space="preserve"> the safety data </w:t>
      </w:r>
      <w:r>
        <w:rPr>
          <w:rFonts w:asciiTheme="minorHAnsi" w:hAnsiTheme="minorHAnsi" w:cstheme="minorHAnsi"/>
          <w:color w:val="000000" w:themeColor="text1"/>
          <w:lang w:val="en-US"/>
        </w:rPr>
        <w:t>(see charter in the Supplementary Appendix)</w:t>
      </w:r>
      <w:r w:rsidRPr="00204780">
        <w:rPr>
          <w:rFonts w:asciiTheme="minorHAnsi" w:hAnsiTheme="minorHAnsi" w:cstheme="minorHAnsi"/>
          <w:color w:val="000000" w:themeColor="text1"/>
          <w:lang w:val="en-US"/>
        </w:rPr>
        <w:t xml:space="preserve">. </w:t>
      </w:r>
    </w:p>
    <w:p w14:paraId="60312A55" w14:textId="7B9CE362" w:rsidR="00E06DF5" w:rsidRDefault="00E06DF5" w:rsidP="00E06DF5">
      <w:pPr>
        <w:spacing w:line="480" w:lineRule="auto"/>
        <w:jc w:val="both"/>
        <w:rPr>
          <w:rFonts w:asciiTheme="minorHAnsi" w:hAnsiTheme="minorHAnsi" w:cstheme="minorHAnsi"/>
          <w:color w:val="000000" w:themeColor="text1"/>
          <w:lang w:val="en-US"/>
        </w:rPr>
      </w:pPr>
      <w:r w:rsidRPr="00204780">
        <w:rPr>
          <w:rFonts w:asciiTheme="minorHAnsi" w:hAnsiTheme="minorHAnsi" w:cstheme="minorHAnsi"/>
          <w:color w:val="000000" w:themeColor="text1"/>
          <w:lang w:val="en-US"/>
        </w:rPr>
        <w:t xml:space="preserve">Descriptive analysis </w:t>
      </w:r>
      <w:r>
        <w:rPr>
          <w:rFonts w:asciiTheme="minorHAnsi" w:hAnsiTheme="minorHAnsi" w:cstheme="minorHAnsi"/>
          <w:color w:val="000000" w:themeColor="text1"/>
          <w:lang w:val="en-US"/>
        </w:rPr>
        <w:t xml:space="preserve">of the pharmacokinetic analysis </w:t>
      </w:r>
      <w:r w:rsidRPr="00204780">
        <w:rPr>
          <w:rFonts w:asciiTheme="minorHAnsi" w:hAnsiTheme="minorHAnsi" w:cstheme="minorHAnsi"/>
          <w:color w:val="000000" w:themeColor="text1"/>
          <w:lang w:val="en-US"/>
        </w:rPr>
        <w:t>was carried out in R Statistics (version 3.5.1, R Core Team).</w:t>
      </w:r>
    </w:p>
    <w:p w14:paraId="4CCC0ED4" w14:textId="4B61A7F7" w:rsidR="00E06DF5" w:rsidRDefault="00E06DF5" w:rsidP="00E06DF5">
      <w:pPr>
        <w:spacing w:line="480" w:lineRule="auto"/>
        <w:jc w:val="both"/>
        <w:rPr>
          <w:rFonts w:asciiTheme="minorHAnsi" w:hAnsiTheme="minorHAnsi" w:cstheme="minorHAnsi"/>
          <w:color w:val="000000" w:themeColor="text1"/>
          <w:lang w:val="en-US"/>
        </w:rPr>
      </w:pPr>
    </w:p>
    <w:p w14:paraId="7C759D79" w14:textId="472716A1" w:rsidR="00E06DF5" w:rsidRDefault="00E06DF5" w:rsidP="00E06DF5">
      <w:pPr>
        <w:spacing w:line="480" w:lineRule="auto"/>
        <w:jc w:val="both"/>
        <w:rPr>
          <w:rFonts w:asciiTheme="minorHAnsi" w:hAnsiTheme="minorHAnsi" w:cstheme="minorHAnsi"/>
          <w:color w:val="000000" w:themeColor="text1"/>
          <w:lang w:val="en-US"/>
        </w:rPr>
      </w:pPr>
    </w:p>
    <w:p w14:paraId="2DA59990" w14:textId="77777777" w:rsidR="00E06DF5" w:rsidRDefault="00E06DF5" w:rsidP="00E06DF5">
      <w:pPr>
        <w:pStyle w:val="Heading1"/>
      </w:pPr>
    </w:p>
    <w:p w14:paraId="4BA67702" w14:textId="1C8822A3" w:rsidR="00E06DF5" w:rsidRPr="00E06DF5" w:rsidRDefault="00E06DF5" w:rsidP="00E06DF5">
      <w:pPr>
        <w:pStyle w:val="Heading1"/>
        <w:rPr>
          <w:color w:val="000000" w:themeColor="text1"/>
        </w:rPr>
      </w:pPr>
      <w:r w:rsidRPr="00E06DF5">
        <w:rPr>
          <w:color w:val="000000" w:themeColor="text1"/>
        </w:rPr>
        <w:t>Results</w:t>
      </w:r>
    </w:p>
    <w:p w14:paraId="352D6A1F" w14:textId="6E465DC4" w:rsidR="00E06DF5" w:rsidRPr="00204780" w:rsidRDefault="00E06DF5" w:rsidP="00E06DF5">
      <w:pPr>
        <w:spacing w:line="480" w:lineRule="auto"/>
        <w:jc w:val="both"/>
        <w:rPr>
          <w:rFonts w:asciiTheme="minorHAnsi" w:hAnsiTheme="minorHAnsi" w:cstheme="minorHAnsi"/>
          <w:color w:val="000000" w:themeColor="text1"/>
          <w:lang w:val="en-US"/>
        </w:rPr>
      </w:pPr>
      <w:r w:rsidRPr="00204780">
        <w:rPr>
          <w:rFonts w:asciiTheme="minorHAnsi" w:hAnsiTheme="minorHAnsi" w:cstheme="minorHAnsi"/>
          <w:color w:val="000000" w:themeColor="text1"/>
          <w:lang w:val="en-US"/>
        </w:rPr>
        <w:t xml:space="preserve">Patients were recruited in March and April 2020. Of the 152 patients who were screened for eligibility, 68 were enrolled. Three patients were excluded from the Full Analysis Set: two patients had no documented COVID-19 and one patient did not fulfill in- and exclusion criteria because of drug-drug interactions. </w:t>
      </w:r>
      <w:r w:rsidRPr="00C20A3B">
        <w:rPr>
          <w:rFonts w:asciiTheme="minorHAnsi" w:hAnsiTheme="minorHAnsi" w:cstheme="minorHAnsi"/>
          <w:color w:val="000000" w:themeColor="text1"/>
          <w:lang w:val="en-US"/>
        </w:rPr>
        <w:t>Eight patients</w:t>
      </w:r>
      <w:r w:rsidRPr="004D3DB5">
        <w:rPr>
          <w:rFonts w:asciiTheme="minorHAnsi" w:hAnsiTheme="minorHAnsi" w:cstheme="minorHAnsi"/>
          <w:color w:val="000000" w:themeColor="text1"/>
          <w:lang w:val="en-US"/>
        </w:rPr>
        <w:t xml:space="preserve"> were treated with capsules, </w:t>
      </w:r>
      <w:r w:rsidRPr="00C20A3B">
        <w:rPr>
          <w:rFonts w:asciiTheme="minorHAnsi" w:hAnsiTheme="minorHAnsi" w:cstheme="minorHAnsi"/>
          <w:color w:val="000000" w:themeColor="text1"/>
          <w:lang w:val="en-US"/>
        </w:rPr>
        <w:t xml:space="preserve">16 </w:t>
      </w:r>
      <w:r w:rsidRPr="004D3DB5">
        <w:rPr>
          <w:rFonts w:asciiTheme="minorHAnsi" w:hAnsiTheme="minorHAnsi" w:cstheme="minorHAnsi"/>
          <w:color w:val="000000" w:themeColor="text1"/>
          <w:lang w:val="en-US"/>
        </w:rPr>
        <w:t>with oral solution and 9 with a combination of both. Three patients prematurely discontin</w:t>
      </w:r>
      <w:r w:rsidRPr="00204780">
        <w:rPr>
          <w:rFonts w:asciiTheme="minorHAnsi" w:hAnsiTheme="minorHAnsi" w:cstheme="minorHAnsi"/>
          <w:color w:val="000000" w:themeColor="text1"/>
          <w:lang w:val="en-US"/>
        </w:rPr>
        <w:t>ued treatment with itraconazole</w:t>
      </w:r>
      <w:r>
        <w:rPr>
          <w:rFonts w:asciiTheme="minorHAnsi" w:hAnsiTheme="minorHAnsi" w:cstheme="minorHAnsi"/>
          <w:color w:val="000000" w:themeColor="text1"/>
          <w:lang w:val="en-US"/>
        </w:rPr>
        <w:t>:</w:t>
      </w:r>
      <w:r w:rsidRPr="00204780">
        <w:rPr>
          <w:rFonts w:asciiTheme="minorHAnsi" w:hAnsiTheme="minorHAnsi" w:cstheme="minorHAnsi"/>
          <w:color w:val="000000" w:themeColor="text1"/>
          <w:lang w:val="en-US"/>
        </w:rPr>
        <w:t xml:space="preserve"> </w:t>
      </w:r>
      <w:r>
        <w:rPr>
          <w:rFonts w:asciiTheme="minorHAnsi" w:hAnsiTheme="minorHAnsi" w:cstheme="minorHAnsi"/>
          <w:color w:val="000000" w:themeColor="text1"/>
          <w:lang w:val="en-US"/>
        </w:rPr>
        <w:t xml:space="preserve">two patients reported nausea and </w:t>
      </w:r>
      <w:r w:rsidRPr="00204780">
        <w:rPr>
          <w:rFonts w:asciiTheme="minorHAnsi" w:hAnsiTheme="minorHAnsi" w:cstheme="minorHAnsi"/>
          <w:color w:val="000000" w:themeColor="text1"/>
          <w:lang w:val="en-US"/>
        </w:rPr>
        <w:t xml:space="preserve">one </w:t>
      </w:r>
      <w:r>
        <w:rPr>
          <w:rFonts w:asciiTheme="minorHAnsi" w:hAnsiTheme="minorHAnsi" w:cstheme="minorHAnsi"/>
          <w:color w:val="000000" w:themeColor="text1"/>
          <w:lang w:val="en-US"/>
        </w:rPr>
        <w:t>disturbed</w:t>
      </w:r>
      <w:r w:rsidRPr="00204780">
        <w:rPr>
          <w:rFonts w:asciiTheme="minorHAnsi" w:hAnsiTheme="minorHAnsi" w:cstheme="minorHAnsi"/>
          <w:color w:val="000000" w:themeColor="text1"/>
          <w:lang w:val="en-US"/>
        </w:rPr>
        <w:t xml:space="preserve"> vision. One patient in the standard group prematurely discontinued the trial</w:t>
      </w:r>
      <w:r>
        <w:rPr>
          <w:rFonts w:asciiTheme="minorHAnsi" w:hAnsiTheme="minorHAnsi" w:cstheme="minorHAnsi"/>
          <w:color w:val="000000" w:themeColor="text1"/>
          <w:lang w:val="en-US"/>
        </w:rPr>
        <w:t xml:space="preserve"> (withdrawal of consent)</w:t>
      </w:r>
    </w:p>
    <w:p w14:paraId="2A4CF317" w14:textId="77777777" w:rsidR="00E06DF5" w:rsidRPr="00204780" w:rsidRDefault="00E06DF5" w:rsidP="00E06DF5">
      <w:pPr>
        <w:spacing w:line="480" w:lineRule="auto"/>
        <w:jc w:val="both"/>
        <w:rPr>
          <w:rFonts w:asciiTheme="minorHAnsi" w:hAnsiTheme="minorHAnsi" w:cstheme="minorHAnsi"/>
          <w:color w:val="000000" w:themeColor="text1"/>
          <w:lang w:val="en-US"/>
        </w:rPr>
      </w:pPr>
      <w:r w:rsidRPr="00204780">
        <w:rPr>
          <w:rFonts w:asciiTheme="minorHAnsi" w:hAnsiTheme="minorHAnsi" w:cstheme="minorHAnsi"/>
          <w:color w:val="000000" w:themeColor="text1"/>
          <w:lang w:val="en-US"/>
        </w:rPr>
        <w:t xml:space="preserve">The study was put on hold by the DSMB when 68 patients had been randomized in order to evaluate pharmacokinetic data. After reviewing the preliminary pharmacokinetic and the preclinical data, the Steering Committee decided not to restart the study. </w:t>
      </w:r>
    </w:p>
    <w:p w14:paraId="65168C4D" w14:textId="758A3355" w:rsidR="00E06DF5" w:rsidRPr="00204780" w:rsidRDefault="00E06DF5" w:rsidP="00E06DF5">
      <w:pPr>
        <w:spacing w:line="480" w:lineRule="auto"/>
        <w:jc w:val="both"/>
        <w:rPr>
          <w:rFonts w:asciiTheme="minorHAnsi" w:hAnsiTheme="minorHAnsi" w:cstheme="minorHAnsi"/>
          <w:color w:val="000000" w:themeColor="text1"/>
          <w:lang w:val="en-US"/>
        </w:rPr>
      </w:pPr>
      <w:r w:rsidRPr="00204780">
        <w:rPr>
          <w:rFonts w:asciiTheme="minorHAnsi" w:hAnsiTheme="minorHAnsi" w:cstheme="minorHAnsi"/>
          <w:color w:val="000000" w:themeColor="text1"/>
          <w:lang w:val="en-US"/>
        </w:rPr>
        <w:t xml:space="preserve">There were no major differences in baseline characteristics . The mean age of participants was 62 </w:t>
      </w:r>
      <w:r>
        <w:rPr>
          <w:rFonts w:asciiTheme="minorHAnsi" w:hAnsiTheme="minorHAnsi" w:cstheme="minorHAnsi"/>
          <w:color w:val="000000" w:themeColor="text1"/>
          <w:lang w:val="en-US"/>
        </w:rPr>
        <w:t xml:space="preserve">(SD=11) </w:t>
      </w:r>
      <w:r w:rsidRPr="00204780">
        <w:rPr>
          <w:rFonts w:asciiTheme="minorHAnsi" w:hAnsiTheme="minorHAnsi" w:cstheme="minorHAnsi"/>
          <w:color w:val="000000" w:themeColor="text1"/>
          <w:lang w:val="en-US"/>
        </w:rPr>
        <w:t>years of age and 63% were men. The majority of patients presented with dyspnea (80%), fever (7</w:t>
      </w:r>
      <w:r>
        <w:rPr>
          <w:rFonts w:asciiTheme="minorHAnsi" w:hAnsiTheme="minorHAnsi" w:cstheme="minorHAnsi"/>
          <w:color w:val="000000" w:themeColor="text1"/>
          <w:lang w:val="en-US"/>
        </w:rPr>
        <w:t>2</w:t>
      </w:r>
      <w:r w:rsidRPr="00204780">
        <w:rPr>
          <w:rFonts w:asciiTheme="minorHAnsi" w:hAnsiTheme="minorHAnsi" w:cstheme="minorHAnsi"/>
          <w:color w:val="000000" w:themeColor="text1"/>
          <w:lang w:val="en-US"/>
        </w:rPr>
        <w:t>%) or cough (6</w:t>
      </w:r>
      <w:r>
        <w:rPr>
          <w:rFonts w:asciiTheme="minorHAnsi" w:hAnsiTheme="minorHAnsi" w:cstheme="minorHAnsi"/>
          <w:color w:val="000000" w:themeColor="text1"/>
          <w:lang w:val="en-US"/>
        </w:rPr>
        <w:t>5</w:t>
      </w:r>
      <w:r w:rsidRPr="00204780">
        <w:rPr>
          <w:rFonts w:asciiTheme="minorHAnsi" w:hAnsiTheme="minorHAnsi" w:cstheme="minorHAnsi"/>
          <w:color w:val="000000" w:themeColor="text1"/>
          <w:lang w:val="en-US"/>
        </w:rPr>
        <w:t>%). The median time of onset of symptoms to inclusion in the trial was 8 days</w:t>
      </w:r>
      <w:r>
        <w:rPr>
          <w:rFonts w:asciiTheme="minorHAnsi" w:hAnsiTheme="minorHAnsi" w:cstheme="minorHAnsi"/>
          <w:color w:val="000000" w:themeColor="text1"/>
          <w:lang w:val="en-US"/>
        </w:rPr>
        <w:t xml:space="preserve"> (IQR=5 to 10)</w:t>
      </w:r>
      <w:r w:rsidRPr="00204780">
        <w:rPr>
          <w:rFonts w:asciiTheme="minorHAnsi" w:hAnsiTheme="minorHAnsi" w:cstheme="minorHAnsi"/>
          <w:color w:val="000000" w:themeColor="text1"/>
          <w:lang w:val="en-US"/>
        </w:rPr>
        <w:t>.</w:t>
      </w:r>
    </w:p>
    <w:p w14:paraId="2D1142BC" w14:textId="04FB8496" w:rsidR="00E06DF5" w:rsidRPr="00204780" w:rsidRDefault="00E06DF5" w:rsidP="00E06DF5">
      <w:pPr>
        <w:spacing w:line="480" w:lineRule="auto"/>
        <w:jc w:val="both"/>
        <w:rPr>
          <w:rFonts w:asciiTheme="minorHAnsi" w:hAnsiTheme="minorHAnsi" w:cstheme="minorHAnsi"/>
          <w:color w:val="000000" w:themeColor="text1"/>
          <w:lang w:val="en-US"/>
        </w:rPr>
      </w:pPr>
      <w:r w:rsidRPr="00204780">
        <w:rPr>
          <w:rFonts w:asciiTheme="minorHAnsi" w:hAnsiTheme="minorHAnsi" w:cstheme="minorHAnsi"/>
          <w:color w:val="000000" w:themeColor="text1"/>
          <w:lang w:val="en-US"/>
        </w:rPr>
        <w:t xml:space="preserve">All participants required hospitalization, 89% required oxygen and 29% of participants needed ICU admission. All but one patient received hydroxychloroquine, part of the Belgian standard </w:t>
      </w:r>
      <w:r>
        <w:rPr>
          <w:rFonts w:asciiTheme="minorHAnsi" w:hAnsiTheme="minorHAnsi" w:cstheme="minorHAnsi"/>
          <w:color w:val="000000" w:themeColor="text1"/>
          <w:lang w:val="en-US"/>
        </w:rPr>
        <w:t xml:space="preserve">of </w:t>
      </w:r>
      <w:r w:rsidRPr="00204780">
        <w:rPr>
          <w:rFonts w:asciiTheme="minorHAnsi" w:hAnsiTheme="minorHAnsi" w:cstheme="minorHAnsi"/>
          <w:color w:val="000000" w:themeColor="text1"/>
          <w:lang w:val="en-US"/>
        </w:rPr>
        <w:t>care</w:t>
      </w:r>
      <w:r>
        <w:rPr>
          <w:rFonts w:asciiTheme="minorHAnsi" w:hAnsiTheme="minorHAnsi" w:cstheme="minorHAnsi"/>
          <w:color w:val="000000" w:themeColor="text1"/>
          <w:lang w:val="en-US"/>
        </w:rPr>
        <w:t xml:space="preserve"> at that time</w:t>
      </w:r>
      <w:r w:rsidRPr="00204780">
        <w:rPr>
          <w:rFonts w:asciiTheme="minorHAnsi" w:hAnsiTheme="minorHAnsi" w:cstheme="minorHAnsi"/>
          <w:color w:val="000000" w:themeColor="text1"/>
          <w:lang w:val="en-US"/>
        </w:rPr>
        <w:t xml:space="preserve">. In addition, 95% received antibiotics, 18% corticosteroids and 1 patient received tocilizumab. None of the subjects received other antiviral agents . </w:t>
      </w:r>
    </w:p>
    <w:p w14:paraId="0A39FB32" w14:textId="77777777" w:rsidR="00E06DF5" w:rsidRPr="00204780" w:rsidRDefault="00E06DF5" w:rsidP="00E06DF5">
      <w:pPr>
        <w:spacing w:line="480" w:lineRule="auto"/>
        <w:jc w:val="both"/>
        <w:rPr>
          <w:rFonts w:asciiTheme="minorHAnsi" w:hAnsiTheme="minorHAnsi" w:cstheme="minorHAnsi"/>
          <w:color w:val="000000" w:themeColor="text1"/>
          <w:lang w:val="en-US"/>
        </w:rPr>
      </w:pPr>
    </w:p>
    <w:p w14:paraId="6D6658EB" w14:textId="77777777" w:rsidR="00E06DF5" w:rsidRPr="00E06DF5" w:rsidRDefault="00E06DF5" w:rsidP="00E06DF5">
      <w:pPr>
        <w:pStyle w:val="Heading2"/>
        <w:rPr>
          <w:b w:val="0"/>
          <w:bCs w:val="0"/>
        </w:rPr>
      </w:pPr>
      <w:bookmarkStart w:id="4" w:name="_Toc48826569"/>
      <w:r w:rsidRPr="00E06DF5">
        <w:rPr>
          <w:b w:val="0"/>
          <w:bCs w:val="0"/>
        </w:rPr>
        <w:t>Efficacy Outcomes</w:t>
      </w:r>
      <w:bookmarkEnd w:id="4"/>
    </w:p>
    <w:p w14:paraId="0A6E3293" w14:textId="3575A601" w:rsidR="00E06DF5" w:rsidRPr="00204780" w:rsidRDefault="00E06DF5" w:rsidP="00E06DF5">
      <w:pPr>
        <w:spacing w:line="480" w:lineRule="auto"/>
        <w:jc w:val="both"/>
        <w:rPr>
          <w:rFonts w:asciiTheme="minorHAnsi" w:hAnsiTheme="minorHAnsi" w:cstheme="minorHAnsi"/>
          <w:color w:val="000000" w:themeColor="text1"/>
          <w:lang w:val="en-US"/>
        </w:rPr>
      </w:pPr>
      <w:r w:rsidRPr="00204780">
        <w:rPr>
          <w:rFonts w:asciiTheme="minorHAnsi" w:hAnsiTheme="minorHAnsi" w:cstheme="minorHAnsi"/>
          <w:color w:val="000000" w:themeColor="text1"/>
          <w:lang w:val="en-US"/>
        </w:rPr>
        <w:t>Patients randomized to itraconazole or the standard of care group did not differ in cumulative clinical score at day 15 (Table</w:t>
      </w:r>
      <w:r>
        <w:rPr>
          <w:rFonts w:asciiTheme="minorHAnsi" w:hAnsiTheme="minorHAnsi" w:cstheme="minorHAnsi"/>
          <w:color w:val="000000" w:themeColor="text1"/>
          <w:lang w:val="en-US"/>
        </w:rPr>
        <w:t>)</w:t>
      </w:r>
      <w:r w:rsidRPr="00204780">
        <w:rPr>
          <w:rFonts w:asciiTheme="minorHAnsi" w:hAnsiTheme="minorHAnsi" w:cstheme="minorHAnsi"/>
          <w:color w:val="000000" w:themeColor="text1"/>
          <w:lang w:val="en-US"/>
        </w:rPr>
        <w:t xml:space="preserve">. In addition, no differences were observed in time to sustained </w:t>
      </w:r>
      <w:r w:rsidRPr="00204780">
        <w:rPr>
          <w:rFonts w:asciiTheme="minorHAnsi" w:hAnsiTheme="minorHAnsi" w:cstheme="minorHAnsi"/>
          <w:color w:val="000000" w:themeColor="text1"/>
          <w:lang w:val="en-US"/>
        </w:rPr>
        <w:lastRenderedPageBreak/>
        <w:t>clinical improvement, in time to weaning from oxygen</w:t>
      </w:r>
      <w:r>
        <w:rPr>
          <w:rFonts w:asciiTheme="minorHAnsi" w:hAnsiTheme="minorHAnsi" w:cstheme="minorHAnsi"/>
          <w:color w:val="000000" w:themeColor="text1"/>
          <w:lang w:val="en-US"/>
        </w:rPr>
        <w:t xml:space="preserve"> </w:t>
      </w:r>
      <w:r w:rsidRPr="00204780">
        <w:rPr>
          <w:rFonts w:asciiTheme="minorHAnsi" w:hAnsiTheme="minorHAnsi" w:cstheme="minorHAnsi"/>
          <w:color w:val="000000" w:themeColor="text1"/>
          <w:lang w:val="en-US"/>
        </w:rPr>
        <w:t xml:space="preserve"> or in time to live discharge from the hospital</w:t>
      </w:r>
      <w:r>
        <w:rPr>
          <w:rFonts w:asciiTheme="minorHAnsi" w:hAnsiTheme="minorHAnsi" w:cstheme="minorHAnsi"/>
          <w:color w:val="000000" w:themeColor="text1"/>
          <w:lang w:val="en-US"/>
        </w:rPr>
        <w:t xml:space="preserve">. </w:t>
      </w:r>
      <w:r w:rsidRPr="00774F2E">
        <w:rPr>
          <w:rFonts w:asciiTheme="minorHAnsi" w:hAnsiTheme="minorHAnsi" w:cstheme="minorHAnsi"/>
          <w:color w:val="000000" w:themeColor="text1"/>
          <w:lang w:val="en-US"/>
        </w:rPr>
        <w:t>The evolution of the NEWS score, as well as C-reactive protein</w:t>
      </w:r>
      <w:r>
        <w:rPr>
          <w:rFonts w:asciiTheme="minorHAnsi" w:hAnsiTheme="minorHAnsi" w:cstheme="minorHAnsi"/>
          <w:color w:val="000000" w:themeColor="text1"/>
          <w:lang w:val="en-US"/>
        </w:rPr>
        <w:t xml:space="preserve"> </w:t>
      </w:r>
      <w:r w:rsidRPr="00204780">
        <w:rPr>
          <w:rFonts w:asciiTheme="minorHAnsi" w:hAnsiTheme="minorHAnsi" w:cstheme="minorHAnsi"/>
          <w:color w:val="000000" w:themeColor="text1"/>
          <w:lang w:val="en-US"/>
        </w:rPr>
        <w:t>were similar in both groups</w:t>
      </w:r>
      <w:r>
        <w:rPr>
          <w:rFonts w:asciiTheme="minorHAnsi" w:hAnsiTheme="minorHAnsi" w:cstheme="minorHAnsi"/>
          <w:color w:val="000000" w:themeColor="text1"/>
          <w:lang w:val="en-US"/>
        </w:rPr>
        <w:t xml:space="preserve">. </w:t>
      </w:r>
      <w:r w:rsidRPr="00204780">
        <w:rPr>
          <w:rFonts w:asciiTheme="minorHAnsi" w:hAnsiTheme="minorHAnsi" w:cstheme="minorHAnsi"/>
          <w:color w:val="000000" w:themeColor="text1"/>
          <w:lang w:val="en-US"/>
        </w:rPr>
        <w:t xml:space="preserve">Nasopharyngeal swabs on day 6 </w:t>
      </w:r>
      <w:r w:rsidRPr="00204780">
        <w:rPr>
          <w:rFonts w:asciiTheme="minorHAnsi" w:hAnsiTheme="minorHAnsi" w:cstheme="minorHAnsi"/>
          <w:color w:val="000000" w:themeColor="text1"/>
        </w:rPr>
        <w:sym w:font="Symbol" w:char="F0B1"/>
      </w:r>
      <w:r w:rsidRPr="00204780">
        <w:rPr>
          <w:rFonts w:asciiTheme="minorHAnsi" w:hAnsiTheme="minorHAnsi" w:cstheme="minorHAnsi"/>
          <w:color w:val="000000" w:themeColor="text1"/>
          <w:lang w:val="en-US"/>
        </w:rPr>
        <w:t xml:space="preserve"> 2 were obtained from 32 patients (47%). Viral load at baseline and on day 6 did not differ between study groups</w:t>
      </w:r>
      <w:r>
        <w:rPr>
          <w:rFonts w:asciiTheme="minorHAnsi" w:hAnsiTheme="minorHAnsi" w:cstheme="minorHAnsi"/>
          <w:color w:val="000000" w:themeColor="text1"/>
          <w:lang w:val="en-US"/>
        </w:rPr>
        <w:t xml:space="preserve"> (P=0.82)</w:t>
      </w:r>
      <w:r w:rsidRPr="00204780">
        <w:rPr>
          <w:rFonts w:asciiTheme="minorHAnsi" w:hAnsiTheme="minorHAnsi" w:cstheme="minorHAnsi"/>
          <w:color w:val="000000" w:themeColor="text1"/>
          <w:lang w:val="en-US"/>
        </w:rPr>
        <w:t xml:space="preserve">  .</w:t>
      </w:r>
    </w:p>
    <w:p w14:paraId="4096E6FA" w14:textId="77777777" w:rsidR="00E06DF5" w:rsidRPr="00204780" w:rsidRDefault="00E06DF5" w:rsidP="00E06DF5">
      <w:pPr>
        <w:spacing w:line="480" w:lineRule="auto"/>
        <w:jc w:val="both"/>
        <w:rPr>
          <w:rFonts w:asciiTheme="minorHAnsi" w:hAnsiTheme="minorHAnsi" w:cstheme="minorHAnsi"/>
          <w:b/>
          <w:color w:val="000000" w:themeColor="text1"/>
          <w:lang w:val="en-US"/>
        </w:rPr>
      </w:pPr>
      <w:bookmarkStart w:id="5" w:name="_Toc48826572"/>
    </w:p>
    <w:p w14:paraId="7827D9C9" w14:textId="77777777" w:rsidR="00E06DF5" w:rsidRPr="00E06DF5" w:rsidRDefault="00E06DF5" w:rsidP="00E06DF5">
      <w:pPr>
        <w:pStyle w:val="Heading2"/>
        <w:rPr>
          <w:b w:val="0"/>
          <w:bCs w:val="0"/>
        </w:rPr>
      </w:pPr>
      <w:r w:rsidRPr="00E06DF5">
        <w:rPr>
          <w:b w:val="0"/>
          <w:bCs w:val="0"/>
        </w:rPr>
        <w:t>Safety</w:t>
      </w:r>
      <w:bookmarkEnd w:id="5"/>
      <w:r w:rsidRPr="00E06DF5">
        <w:rPr>
          <w:b w:val="0"/>
          <w:bCs w:val="0"/>
        </w:rPr>
        <w:t xml:space="preserve"> Outcomes</w:t>
      </w:r>
    </w:p>
    <w:p w14:paraId="2BDAF379" w14:textId="77777777" w:rsidR="00E06DF5" w:rsidRPr="00204780" w:rsidRDefault="00E06DF5" w:rsidP="00E06DF5">
      <w:pPr>
        <w:spacing w:line="480" w:lineRule="auto"/>
        <w:jc w:val="both"/>
        <w:rPr>
          <w:rFonts w:asciiTheme="minorHAnsi" w:hAnsiTheme="minorHAnsi" w:cstheme="minorHAnsi"/>
          <w:color w:val="000000" w:themeColor="text1"/>
          <w:lang w:val="en-US"/>
        </w:rPr>
      </w:pPr>
      <w:r w:rsidRPr="00D23FE2">
        <w:rPr>
          <w:rFonts w:asciiTheme="minorHAnsi" w:hAnsiTheme="minorHAnsi" w:cstheme="minorHAnsi"/>
          <w:color w:val="000000" w:themeColor="text1"/>
          <w:lang w:val="en-US"/>
        </w:rPr>
        <w:t>There were no differences in ECG parameters, including QT-interval, between groups. Intensive care admission was required in 31 % in the itraconazole group vs 2</w:t>
      </w:r>
      <w:r>
        <w:rPr>
          <w:rFonts w:asciiTheme="minorHAnsi" w:hAnsiTheme="minorHAnsi" w:cstheme="minorHAnsi"/>
          <w:color w:val="000000" w:themeColor="text1"/>
          <w:lang w:val="en-US"/>
        </w:rPr>
        <w:t>8</w:t>
      </w:r>
      <w:r w:rsidRPr="00D23FE2">
        <w:rPr>
          <w:rFonts w:asciiTheme="minorHAnsi" w:hAnsiTheme="minorHAnsi" w:cstheme="minorHAnsi"/>
          <w:color w:val="000000" w:themeColor="text1"/>
          <w:lang w:val="en-US"/>
        </w:rPr>
        <w:t xml:space="preserve"> % in patients receiving standard of care. Beside the prespecified outcomes, few adverse events were reported as serious. No patients died during follow-up.</w:t>
      </w:r>
      <w:r w:rsidRPr="00204780">
        <w:rPr>
          <w:rFonts w:asciiTheme="minorHAnsi" w:hAnsiTheme="minorHAnsi" w:cstheme="minorHAnsi"/>
          <w:color w:val="000000" w:themeColor="text1"/>
          <w:lang w:val="en-US"/>
        </w:rPr>
        <w:t xml:space="preserve"> </w:t>
      </w:r>
    </w:p>
    <w:p w14:paraId="09BB41C0" w14:textId="77777777" w:rsidR="00E06DF5" w:rsidRPr="00204780" w:rsidRDefault="00E06DF5" w:rsidP="00E06DF5">
      <w:pPr>
        <w:spacing w:line="480" w:lineRule="auto"/>
        <w:jc w:val="both"/>
        <w:rPr>
          <w:rFonts w:asciiTheme="minorHAnsi" w:hAnsiTheme="minorHAnsi" w:cstheme="minorHAnsi"/>
          <w:b/>
          <w:color w:val="000000" w:themeColor="text1"/>
          <w:lang w:val="en-US"/>
        </w:rPr>
      </w:pPr>
    </w:p>
    <w:p w14:paraId="6FD61F97" w14:textId="77777777" w:rsidR="00E06DF5" w:rsidRPr="00E06DF5" w:rsidRDefault="00E06DF5" w:rsidP="00E06DF5">
      <w:pPr>
        <w:pStyle w:val="Heading2"/>
        <w:rPr>
          <w:b w:val="0"/>
          <w:bCs w:val="0"/>
        </w:rPr>
      </w:pPr>
      <w:r w:rsidRPr="00E06DF5">
        <w:rPr>
          <w:b w:val="0"/>
          <w:bCs w:val="0"/>
        </w:rPr>
        <w:t>Pharmacokinetic analysis</w:t>
      </w:r>
    </w:p>
    <w:p w14:paraId="0486D095" w14:textId="01CFDA29" w:rsidR="00E06DF5" w:rsidRDefault="00E06DF5" w:rsidP="00E06DF5">
      <w:pPr>
        <w:spacing w:line="48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T</w:t>
      </w:r>
      <w:r w:rsidRPr="00204780">
        <w:rPr>
          <w:rFonts w:asciiTheme="minorHAnsi" w:hAnsiTheme="minorHAnsi" w:cstheme="minorHAnsi"/>
          <w:color w:val="000000" w:themeColor="text1"/>
          <w:lang w:val="en-US"/>
        </w:rPr>
        <w:t xml:space="preserve">rough concentrations varied from 0.05 up to 1.94 mg/L for itraconazole and from 0.08 to 2.28 mg/L for </w:t>
      </w:r>
      <w:r>
        <w:rPr>
          <w:rFonts w:asciiTheme="minorHAnsi" w:hAnsiTheme="minorHAnsi" w:cstheme="minorHAnsi"/>
          <w:color w:val="000000" w:themeColor="text1"/>
          <w:lang w:val="en-US"/>
        </w:rPr>
        <w:t>hydroxy-</w:t>
      </w:r>
      <w:r w:rsidRPr="00204780">
        <w:rPr>
          <w:rFonts w:asciiTheme="minorHAnsi" w:hAnsiTheme="minorHAnsi" w:cstheme="minorHAnsi"/>
          <w:color w:val="000000" w:themeColor="text1"/>
          <w:lang w:val="en-US"/>
        </w:rPr>
        <w:t xml:space="preserve">itraconazole </w:t>
      </w:r>
      <w:r w:rsidRPr="00CB49A6">
        <w:rPr>
          <w:rFonts w:asciiTheme="minorHAnsi" w:hAnsiTheme="minorHAnsi" w:cstheme="minorHAnsi"/>
          <w:color w:val="000000" w:themeColor="text1"/>
          <w:lang w:val="en-US"/>
        </w:rPr>
        <w:t>.</w:t>
      </w:r>
      <w:r w:rsidRPr="00204780">
        <w:rPr>
          <w:rFonts w:asciiTheme="minorHAnsi" w:hAnsiTheme="minorHAnsi" w:cstheme="minorHAnsi"/>
          <w:color w:val="000000" w:themeColor="text1"/>
          <w:lang w:val="en-US"/>
        </w:rPr>
        <w:t xml:space="preserve"> Targets for itraconazole and hydroxy-itraconazole were attained in 37 and 21% of patients within 72h after initiation of treatment, </w:t>
      </w:r>
      <w:r>
        <w:rPr>
          <w:rFonts w:asciiTheme="minorHAnsi" w:hAnsiTheme="minorHAnsi" w:cstheme="minorHAnsi"/>
          <w:color w:val="000000" w:themeColor="text1"/>
          <w:lang w:val="en-US"/>
        </w:rPr>
        <w:t>which</w:t>
      </w:r>
      <w:r w:rsidRPr="00204780">
        <w:rPr>
          <w:rFonts w:asciiTheme="minorHAnsi" w:hAnsiTheme="minorHAnsi" w:cstheme="minorHAnsi"/>
          <w:color w:val="000000" w:themeColor="text1"/>
          <w:lang w:val="en-US"/>
        </w:rPr>
        <w:t xml:space="preserve"> increased to 84 and 95% of patients during maintenance treatment, i.e. more than 72h after initiation</w:t>
      </w:r>
      <w:r>
        <w:rPr>
          <w:rFonts w:asciiTheme="minorHAnsi" w:hAnsiTheme="minorHAnsi" w:cstheme="minorHAnsi"/>
          <w:color w:val="000000" w:themeColor="text1"/>
          <w:lang w:val="en-US"/>
        </w:rPr>
        <w:t>.</w:t>
      </w:r>
      <w:r w:rsidRPr="00204780">
        <w:rPr>
          <w:rFonts w:asciiTheme="minorHAnsi" w:hAnsiTheme="minorHAnsi" w:cstheme="minorHAnsi"/>
          <w:color w:val="000000" w:themeColor="text1"/>
          <w:lang w:val="en-US"/>
        </w:rPr>
        <w:t xml:space="preserve">  </w:t>
      </w:r>
    </w:p>
    <w:p w14:paraId="42FC86D2" w14:textId="1DF0F984" w:rsidR="00E06DF5" w:rsidRPr="00204780" w:rsidRDefault="00E06DF5" w:rsidP="00E06DF5">
      <w:pPr>
        <w:spacing w:line="48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Exposure-response analysis did not reveal a correlation between itraconazole trough concentrations and cumulative clinical status (</w:t>
      </w:r>
      <w:proofErr w:type="spellStart"/>
      <w:r>
        <w:rPr>
          <w:rFonts w:asciiTheme="minorHAnsi" w:hAnsiTheme="minorHAnsi" w:cstheme="minorHAnsi"/>
          <w:color w:val="000000" w:themeColor="text1"/>
          <w:lang w:val="en-US"/>
        </w:rPr>
        <w:t>FigureE</w:t>
      </w:r>
      <w:proofErr w:type="spellEnd"/>
      <w:r>
        <w:rPr>
          <w:rFonts w:asciiTheme="minorHAnsi" w:hAnsiTheme="minorHAnsi" w:cstheme="minorHAnsi"/>
          <w:color w:val="000000" w:themeColor="text1"/>
          <w:lang w:val="en-US"/>
        </w:rPr>
        <w:t>), time to clinical improvement or decrease in nasopharyngeal viral load.</w:t>
      </w:r>
    </w:p>
    <w:p w14:paraId="3198C696" w14:textId="77777777" w:rsidR="00E06DF5" w:rsidRDefault="00E06DF5" w:rsidP="00E06DF5">
      <w:pPr>
        <w:spacing w:line="480" w:lineRule="auto"/>
        <w:jc w:val="both"/>
        <w:rPr>
          <w:rFonts w:asciiTheme="minorHAnsi" w:hAnsiTheme="minorHAnsi" w:cstheme="minorHAnsi"/>
          <w:color w:val="000000" w:themeColor="text1"/>
          <w:lang w:val="en-US"/>
        </w:rPr>
        <w:sectPr w:rsidR="00E06DF5">
          <w:headerReference w:type="default" r:id="rId7"/>
          <w:footerReference w:type="default" r:id="rId8"/>
          <w:pgSz w:w="11906" w:h="16838"/>
          <w:pgMar w:top="1417" w:right="1417" w:bottom="1417" w:left="1417" w:header="708" w:footer="708" w:gutter="0"/>
          <w:cols w:space="708"/>
          <w:docGrid w:linePitch="360"/>
        </w:sectPr>
      </w:pPr>
      <w:r w:rsidRPr="00154D2F">
        <w:rPr>
          <w:rFonts w:asciiTheme="minorHAnsi" w:hAnsiTheme="minorHAnsi" w:cstheme="minorHAnsi"/>
          <w:color w:val="000000" w:themeColor="text1"/>
          <w:lang w:val="en-US"/>
        </w:rPr>
        <w:br w:type="page"/>
      </w:r>
    </w:p>
    <w:p w14:paraId="4D07427B" w14:textId="77777777" w:rsidR="00E06DF5" w:rsidRDefault="00E06DF5" w:rsidP="00E06DF5">
      <w:pPr>
        <w:rPr>
          <w:rFonts w:asciiTheme="minorHAnsi" w:hAnsiTheme="minorHAnsi" w:cstheme="minorHAnsi"/>
          <w:color w:val="000000" w:themeColor="text1"/>
          <w:lang w:val="en-US"/>
        </w:rPr>
        <w:sectPr w:rsidR="00E06DF5" w:rsidSect="007C7C39">
          <w:pgSz w:w="11900" w:h="16840"/>
          <w:pgMar w:top="1440" w:right="1440" w:bottom="1440" w:left="1440" w:header="708" w:footer="708" w:gutter="0"/>
          <w:lnNumType w:countBy="1" w:restart="continuous"/>
          <w:cols w:space="708"/>
          <w:titlePg/>
          <w:docGrid w:linePitch="360"/>
        </w:sectPr>
      </w:pPr>
      <w:r w:rsidRPr="00776CD4">
        <w:rPr>
          <w:rFonts w:asciiTheme="minorHAnsi" w:hAnsiTheme="minorHAnsi" w:cstheme="minorHAnsi"/>
          <w:color w:val="000000" w:themeColor="text1"/>
          <w:lang w:val="en-US"/>
        </w:rPr>
        <w:lastRenderedPageBreak/>
        <w:br w:type="page"/>
      </w:r>
    </w:p>
    <w:p w14:paraId="2A8E484B" w14:textId="77777777" w:rsidR="00E06DF5" w:rsidRPr="00776CD4" w:rsidRDefault="00E06DF5" w:rsidP="00E06DF5">
      <w:pPr>
        <w:rPr>
          <w:rFonts w:asciiTheme="minorHAnsi" w:hAnsiTheme="minorHAnsi" w:cstheme="minorHAnsi"/>
          <w:color w:val="000000" w:themeColor="text1"/>
          <w:lang w:val="en-US"/>
        </w:rPr>
      </w:pPr>
    </w:p>
    <w:tbl>
      <w:tblPr>
        <w:tblStyle w:val="TableGrid"/>
        <w:tblW w:w="133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gridCol w:w="1559"/>
        <w:gridCol w:w="1843"/>
        <w:gridCol w:w="2551"/>
        <w:gridCol w:w="2552"/>
      </w:tblGrid>
      <w:tr w:rsidR="00E06DF5" w:rsidRPr="00E06DF5" w14:paraId="695357D4" w14:textId="77777777" w:rsidTr="0083301E">
        <w:trPr>
          <w:trHeight w:val="561"/>
        </w:trPr>
        <w:tc>
          <w:tcPr>
            <w:tcW w:w="13325" w:type="dxa"/>
            <w:gridSpan w:val="5"/>
          </w:tcPr>
          <w:p w14:paraId="2F783665" w14:textId="3097E9ED" w:rsidR="00E06DF5" w:rsidRPr="00776CD4" w:rsidRDefault="00E06DF5" w:rsidP="0083301E">
            <w:pPr>
              <w:rPr>
                <w:rFonts w:asciiTheme="minorHAnsi" w:hAnsiTheme="minorHAnsi" w:cstheme="minorHAnsi"/>
                <w:b/>
                <w:bCs/>
                <w:color w:val="000000" w:themeColor="text1"/>
                <w:lang w:val="en-US"/>
              </w:rPr>
            </w:pPr>
            <w:r w:rsidRPr="00776CD4">
              <w:rPr>
                <w:rFonts w:asciiTheme="minorHAnsi" w:hAnsiTheme="minorHAnsi" w:cstheme="minorHAnsi"/>
                <w:b/>
                <w:bCs/>
                <w:color w:val="000000" w:themeColor="text1"/>
                <w:lang w:val="en-US"/>
              </w:rPr>
              <w:t>Table Primary and Secondary Clinical Outcomes</w:t>
            </w:r>
          </w:p>
          <w:p w14:paraId="31CB8FAB" w14:textId="77777777" w:rsidR="00E06DF5" w:rsidRPr="00776CD4" w:rsidRDefault="00E06DF5" w:rsidP="0083301E">
            <w:pPr>
              <w:rPr>
                <w:rFonts w:asciiTheme="minorHAnsi" w:hAnsiTheme="minorHAnsi" w:cstheme="minorHAnsi"/>
                <w:b/>
                <w:bCs/>
                <w:color w:val="000000" w:themeColor="text1"/>
                <w:lang w:val="en-US"/>
              </w:rPr>
            </w:pPr>
          </w:p>
        </w:tc>
      </w:tr>
      <w:tr w:rsidR="00E06DF5" w:rsidRPr="00EA69A8" w14:paraId="64A2B825" w14:textId="77777777" w:rsidTr="0083301E">
        <w:trPr>
          <w:trHeight w:val="340"/>
        </w:trPr>
        <w:tc>
          <w:tcPr>
            <w:tcW w:w="4820" w:type="dxa"/>
            <w:vAlign w:val="center"/>
          </w:tcPr>
          <w:p w14:paraId="3D5D4F82" w14:textId="77777777" w:rsidR="00E06DF5" w:rsidRPr="00776CD4" w:rsidRDefault="00E06DF5" w:rsidP="0083301E">
            <w:pPr>
              <w:rPr>
                <w:rFonts w:asciiTheme="minorHAnsi" w:hAnsiTheme="minorHAnsi" w:cstheme="minorHAnsi"/>
                <w:b/>
                <w:bCs/>
                <w:color w:val="000000" w:themeColor="text1"/>
              </w:rPr>
            </w:pPr>
            <w:proofErr w:type="spellStart"/>
            <w:r w:rsidRPr="00776CD4">
              <w:rPr>
                <w:rFonts w:asciiTheme="minorHAnsi" w:hAnsiTheme="minorHAnsi" w:cstheme="minorHAnsi"/>
                <w:b/>
                <w:bCs/>
                <w:color w:val="000000" w:themeColor="text1"/>
              </w:rPr>
              <w:t>Outcome</w:t>
            </w:r>
            <w:proofErr w:type="spellEnd"/>
          </w:p>
        </w:tc>
        <w:tc>
          <w:tcPr>
            <w:tcW w:w="1559" w:type="dxa"/>
          </w:tcPr>
          <w:p w14:paraId="3FC012DB" w14:textId="77777777" w:rsidR="00E06DF5" w:rsidRPr="00776CD4" w:rsidRDefault="00E06DF5" w:rsidP="0083301E">
            <w:pPr>
              <w:rPr>
                <w:rFonts w:asciiTheme="minorHAnsi" w:hAnsiTheme="minorHAnsi" w:cstheme="minorHAnsi"/>
                <w:b/>
                <w:bCs/>
                <w:color w:val="000000" w:themeColor="text1"/>
              </w:rPr>
            </w:pPr>
            <w:proofErr w:type="spellStart"/>
            <w:r w:rsidRPr="00776CD4">
              <w:rPr>
                <w:rFonts w:asciiTheme="minorHAnsi" w:hAnsiTheme="minorHAnsi" w:cstheme="minorHAnsi"/>
                <w:b/>
                <w:bCs/>
                <w:color w:val="000000" w:themeColor="text1"/>
              </w:rPr>
              <w:t>Itraconazole</w:t>
            </w:r>
            <w:proofErr w:type="spellEnd"/>
          </w:p>
          <w:p w14:paraId="46A0333A"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b/>
                <w:bCs/>
                <w:color w:val="000000" w:themeColor="text1"/>
              </w:rPr>
              <w:t>(N=32)</w:t>
            </w:r>
          </w:p>
        </w:tc>
        <w:tc>
          <w:tcPr>
            <w:tcW w:w="1843" w:type="dxa"/>
          </w:tcPr>
          <w:p w14:paraId="0AD9FF7B" w14:textId="77777777" w:rsidR="00E06DF5" w:rsidRPr="00776CD4" w:rsidRDefault="00E06DF5" w:rsidP="0083301E">
            <w:pPr>
              <w:rPr>
                <w:rFonts w:asciiTheme="minorHAnsi" w:hAnsiTheme="minorHAnsi" w:cstheme="minorHAnsi"/>
                <w:b/>
                <w:bCs/>
                <w:color w:val="000000" w:themeColor="text1"/>
              </w:rPr>
            </w:pPr>
            <w:r w:rsidRPr="00776CD4">
              <w:rPr>
                <w:rFonts w:asciiTheme="minorHAnsi" w:hAnsiTheme="minorHAnsi" w:cstheme="minorHAnsi"/>
                <w:b/>
                <w:bCs/>
                <w:color w:val="000000" w:themeColor="text1"/>
              </w:rPr>
              <w:t>Standard Care</w:t>
            </w:r>
          </w:p>
          <w:p w14:paraId="682AC921"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b/>
                <w:bCs/>
                <w:color w:val="000000" w:themeColor="text1"/>
              </w:rPr>
              <w:t>(N=33)</w:t>
            </w:r>
          </w:p>
        </w:tc>
        <w:tc>
          <w:tcPr>
            <w:tcW w:w="2551" w:type="dxa"/>
          </w:tcPr>
          <w:p w14:paraId="4C72E0B6" w14:textId="77777777" w:rsidR="00E06DF5" w:rsidRPr="00EA69A8" w:rsidRDefault="00E06DF5" w:rsidP="0083301E">
            <w:pPr>
              <w:rPr>
                <w:rFonts w:asciiTheme="minorHAnsi" w:hAnsiTheme="minorHAnsi" w:cstheme="minorHAnsi"/>
                <w:b/>
                <w:bCs/>
                <w:color w:val="000000" w:themeColor="text1"/>
              </w:rPr>
            </w:pPr>
            <w:r w:rsidRPr="00EA69A8">
              <w:rPr>
                <w:rFonts w:asciiTheme="minorHAnsi" w:hAnsiTheme="minorHAnsi" w:cstheme="minorHAnsi"/>
                <w:b/>
                <w:bCs/>
                <w:color w:val="000000" w:themeColor="text1"/>
              </w:rPr>
              <w:t>Treatment Effect</w:t>
            </w:r>
          </w:p>
        </w:tc>
        <w:tc>
          <w:tcPr>
            <w:tcW w:w="2552" w:type="dxa"/>
          </w:tcPr>
          <w:p w14:paraId="6E238B45" w14:textId="77777777" w:rsidR="00E06DF5" w:rsidRPr="00EA69A8" w:rsidRDefault="00E06DF5" w:rsidP="0083301E">
            <w:pPr>
              <w:rPr>
                <w:rFonts w:asciiTheme="minorHAnsi" w:hAnsiTheme="minorHAnsi" w:cstheme="minorHAnsi"/>
                <w:b/>
                <w:bCs/>
                <w:color w:val="000000" w:themeColor="text1"/>
              </w:rPr>
            </w:pPr>
            <w:proofErr w:type="spellStart"/>
            <w:r w:rsidRPr="00EA69A8">
              <w:rPr>
                <w:rFonts w:asciiTheme="minorHAnsi" w:hAnsiTheme="minorHAnsi" w:cstheme="minorHAnsi"/>
                <w:b/>
                <w:bCs/>
                <w:color w:val="000000" w:themeColor="text1"/>
              </w:rPr>
              <w:t>Estimate</w:t>
            </w:r>
            <w:proofErr w:type="spellEnd"/>
            <w:r w:rsidRPr="00EA69A8">
              <w:rPr>
                <w:rFonts w:asciiTheme="minorHAnsi" w:hAnsiTheme="minorHAnsi" w:cstheme="minorHAnsi"/>
                <w:b/>
                <w:bCs/>
                <w:color w:val="000000" w:themeColor="text1"/>
              </w:rPr>
              <w:t xml:space="preserve"> (95% CI)</w:t>
            </w:r>
          </w:p>
        </w:tc>
      </w:tr>
      <w:tr w:rsidR="00E06DF5" w:rsidRPr="00204780" w14:paraId="1D7B89CD" w14:textId="77777777" w:rsidTr="0083301E">
        <w:trPr>
          <w:trHeight w:val="340"/>
        </w:trPr>
        <w:tc>
          <w:tcPr>
            <w:tcW w:w="4820" w:type="dxa"/>
            <w:shd w:val="clear" w:color="auto" w:fill="F2F2F2" w:themeFill="background1" w:themeFillShade="F2"/>
            <w:vAlign w:val="center"/>
          </w:tcPr>
          <w:p w14:paraId="517F5ACD" w14:textId="77777777" w:rsidR="00E06DF5" w:rsidRPr="00776CD4" w:rsidRDefault="00E06DF5" w:rsidP="0083301E">
            <w:pPr>
              <w:rPr>
                <w:rFonts w:asciiTheme="minorHAnsi" w:hAnsiTheme="minorHAnsi" w:cstheme="minorHAnsi"/>
                <w:color w:val="000000" w:themeColor="text1"/>
                <w:lang w:val="en-US"/>
              </w:rPr>
            </w:pPr>
            <w:r w:rsidRPr="00776CD4">
              <w:rPr>
                <w:rFonts w:asciiTheme="minorHAnsi" w:hAnsiTheme="minorHAnsi" w:cstheme="minorHAnsi"/>
                <w:color w:val="000000" w:themeColor="text1"/>
                <w:lang w:val="en-US"/>
              </w:rPr>
              <w:t>Cumulative status on day 15 – mean (SD)</w:t>
            </w:r>
          </w:p>
        </w:tc>
        <w:tc>
          <w:tcPr>
            <w:tcW w:w="1559" w:type="dxa"/>
            <w:shd w:val="clear" w:color="auto" w:fill="F2F2F2" w:themeFill="background1" w:themeFillShade="F2"/>
            <w:vAlign w:val="center"/>
          </w:tcPr>
          <w:p w14:paraId="1DCB51E0"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49 (20)</w:t>
            </w:r>
          </w:p>
        </w:tc>
        <w:tc>
          <w:tcPr>
            <w:tcW w:w="1843" w:type="dxa"/>
            <w:shd w:val="clear" w:color="auto" w:fill="F2F2F2" w:themeFill="background1" w:themeFillShade="F2"/>
            <w:vAlign w:val="center"/>
          </w:tcPr>
          <w:p w14:paraId="1C10CB54"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 xml:space="preserve"> 47 (17)</w:t>
            </w:r>
          </w:p>
        </w:tc>
        <w:tc>
          <w:tcPr>
            <w:tcW w:w="2551" w:type="dxa"/>
            <w:shd w:val="clear" w:color="auto" w:fill="F2F2F2" w:themeFill="background1" w:themeFillShade="F2"/>
          </w:tcPr>
          <w:p w14:paraId="4B551DE5" w14:textId="77777777" w:rsidR="00E06DF5" w:rsidRPr="00776CD4" w:rsidRDefault="00E06DF5" w:rsidP="0083301E">
            <w:pPr>
              <w:rPr>
                <w:rFonts w:asciiTheme="minorHAnsi" w:hAnsiTheme="minorHAnsi" w:cstheme="minorHAnsi"/>
                <w:color w:val="000000" w:themeColor="text1"/>
              </w:rPr>
            </w:pPr>
            <w:r w:rsidRPr="00EA69A8">
              <w:rPr>
                <w:rFonts w:asciiTheme="minorHAnsi" w:hAnsiTheme="minorHAnsi" w:cstheme="minorHAnsi"/>
                <w:color w:val="000000" w:themeColor="text1"/>
              </w:rPr>
              <w:t xml:space="preserve">Ratio of </w:t>
            </w:r>
            <w:proofErr w:type="spellStart"/>
            <w:r w:rsidRPr="00EA69A8">
              <w:rPr>
                <w:rFonts w:asciiTheme="minorHAnsi" w:hAnsiTheme="minorHAnsi" w:cstheme="minorHAnsi"/>
                <w:color w:val="000000" w:themeColor="text1"/>
              </w:rPr>
              <w:t>geometric</w:t>
            </w:r>
            <w:proofErr w:type="spellEnd"/>
            <w:r w:rsidRPr="00EA69A8">
              <w:rPr>
                <w:rFonts w:asciiTheme="minorHAnsi" w:hAnsiTheme="minorHAnsi" w:cstheme="minorHAnsi"/>
                <w:color w:val="000000" w:themeColor="text1"/>
              </w:rPr>
              <w:t xml:space="preserve"> means</w:t>
            </w:r>
          </w:p>
        </w:tc>
        <w:tc>
          <w:tcPr>
            <w:tcW w:w="2552" w:type="dxa"/>
            <w:shd w:val="clear" w:color="auto" w:fill="F2F2F2" w:themeFill="background1" w:themeFillShade="F2"/>
            <w:vAlign w:val="center"/>
          </w:tcPr>
          <w:p w14:paraId="1B68C5DE"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1.01 (0.85; 1.19)</w:t>
            </w:r>
          </w:p>
        </w:tc>
      </w:tr>
      <w:tr w:rsidR="00E06DF5" w:rsidRPr="00204780" w14:paraId="6BEE97A6" w14:textId="77777777" w:rsidTr="0083301E">
        <w:trPr>
          <w:trHeight w:val="340"/>
        </w:trPr>
        <w:tc>
          <w:tcPr>
            <w:tcW w:w="4820" w:type="dxa"/>
            <w:shd w:val="clear" w:color="auto" w:fill="FFFFFF" w:themeFill="background1"/>
            <w:vAlign w:val="center"/>
          </w:tcPr>
          <w:p w14:paraId="27624122" w14:textId="77777777" w:rsidR="00E06DF5" w:rsidRPr="00776CD4" w:rsidRDefault="00E06DF5" w:rsidP="0083301E">
            <w:pPr>
              <w:rPr>
                <w:rFonts w:asciiTheme="minorHAnsi" w:hAnsiTheme="minorHAnsi" w:cstheme="minorHAnsi"/>
                <w:color w:val="000000" w:themeColor="text1"/>
                <w:lang w:val="en-US"/>
              </w:rPr>
            </w:pPr>
            <w:r w:rsidRPr="00776CD4">
              <w:rPr>
                <w:rFonts w:asciiTheme="minorHAnsi" w:hAnsiTheme="minorHAnsi" w:cstheme="minorHAnsi"/>
                <w:color w:val="000000" w:themeColor="text1"/>
                <w:lang w:val="en-US"/>
              </w:rPr>
              <w:t>Time to sustained clinical improvement -  median [days] - median (IQR)</w:t>
            </w:r>
          </w:p>
        </w:tc>
        <w:tc>
          <w:tcPr>
            <w:tcW w:w="1559" w:type="dxa"/>
            <w:shd w:val="clear" w:color="auto" w:fill="FFFFFF" w:themeFill="background1"/>
            <w:vAlign w:val="center"/>
          </w:tcPr>
          <w:p w14:paraId="7F699003"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 xml:space="preserve">10 (5 </w:t>
            </w:r>
            <w:proofErr w:type="spellStart"/>
            <w:r w:rsidRPr="00776CD4">
              <w:rPr>
                <w:rFonts w:asciiTheme="minorHAnsi" w:hAnsiTheme="minorHAnsi" w:cstheme="minorHAnsi"/>
                <w:color w:val="000000" w:themeColor="text1"/>
              </w:rPr>
              <w:t>to</w:t>
            </w:r>
            <w:proofErr w:type="spellEnd"/>
            <w:r w:rsidRPr="00776CD4">
              <w:rPr>
                <w:rFonts w:asciiTheme="minorHAnsi" w:hAnsiTheme="minorHAnsi" w:cstheme="minorHAnsi"/>
                <w:color w:val="000000" w:themeColor="text1"/>
              </w:rPr>
              <w:t xml:space="preserve"> 18)</w:t>
            </w:r>
          </w:p>
        </w:tc>
        <w:tc>
          <w:tcPr>
            <w:tcW w:w="1843" w:type="dxa"/>
            <w:shd w:val="clear" w:color="auto" w:fill="FFFFFF" w:themeFill="background1"/>
            <w:vAlign w:val="center"/>
          </w:tcPr>
          <w:p w14:paraId="0FC6BB0E"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9 (5 to6)</w:t>
            </w:r>
          </w:p>
        </w:tc>
        <w:tc>
          <w:tcPr>
            <w:tcW w:w="2551" w:type="dxa"/>
            <w:shd w:val="clear" w:color="auto" w:fill="FFFFFF" w:themeFill="background1"/>
          </w:tcPr>
          <w:p w14:paraId="5602B438" w14:textId="77777777" w:rsidR="00E06DF5" w:rsidRPr="00776CD4" w:rsidRDefault="00E06DF5" w:rsidP="0083301E">
            <w:pPr>
              <w:rPr>
                <w:rFonts w:asciiTheme="minorHAnsi" w:hAnsiTheme="minorHAnsi" w:cstheme="minorHAnsi"/>
                <w:color w:val="000000" w:themeColor="text1"/>
              </w:rPr>
            </w:pPr>
            <w:proofErr w:type="spellStart"/>
            <w:r w:rsidRPr="00EA69A8">
              <w:rPr>
                <w:rFonts w:asciiTheme="minorHAnsi" w:hAnsiTheme="minorHAnsi" w:cstheme="minorHAnsi"/>
                <w:color w:val="000000" w:themeColor="text1"/>
              </w:rPr>
              <w:t>Subdistribution</w:t>
            </w:r>
            <w:proofErr w:type="spellEnd"/>
            <w:r w:rsidRPr="00EA69A8">
              <w:rPr>
                <w:rFonts w:asciiTheme="minorHAnsi" w:hAnsiTheme="minorHAnsi" w:cstheme="minorHAnsi"/>
                <w:color w:val="000000" w:themeColor="text1"/>
              </w:rPr>
              <w:t xml:space="preserve"> HR</w:t>
            </w:r>
          </w:p>
        </w:tc>
        <w:tc>
          <w:tcPr>
            <w:tcW w:w="2552" w:type="dxa"/>
            <w:shd w:val="clear" w:color="auto" w:fill="FFFFFF" w:themeFill="background1"/>
            <w:vAlign w:val="center"/>
          </w:tcPr>
          <w:p w14:paraId="40C8A1A9"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0.94 (0.56; 1.60)</w:t>
            </w:r>
          </w:p>
        </w:tc>
      </w:tr>
      <w:tr w:rsidR="00E06DF5" w:rsidRPr="00204780" w14:paraId="32C5F08A" w14:textId="77777777" w:rsidTr="0083301E">
        <w:trPr>
          <w:trHeight w:val="340"/>
        </w:trPr>
        <w:tc>
          <w:tcPr>
            <w:tcW w:w="4820" w:type="dxa"/>
            <w:shd w:val="clear" w:color="auto" w:fill="F2F2F2" w:themeFill="background1" w:themeFillShade="F2"/>
            <w:vAlign w:val="center"/>
          </w:tcPr>
          <w:p w14:paraId="3B3CB18B"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 xml:space="preserve">Day 28 </w:t>
            </w:r>
            <w:proofErr w:type="spellStart"/>
            <w:r w:rsidRPr="00776CD4">
              <w:rPr>
                <w:rFonts w:asciiTheme="minorHAnsi" w:hAnsiTheme="minorHAnsi" w:cstheme="minorHAnsi"/>
                <w:color w:val="000000" w:themeColor="text1"/>
              </w:rPr>
              <w:t>mortality</w:t>
            </w:r>
            <w:proofErr w:type="spellEnd"/>
            <w:r w:rsidRPr="00776CD4">
              <w:rPr>
                <w:rFonts w:asciiTheme="minorHAnsi" w:hAnsiTheme="minorHAnsi" w:cstheme="minorHAnsi"/>
                <w:color w:val="000000" w:themeColor="text1"/>
              </w:rPr>
              <w:t xml:space="preserve"> – no. (%)</w:t>
            </w:r>
          </w:p>
        </w:tc>
        <w:tc>
          <w:tcPr>
            <w:tcW w:w="1559" w:type="dxa"/>
            <w:shd w:val="clear" w:color="auto" w:fill="F2F2F2" w:themeFill="background1" w:themeFillShade="F2"/>
            <w:vAlign w:val="center"/>
          </w:tcPr>
          <w:p w14:paraId="2273ED40"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0 (0.0%)</w:t>
            </w:r>
          </w:p>
        </w:tc>
        <w:tc>
          <w:tcPr>
            <w:tcW w:w="1843" w:type="dxa"/>
            <w:shd w:val="clear" w:color="auto" w:fill="F2F2F2" w:themeFill="background1" w:themeFillShade="F2"/>
            <w:vAlign w:val="center"/>
          </w:tcPr>
          <w:p w14:paraId="54617C3A"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0 (0.0%)</w:t>
            </w:r>
          </w:p>
        </w:tc>
        <w:tc>
          <w:tcPr>
            <w:tcW w:w="2551" w:type="dxa"/>
            <w:shd w:val="clear" w:color="auto" w:fill="F2F2F2" w:themeFill="background1" w:themeFillShade="F2"/>
          </w:tcPr>
          <w:p w14:paraId="3AE79DF4" w14:textId="77777777" w:rsidR="00E06DF5" w:rsidRPr="00776CD4" w:rsidRDefault="00E06DF5" w:rsidP="0083301E">
            <w:pPr>
              <w:rPr>
                <w:rFonts w:asciiTheme="minorHAnsi" w:hAnsiTheme="minorHAnsi" w:cstheme="minorHAnsi"/>
                <w:color w:val="000000" w:themeColor="text1"/>
              </w:rPr>
            </w:pPr>
            <w:r w:rsidRPr="00EA69A8">
              <w:rPr>
                <w:rFonts w:asciiTheme="minorHAnsi" w:hAnsiTheme="minorHAnsi" w:cstheme="minorHAnsi"/>
                <w:color w:val="000000" w:themeColor="text1"/>
              </w:rPr>
              <w:t>HR</w:t>
            </w:r>
          </w:p>
        </w:tc>
        <w:tc>
          <w:tcPr>
            <w:tcW w:w="2552" w:type="dxa"/>
            <w:shd w:val="clear" w:color="auto" w:fill="F2F2F2" w:themeFill="background1" w:themeFillShade="F2"/>
            <w:vAlign w:val="center"/>
          </w:tcPr>
          <w:p w14:paraId="62A36E28" w14:textId="77777777" w:rsidR="00E06DF5" w:rsidRPr="00776CD4" w:rsidRDefault="00E06DF5" w:rsidP="0083301E">
            <w:pPr>
              <w:rPr>
                <w:rFonts w:asciiTheme="minorHAnsi" w:hAnsiTheme="minorHAnsi" w:cstheme="minorHAnsi"/>
                <w:color w:val="000000" w:themeColor="text1"/>
              </w:rPr>
            </w:pPr>
          </w:p>
        </w:tc>
      </w:tr>
      <w:tr w:rsidR="00E06DF5" w:rsidRPr="00204780" w14:paraId="72B5600C" w14:textId="77777777" w:rsidTr="0083301E">
        <w:trPr>
          <w:trHeight w:val="340"/>
        </w:trPr>
        <w:tc>
          <w:tcPr>
            <w:tcW w:w="4820" w:type="dxa"/>
            <w:shd w:val="clear" w:color="auto" w:fill="FFFFFF" w:themeFill="background1"/>
            <w:vAlign w:val="center"/>
          </w:tcPr>
          <w:p w14:paraId="6EA9A935" w14:textId="77777777" w:rsidR="00E06DF5" w:rsidRPr="00776CD4" w:rsidRDefault="00E06DF5" w:rsidP="0083301E">
            <w:pPr>
              <w:rPr>
                <w:rFonts w:asciiTheme="minorHAnsi" w:hAnsiTheme="minorHAnsi" w:cstheme="minorHAnsi"/>
                <w:color w:val="000000" w:themeColor="text1"/>
                <w:lang w:val="en-US"/>
              </w:rPr>
            </w:pPr>
            <w:r w:rsidRPr="00776CD4">
              <w:rPr>
                <w:rFonts w:asciiTheme="minorHAnsi" w:hAnsiTheme="minorHAnsi" w:cstheme="minorHAnsi"/>
                <w:color w:val="000000" w:themeColor="text1"/>
                <w:lang w:val="en-US"/>
              </w:rPr>
              <w:t>Time to weaning from oxygen [days] – median (IQR)</w:t>
            </w:r>
            <w:r>
              <w:rPr>
                <w:rFonts w:asciiTheme="minorHAnsi" w:hAnsiTheme="minorHAnsi" w:cstheme="minorHAnsi"/>
                <w:color w:val="000000" w:themeColor="text1"/>
                <w:lang w:val="en-US"/>
              </w:rPr>
              <w:t xml:space="preserve"> </w:t>
            </w:r>
            <w:r w:rsidRPr="009561E9">
              <w:rPr>
                <w:rFonts w:asciiTheme="minorHAnsi" w:hAnsiTheme="minorHAnsi" w:cstheme="minorHAnsi"/>
                <w:color w:val="000000" w:themeColor="text1"/>
                <w:lang w:val="en-US" w:eastAsia="en-US"/>
              </w:rPr>
              <w:t>#</w:t>
            </w:r>
          </w:p>
        </w:tc>
        <w:tc>
          <w:tcPr>
            <w:tcW w:w="1559" w:type="dxa"/>
            <w:shd w:val="clear" w:color="auto" w:fill="FFFFFF" w:themeFill="background1"/>
            <w:vAlign w:val="center"/>
          </w:tcPr>
          <w:p w14:paraId="7DCD569A"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 xml:space="preserve">5 (2 </w:t>
            </w:r>
            <w:proofErr w:type="spellStart"/>
            <w:r w:rsidRPr="00776CD4">
              <w:rPr>
                <w:rFonts w:asciiTheme="minorHAnsi" w:hAnsiTheme="minorHAnsi" w:cstheme="minorHAnsi"/>
                <w:color w:val="000000" w:themeColor="text1"/>
              </w:rPr>
              <w:t>to</w:t>
            </w:r>
            <w:proofErr w:type="spellEnd"/>
            <w:r w:rsidRPr="00776CD4">
              <w:rPr>
                <w:rFonts w:asciiTheme="minorHAnsi" w:hAnsiTheme="minorHAnsi" w:cstheme="minorHAnsi"/>
                <w:color w:val="000000" w:themeColor="text1"/>
              </w:rPr>
              <w:t xml:space="preserve"> 15)</w:t>
            </w:r>
          </w:p>
        </w:tc>
        <w:tc>
          <w:tcPr>
            <w:tcW w:w="1843" w:type="dxa"/>
            <w:shd w:val="clear" w:color="auto" w:fill="FFFFFF" w:themeFill="background1"/>
            <w:vAlign w:val="center"/>
          </w:tcPr>
          <w:p w14:paraId="498057FE"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 xml:space="preserve">4 (1 </w:t>
            </w:r>
            <w:proofErr w:type="spellStart"/>
            <w:r w:rsidRPr="00776CD4">
              <w:rPr>
                <w:rFonts w:asciiTheme="minorHAnsi" w:hAnsiTheme="minorHAnsi" w:cstheme="minorHAnsi"/>
                <w:color w:val="000000" w:themeColor="text1"/>
              </w:rPr>
              <w:t>to</w:t>
            </w:r>
            <w:proofErr w:type="spellEnd"/>
            <w:r w:rsidRPr="00776CD4">
              <w:rPr>
                <w:rFonts w:asciiTheme="minorHAnsi" w:hAnsiTheme="minorHAnsi" w:cstheme="minorHAnsi"/>
                <w:color w:val="000000" w:themeColor="text1"/>
              </w:rPr>
              <w:t xml:space="preserve"> 8)</w:t>
            </w:r>
          </w:p>
        </w:tc>
        <w:tc>
          <w:tcPr>
            <w:tcW w:w="2551" w:type="dxa"/>
            <w:shd w:val="clear" w:color="auto" w:fill="FFFFFF" w:themeFill="background1"/>
          </w:tcPr>
          <w:p w14:paraId="5BBC8376" w14:textId="77777777" w:rsidR="00E06DF5" w:rsidRPr="00776CD4" w:rsidRDefault="00E06DF5" w:rsidP="0083301E">
            <w:pPr>
              <w:rPr>
                <w:rFonts w:asciiTheme="minorHAnsi" w:hAnsiTheme="minorHAnsi" w:cstheme="minorHAnsi"/>
                <w:color w:val="000000" w:themeColor="text1"/>
              </w:rPr>
            </w:pPr>
            <w:proofErr w:type="spellStart"/>
            <w:r w:rsidRPr="00EA69A8">
              <w:rPr>
                <w:rFonts w:asciiTheme="minorHAnsi" w:hAnsiTheme="minorHAnsi" w:cstheme="minorHAnsi"/>
                <w:color w:val="000000" w:themeColor="text1"/>
              </w:rPr>
              <w:t>Subdistribution</w:t>
            </w:r>
            <w:proofErr w:type="spellEnd"/>
            <w:r w:rsidRPr="00EA69A8">
              <w:rPr>
                <w:rFonts w:asciiTheme="minorHAnsi" w:hAnsiTheme="minorHAnsi" w:cstheme="minorHAnsi"/>
                <w:color w:val="000000" w:themeColor="text1"/>
              </w:rPr>
              <w:t xml:space="preserve"> HR</w:t>
            </w:r>
          </w:p>
        </w:tc>
        <w:tc>
          <w:tcPr>
            <w:tcW w:w="2552" w:type="dxa"/>
            <w:shd w:val="clear" w:color="auto" w:fill="FFFFFF" w:themeFill="background1"/>
            <w:vAlign w:val="center"/>
          </w:tcPr>
          <w:p w14:paraId="6A0C3E0D"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0.76 (0.46; 1.25)</w:t>
            </w:r>
          </w:p>
        </w:tc>
      </w:tr>
      <w:tr w:rsidR="00E06DF5" w:rsidRPr="00204780" w14:paraId="6F45E2D9" w14:textId="77777777" w:rsidTr="0083301E">
        <w:trPr>
          <w:trHeight w:val="340"/>
        </w:trPr>
        <w:tc>
          <w:tcPr>
            <w:tcW w:w="4820" w:type="dxa"/>
            <w:shd w:val="clear" w:color="auto" w:fill="F2F2F2" w:themeFill="background1" w:themeFillShade="F2"/>
            <w:vAlign w:val="center"/>
          </w:tcPr>
          <w:p w14:paraId="333298B5" w14:textId="77777777" w:rsidR="00E06DF5" w:rsidRPr="00776CD4" w:rsidRDefault="00E06DF5" w:rsidP="0083301E">
            <w:pPr>
              <w:rPr>
                <w:rFonts w:asciiTheme="minorHAnsi" w:hAnsiTheme="minorHAnsi" w:cstheme="minorHAnsi"/>
                <w:color w:val="000000" w:themeColor="text1"/>
                <w:lang w:val="en-US"/>
              </w:rPr>
            </w:pPr>
            <w:r w:rsidRPr="00776CD4">
              <w:rPr>
                <w:rFonts w:asciiTheme="minorHAnsi" w:hAnsiTheme="minorHAnsi" w:cstheme="minorHAnsi"/>
                <w:color w:val="000000" w:themeColor="text1"/>
                <w:lang w:val="en-US"/>
              </w:rPr>
              <w:t>Hospital stay [days]  – median (IQR)</w:t>
            </w:r>
          </w:p>
        </w:tc>
        <w:tc>
          <w:tcPr>
            <w:tcW w:w="1559" w:type="dxa"/>
            <w:shd w:val="clear" w:color="auto" w:fill="F2F2F2" w:themeFill="background1" w:themeFillShade="F2"/>
            <w:vAlign w:val="center"/>
          </w:tcPr>
          <w:p w14:paraId="37192468"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 xml:space="preserve">8 (4 </w:t>
            </w:r>
            <w:proofErr w:type="spellStart"/>
            <w:r w:rsidRPr="00776CD4">
              <w:rPr>
                <w:rFonts w:asciiTheme="minorHAnsi" w:hAnsiTheme="minorHAnsi" w:cstheme="minorHAnsi"/>
                <w:color w:val="000000" w:themeColor="text1"/>
              </w:rPr>
              <w:t>to</w:t>
            </w:r>
            <w:proofErr w:type="spellEnd"/>
            <w:r w:rsidRPr="00776CD4">
              <w:rPr>
                <w:rFonts w:asciiTheme="minorHAnsi" w:hAnsiTheme="minorHAnsi" w:cstheme="minorHAnsi"/>
                <w:color w:val="000000" w:themeColor="text1"/>
              </w:rPr>
              <w:t xml:space="preserve"> 17)</w:t>
            </w:r>
          </w:p>
        </w:tc>
        <w:tc>
          <w:tcPr>
            <w:tcW w:w="1843" w:type="dxa"/>
            <w:shd w:val="clear" w:color="auto" w:fill="F2F2F2" w:themeFill="background1" w:themeFillShade="F2"/>
            <w:vAlign w:val="center"/>
          </w:tcPr>
          <w:p w14:paraId="5A967CA7"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 xml:space="preserve">9 (4 </w:t>
            </w:r>
            <w:proofErr w:type="spellStart"/>
            <w:r w:rsidRPr="00776CD4">
              <w:rPr>
                <w:rFonts w:asciiTheme="minorHAnsi" w:hAnsiTheme="minorHAnsi" w:cstheme="minorHAnsi"/>
                <w:color w:val="000000" w:themeColor="text1"/>
              </w:rPr>
              <w:t>to</w:t>
            </w:r>
            <w:proofErr w:type="spellEnd"/>
            <w:r w:rsidRPr="00776CD4">
              <w:rPr>
                <w:rFonts w:asciiTheme="minorHAnsi" w:hAnsiTheme="minorHAnsi" w:cstheme="minorHAnsi"/>
                <w:color w:val="000000" w:themeColor="text1"/>
              </w:rPr>
              <w:t xml:space="preserve"> 16)</w:t>
            </w:r>
          </w:p>
        </w:tc>
        <w:tc>
          <w:tcPr>
            <w:tcW w:w="2551" w:type="dxa"/>
            <w:shd w:val="clear" w:color="auto" w:fill="F2F2F2" w:themeFill="background1" w:themeFillShade="F2"/>
          </w:tcPr>
          <w:p w14:paraId="5A38E876" w14:textId="77777777" w:rsidR="00E06DF5" w:rsidRPr="00776CD4" w:rsidRDefault="00E06DF5" w:rsidP="0083301E">
            <w:pPr>
              <w:rPr>
                <w:rFonts w:asciiTheme="minorHAnsi" w:hAnsiTheme="minorHAnsi" w:cstheme="minorHAnsi"/>
                <w:color w:val="000000" w:themeColor="text1"/>
              </w:rPr>
            </w:pPr>
            <w:proofErr w:type="spellStart"/>
            <w:r w:rsidRPr="00EA69A8">
              <w:rPr>
                <w:rFonts w:asciiTheme="minorHAnsi" w:hAnsiTheme="minorHAnsi" w:cstheme="minorHAnsi"/>
                <w:color w:val="000000" w:themeColor="text1"/>
              </w:rPr>
              <w:t>Subdistribution</w:t>
            </w:r>
            <w:proofErr w:type="spellEnd"/>
            <w:r w:rsidRPr="00EA69A8">
              <w:rPr>
                <w:rFonts w:asciiTheme="minorHAnsi" w:hAnsiTheme="minorHAnsi" w:cstheme="minorHAnsi"/>
                <w:color w:val="000000" w:themeColor="text1"/>
              </w:rPr>
              <w:t xml:space="preserve"> HR</w:t>
            </w:r>
          </w:p>
        </w:tc>
        <w:tc>
          <w:tcPr>
            <w:tcW w:w="2552" w:type="dxa"/>
            <w:shd w:val="clear" w:color="auto" w:fill="F2F2F2" w:themeFill="background1" w:themeFillShade="F2"/>
            <w:vAlign w:val="center"/>
          </w:tcPr>
          <w:p w14:paraId="543ACFE2"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0.92 (0.55; 1.53)</w:t>
            </w:r>
          </w:p>
        </w:tc>
      </w:tr>
      <w:tr w:rsidR="00E06DF5" w:rsidRPr="00204780" w14:paraId="144067D7" w14:textId="77777777" w:rsidTr="0083301E">
        <w:trPr>
          <w:trHeight w:val="340"/>
        </w:trPr>
        <w:tc>
          <w:tcPr>
            <w:tcW w:w="4820" w:type="dxa"/>
            <w:shd w:val="clear" w:color="auto" w:fill="FFFFFF" w:themeFill="background1"/>
            <w:vAlign w:val="center"/>
          </w:tcPr>
          <w:p w14:paraId="671C7F30" w14:textId="77777777" w:rsidR="00E06DF5" w:rsidRPr="00776CD4" w:rsidRDefault="00E06DF5" w:rsidP="0083301E">
            <w:pPr>
              <w:rPr>
                <w:rFonts w:asciiTheme="minorHAnsi" w:hAnsiTheme="minorHAnsi" w:cstheme="minorHAnsi"/>
                <w:color w:val="000000" w:themeColor="text1"/>
                <w:lang w:val="en-US"/>
              </w:rPr>
            </w:pPr>
            <w:r w:rsidRPr="00776CD4">
              <w:rPr>
                <w:rFonts w:asciiTheme="minorHAnsi" w:hAnsiTheme="minorHAnsi" w:cstheme="minorHAnsi"/>
                <w:color w:val="000000" w:themeColor="text1"/>
                <w:lang w:val="en-US"/>
              </w:rPr>
              <w:t>ICU stay [days] – median (IQR)</w:t>
            </w:r>
            <w:r>
              <w:rPr>
                <w:rFonts w:asciiTheme="minorHAnsi" w:hAnsiTheme="minorHAnsi" w:cstheme="minorHAnsi"/>
                <w:color w:val="000000" w:themeColor="text1"/>
                <w:lang w:val="en-US"/>
              </w:rPr>
              <w:t xml:space="preserve"> *</w:t>
            </w:r>
          </w:p>
        </w:tc>
        <w:tc>
          <w:tcPr>
            <w:tcW w:w="1559" w:type="dxa"/>
            <w:shd w:val="clear" w:color="auto" w:fill="FFFFFF" w:themeFill="background1"/>
            <w:vAlign w:val="center"/>
          </w:tcPr>
          <w:p w14:paraId="4B48450E"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 xml:space="preserve">14 (8 </w:t>
            </w:r>
            <w:proofErr w:type="spellStart"/>
            <w:r w:rsidRPr="00776CD4">
              <w:rPr>
                <w:rFonts w:asciiTheme="minorHAnsi" w:hAnsiTheme="minorHAnsi" w:cstheme="minorHAnsi"/>
                <w:color w:val="000000" w:themeColor="text1"/>
              </w:rPr>
              <w:t>to</w:t>
            </w:r>
            <w:proofErr w:type="spellEnd"/>
            <w:r w:rsidRPr="00776CD4">
              <w:rPr>
                <w:rFonts w:asciiTheme="minorHAnsi" w:hAnsiTheme="minorHAnsi" w:cstheme="minorHAnsi"/>
                <w:color w:val="000000" w:themeColor="text1"/>
              </w:rPr>
              <w:t xml:space="preserve"> 22)</w:t>
            </w:r>
          </w:p>
        </w:tc>
        <w:tc>
          <w:tcPr>
            <w:tcW w:w="1843" w:type="dxa"/>
            <w:shd w:val="clear" w:color="auto" w:fill="FFFFFF" w:themeFill="background1"/>
            <w:vAlign w:val="center"/>
          </w:tcPr>
          <w:p w14:paraId="2E8E0427"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 xml:space="preserve">12 (9 </w:t>
            </w:r>
            <w:proofErr w:type="spellStart"/>
            <w:r w:rsidRPr="00776CD4">
              <w:rPr>
                <w:rFonts w:asciiTheme="minorHAnsi" w:hAnsiTheme="minorHAnsi" w:cstheme="minorHAnsi"/>
                <w:color w:val="000000" w:themeColor="text1"/>
              </w:rPr>
              <w:t>to</w:t>
            </w:r>
            <w:proofErr w:type="spellEnd"/>
            <w:r w:rsidRPr="00776CD4">
              <w:rPr>
                <w:rFonts w:asciiTheme="minorHAnsi" w:hAnsiTheme="minorHAnsi" w:cstheme="minorHAnsi"/>
                <w:color w:val="000000" w:themeColor="text1"/>
              </w:rPr>
              <w:t xml:space="preserve"> 18)</w:t>
            </w:r>
          </w:p>
        </w:tc>
        <w:tc>
          <w:tcPr>
            <w:tcW w:w="2551" w:type="dxa"/>
            <w:shd w:val="clear" w:color="auto" w:fill="FFFFFF" w:themeFill="background1"/>
          </w:tcPr>
          <w:p w14:paraId="19420C62" w14:textId="77777777" w:rsidR="00E06DF5" w:rsidRPr="00776CD4" w:rsidRDefault="00E06DF5" w:rsidP="0083301E">
            <w:pPr>
              <w:rPr>
                <w:rFonts w:asciiTheme="minorHAnsi" w:hAnsiTheme="minorHAnsi" w:cstheme="minorHAnsi"/>
                <w:color w:val="000000" w:themeColor="text1"/>
              </w:rPr>
            </w:pPr>
            <w:proofErr w:type="spellStart"/>
            <w:r w:rsidRPr="00EA69A8">
              <w:rPr>
                <w:rFonts w:asciiTheme="minorHAnsi" w:hAnsiTheme="minorHAnsi" w:cstheme="minorHAnsi"/>
                <w:color w:val="000000" w:themeColor="text1"/>
              </w:rPr>
              <w:t>Subdistribution</w:t>
            </w:r>
            <w:proofErr w:type="spellEnd"/>
            <w:r w:rsidRPr="00EA69A8">
              <w:rPr>
                <w:rFonts w:asciiTheme="minorHAnsi" w:hAnsiTheme="minorHAnsi" w:cstheme="minorHAnsi"/>
                <w:color w:val="000000" w:themeColor="text1"/>
              </w:rPr>
              <w:t xml:space="preserve"> HR</w:t>
            </w:r>
          </w:p>
        </w:tc>
        <w:tc>
          <w:tcPr>
            <w:tcW w:w="2552" w:type="dxa"/>
            <w:shd w:val="clear" w:color="auto" w:fill="FFFFFF" w:themeFill="background1"/>
            <w:vAlign w:val="center"/>
          </w:tcPr>
          <w:p w14:paraId="15E1D8A1"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0.76 (0.34; 1.70)</w:t>
            </w:r>
          </w:p>
        </w:tc>
      </w:tr>
      <w:tr w:rsidR="00E06DF5" w:rsidRPr="00204780" w14:paraId="09503CB3" w14:textId="77777777" w:rsidTr="0083301E">
        <w:trPr>
          <w:trHeight w:val="340"/>
        </w:trPr>
        <w:tc>
          <w:tcPr>
            <w:tcW w:w="4820" w:type="dxa"/>
            <w:shd w:val="clear" w:color="auto" w:fill="F2F2F2" w:themeFill="background1" w:themeFillShade="F2"/>
            <w:vAlign w:val="center"/>
          </w:tcPr>
          <w:p w14:paraId="05DC644C" w14:textId="77777777" w:rsidR="00E06DF5" w:rsidRPr="00776CD4" w:rsidRDefault="00E06DF5" w:rsidP="0083301E">
            <w:pPr>
              <w:rPr>
                <w:rFonts w:asciiTheme="minorHAnsi" w:hAnsiTheme="minorHAnsi" w:cstheme="minorHAnsi"/>
                <w:color w:val="000000" w:themeColor="text1"/>
                <w:lang w:val="en-US"/>
              </w:rPr>
            </w:pPr>
            <w:r w:rsidRPr="00776CD4">
              <w:rPr>
                <w:rFonts w:asciiTheme="minorHAnsi" w:hAnsiTheme="minorHAnsi" w:cstheme="minorHAnsi"/>
                <w:color w:val="000000" w:themeColor="text1"/>
                <w:lang w:val="en-US"/>
              </w:rPr>
              <w:t>Duration of mechanical ventilation</w:t>
            </w:r>
            <w:r>
              <w:rPr>
                <w:rFonts w:asciiTheme="minorHAnsi" w:hAnsiTheme="minorHAnsi" w:cstheme="minorHAnsi"/>
                <w:color w:val="000000" w:themeColor="text1"/>
                <w:lang w:val="en-US"/>
              </w:rPr>
              <w:t xml:space="preserve"> </w:t>
            </w:r>
            <w:r w:rsidRPr="00776CD4">
              <w:rPr>
                <w:rFonts w:asciiTheme="minorHAnsi" w:hAnsiTheme="minorHAnsi" w:cstheme="minorHAnsi"/>
                <w:color w:val="000000" w:themeColor="text1"/>
                <w:lang w:val="en-US"/>
              </w:rPr>
              <w:t>– median (IQR)</w:t>
            </w:r>
            <w:r>
              <w:rPr>
                <w:rFonts w:asciiTheme="minorHAnsi" w:hAnsiTheme="minorHAnsi" w:cstheme="minorHAnsi"/>
                <w:color w:val="000000" w:themeColor="text1"/>
                <w:lang w:val="en-US"/>
              </w:rPr>
              <w:t xml:space="preserve"> *</w:t>
            </w:r>
          </w:p>
        </w:tc>
        <w:tc>
          <w:tcPr>
            <w:tcW w:w="1559" w:type="dxa"/>
            <w:shd w:val="clear" w:color="auto" w:fill="F2F2F2" w:themeFill="background1" w:themeFillShade="F2"/>
            <w:vAlign w:val="center"/>
          </w:tcPr>
          <w:p w14:paraId="73006C22"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 xml:space="preserve">12 (8 </w:t>
            </w:r>
            <w:proofErr w:type="spellStart"/>
            <w:r w:rsidRPr="00776CD4">
              <w:rPr>
                <w:rFonts w:asciiTheme="minorHAnsi" w:hAnsiTheme="minorHAnsi" w:cstheme="minorHAnsi"/>
                <w:color w:val="000000" w:themeColor="text1"/>
              </w:rPr>
              <w:t>to</w:t>
            </w:r>
            <w:proofErr w:type="spellEnd"/>
            <w:r w:rsidRPr="00776CD4">
              <w:rPr>
                <w:rFonts w:asciiTheme="minorHAnsi" w:hAnsiTheme="minorHAnsi" w:cstheme="minorHAnsi"/>
                <w:color w:val="000000" w:themeColor="text1"/>
              </w:rPr>
              <w:t xml:space="preserve"> 16)</w:t>
            </w:r>
          </w:p>
        </w:tc>
        <w:tc>
          <w:tcPr>
            <w:tcW w:w="1843" w:type="dxa"/>
            <w:shd w:val="clear" w:color="auto" w:fill="F2F2F2" w:themeFill="background1" w:themeFillShade="F2"/>
            <w:vAlign w:val="center"/>
          </w:tcPr>
          <w:p w14:paraId="72413ADA"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 xml:space="preserve">11 (7 </w:t>
            </w:r>
            <w:proofErr w:type="spellStart"/>
            <w:r w:rsidRPr="00776CD4">
              <w:rPr>
                <w:rFonts w:asciiTheme="minorHAnsi" w:hAnsiTheme="minorHAnsi" w:cstheme="minorHAnsi"/>
                <w:color w:val="000000" w:themeColor="text1"/>
              </w:rPr>
              <w:t>to</w:t>
            </w:r>
            <w:proofErr w:type="spellEnd"/>
            <w:r w:rsidRPr="00776CD4">
              <w:rPr>
                <w:rFonts w:asciiTheme="minorHAnsi" w:hAnsiTheme="minorHAnsi" w:cstheme="minorHAnsi"/>
                <w:color w:val="000000" w:themeColor="text1"/>
              </w:rPr>
              <w:t xml:space="preserve"> 12)</w:t>
            </w:r>
          </w:p>
        </w:tc>
        <w:tc>
          <w:tcPr>
            <w:tcW w:w="2551" w:type="dxa"/>
            <w:shd w:val="clear" w:color="auto" w:fill="F2F2F2" w:themeFill="background1" w:themeFillShade="F2"/>
          </w:tcPr>
          <w:p w14:paraId="4B7BA99E" w14:textId="77777777" w:rsidR="00E06DF5" w:rsidRPr="00776CD4" w:rsidRDefault="00E06DF5" w:rsidP="0083301E">
            <w:pPr>
              <w:rPr>
                <w:rFonts w:asciiTheme="minorHAnsi" w:hAnsiTheme="minorHAnsi" w:cstheme="minorHAnsi"/>
                <w:color w:val="000000" w:themeColor="text1"/>
              </w:rPr>
            </w:pPr>
            <w:proofErr w:type="spellStart"/>
            <w:r w:rsidRPr="00EA69A8">
              <w:rPr>
                <w:rFonts w:asciiTheme="minorHAnsi" w:hAnsiTheme="minorHAnsi" w:cstheme="minorHAnsi"/>
                <w:color w:val="000000" w:themeColor="text1"/>
              </w:rPr>
              <w:t>Subdistribution</w:t>
            </w:r>
            <w:proofErr w:type="spellEnd"/>
            <w:r w:rsidRPr="00EA69A8">
              <w:rPr>
                <w:rFonts w:asciiTheme="minorHAnsi" w:hAnsiTheme="minorHAnsi" w:cstheme="minorHAnsi"/>
                <w:color w:val="000000" w:themeColor="text1"/>
              </w:rPr>
              <w:t xml:space="preserve"> HR</w:t>
            </w:r>
          </w:p>
        </w:tc>
        <w:tc>
          <w:tcPr>
            <w:tcW w:w="2552" w:type="dxa"/>
            <w:shd w:val="clear" w:color="auto" w:fill="F2F2F2" w:themeFill="background1" w:themeFillShade="F2"/>
            <w:vAlign w:val="center"/>
          </w:tcPr>
          <w:p w14:paraId="6226E5F1"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0.37 (0.11; 1.29)</w:t>
            </w:r>
          </w:p>
        </w:tc>
      </w:tr>
      <w:tr w:rsidR="00E06DF5" w:rsidRPr="00EA69A8" w14:paraId="2C63A3DF" w14:textId="77777777" w:rsidTr="0083301E">
        <w:trPr>
          <w:trHeight w:val="340"/>
        </w:trPr>
        <w:tc>
          <w:tcPr>
            <w:tcW w:w="4820" w:type="dxa"/>
            <w:shd w:val="clear" w:color="auto" w:fill="FFFFFF" w:themeFill="background1"/>
            <w:vAlign w:val="center"/>
          </w:tcPr>
          <w:p w14:paraId="663552F3" w14:textId="77777777" w:rsidR="00E06DF5" w:rsidRPr="00776CD4" w:rsidRDefault="00E06DF5" w:rsidP="0083301E">
            <w:pPr>
              <w:rPr>
                <w:rFonts w:asciiTheme="minorHAnsi" w:hAnsiTheme="minorHAnsi" w:cstheme="minorHAnsi"/>
                <w:color w:val="000000" w:themeColor="text1"/>
                <w:lang w:val="en-US"/>
              </w:rPr>
            </w:pPr>
            <w:r w:rsidRPr="00776CD4">
              <w:rPr>
                <w:rFonts w:asciiTheme="minorHAnsi" w:hAnsiTheme="minorHAnsi" w:cstheme="minorHAnsi"/>
                <w:color w:val="000000" w:themeColor="text1"/>
                <w:lang w:val="en-US"/>
              </w:rPr>
              <w:t>Clinical Status on day 15– no. (%)</w:t>
            </w:r>
          </w:p>
        </w:tc>
        <w:tc>
          <w:tcPr>
            <w:tcW w:w="1559" w:type="dxa"/>
            <w:shd w:val="clear" w:color="auto" w:fill="FFFFFF" w:themeFill="background1"/>
            <w:vAlign w:val="center"/>
          </w:tcPr>
          <w:p w14:paraId="26BC2FC3" w14:textId="77777777" w:rsidR="00E06DF5" w:rsidRPr="00776CD4" w:rsidRDefault="00E06DF5" w:rsidP="0083301E">
            <w:pPr>
              <w:rPr>
                <w:rFonts w:asciiTheme="minorHAnsi" w:hAnsiTheme="minorHAnsi" w:cstheme="minorHAnsi"/>
                <w:color w:val="000000" w:themeColor="text1"/>
                <w:lang w:val="en-US"/>
              </w:rPr>
            </w:pPr>
          </w:p>
        </w:tc>
        <w:tc>
          <w:tcPr>
            <w:tcW w:w="1843" w:type="dxa"/>
            <w:shd w:val="clear" w:color="auto" w:fill="FFFFFF" w:themeFill="background1"/>
            <w:vAlign w:val="center"/>
          </w:tcPr>
          <w:p w14:paraId="1C810C81" w14:textId="77777777" w:rsidR="00E06DF5" w:rsidRPr="00776CD4" w:rsidRDefault="00E06DF5" w:rsidP="0083301E">
            <w:pPr>
              <w:rPr>
                <w:rFonts w:asciiTheme="minorHAnsi" w:hAnsiTheme="minorHAnsi" w:cstheme="minorHAnsi"/>
                <w:color w:val="000000" w:themeColor="text1"/>
                <w:lang w:val="en-US"/>
              </w:rPr>
            </w:pPr>
          </w:p>
        </w:tc>
        <w:tc>
          <w:tcPr>
            <w:tcW w:w="2551" w:type="dxa"/>
            <w:shd w:val="clear" w:color="auto" w:fill="FFFFFF" w:themeFill="background1"/>
          </w:tcPr>
          <w:p w14:paraId="1DC98157" w14:textId="77777777" w:rsidR="00E06DF5" w:rsidRPr="00EA69A8" w:rsidRDefault="00E06DF5" w:rsidP="0083301E">
            <w:pPr>
              <w:rPr>
                <w:rFonts w:asciiTheme="minorHAnsi" w:hAnsiTheme="minorHAnsi" w:cstheme="minorHAnsi"/>
                <w:color w:val="000000" w:themeColor="text1"/>
              </w:rPr>
            </w:pPr>
            <w:r w:rsidRPr="00EA69A8">
              <w:rPr>
                <w:rFonts w:asciiTheme="minorHAnsi" w:hAnsiTheme="minorHAnsi" w:cstheme="minorHAnsi"/>
                <w:color w:val="000000" w:themeColor="text1"/>
              </w:rPr>
              <w:t xml:space="preserve">Common </w:t>
            </w:r>
            <w:proofErr w:type="spellStart"/>
            <w:r w:rsidRPr="00EA69A8">
              <w:rPr>
                <w:rFonts w:asciiTheme="minorHAnsi" w:hAnsiTheme="minorHAnsi" w:cstheme="minorHAnsi"/>
                <w:color w:val="000000" w:themeColor="text1"/>
              </w:rPr>
              <w:t>Odds</w:t>
            </w:r>
            <w:proofErr w:type="spellEnd"/>
            <w:r w:rsidRPr="00EA69A8">
              <w:rPr>
                <w:rFonts w:asciiTheme="minorHAnsi" w:hAnsiTheme="minorHAnsi" w:cstheme="minorHAnsi"/>
                <w:color w:val="000000" w:themeColor="text1"/>
              </w:rPr>
              <w:t xml:space="preserve"> Ratio</w:t>
            </w:r>
          </w:p>
        </w:tc>
        <w:tc>
          <w:tcPr>
            <w:tcW w:w="2552" w:type="dxa"/>
            <w:shd w:val="clear" w:color="auto" w:fill="FFFFFF" w:themeFill="background1"/>
            <w:vAlign w:val="center"/>
          </w:tcPr>
          <w:p w14:paraId="56739D3A" w14:textId="77777777" w:rsidR="00E06DF5" w:rsidRPr="00EA69A8" w:rsidRDefault="00E06DF5" w:rsidP="0083301E">
            <w:pPr>
              <w:rPr>
                <w:rFonts w:asciiTheme="minorHAnsi" w:hAnsiTheme="minorHAnsi" w:cstheme="minorHAnsi"/>
                <w:color w:val="000000" w:themeColor="text1"/>
              </w:rPr>
            </w:pPr>
            <w:r w:rsidRPr="00EA69A8">
              <w:rPr>
                <w:rFonts w:asciiTheme="minorHAnsi" w:hAnsiTheme="minorHAnsi" w:cstheme="minorHAnsi"/>
                <w:color w:val="000000" w:themeColor="text1"/>
              </w:rPr>
              <w:t>1.21 (0.47; 2.87)</w:t>
            </w:r>
          </w:p>
        </w:tc>
      </w:tr>
      <w:tr w:rsidR="00E06DF5" w:rsidRPr="00204780" w14:paraId="560AAAE6" w14:textId="77777777" w:rsidTr="0083301E">
        <w:trPr>
          <w:trHeight w:val="340"/>
        </w:trPr>
        <w:tc>
          <w:tcPr>
            <w:tcW w:w="4820" w:type="dxa"/>
            <w:shd w:val="clear" w:color="auto" w:fill="F2F2F2" w:themeFill="background1" w:themeFillShade="F2"/>
            <w:vAlign w:val="center"/>
          </w:tcPr>
          <w:p w14:paraId="059267C6" w14:textId="77777777" w:rsidR="00E06DF5" w:rsidRPr="00776CD4" w:rsidRDefault="00E06DF5" w:rsidP="0083301E">
            <w:pPr>
              <w:rPr>
                <w:rFonts w:asciiTheme="minorHAnsi" w:hAnsiTheme="minorHAnsi" w:cstheme="minorHAnsi"/>
                <w:color w:val="000000" w:themeColor="text1"/>
                <w:lang w:val="en-US"/>
              </w:rPr>
            </w:pPr>
            <w:r w:rsidRPr="00776CD4">
              <w:rPr>
                <w:rFonts w:asciiTheme="minorHAnsi" w:hAnsiTheme="minorHAnsi" w:cstheme="minorHAnsi"/>
                <w:color w:val="000000" w:themeColor="text1"/>
                <w:lang w:val="en-US"/>
              </w:rPr>
              <w:t xml:space="preserve">      1: Not hospitalized, no limitations on activities</w:t>
            </w:r>
          </w:p>
        </w:tc>
        <w:tc>
          <w:tcPr>
            <w:tcW w:w="1559" w:type="dxa"/>
            <w:shd w:val="clear" w:color="auto" w:fill="F2F2F2" w:themeFill="background1" w:themeFillShade="F2"/>
            <w:vAlign w:val="center"/>
          </w:tcPr>
          <w:p w14:paraId="5CA3CE86"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10 (31.3%)</w:t>
            </w:r>
          </w:p>
        </w:tc>
        <w:tc>
          <w:tcPr>
            <w:tcW w:w="1843" w:type="dxa"/>
            <w:shd w:val="clear" w:color="auto" w:fill="F2F2F2" w:themeFill="background1" w:themeFillShade="F2"/>
            <w:vAlign w:val="center"/>
          </w:tcPr>
          <w:p w14:paraId="1336E258"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7 (22.6%)</w:t>
            </w:r>
          </w:p>
        </w:tc>
        <w:tc>
          <w:tcPr>
            <w:tcW w:w="2551" w:type="dxa"/>
            <w:shd w:val="clear" w:color="auto" w:fill="F2F2F2" w:themeFill="background1" w:themeFillShade="F2"/>
          </w:tcPr>
          <w:p w14:paraId="3B960084" w14:textId="77777777" w:rsidR="00E06DF5" w:rsidRPr="00776CD4" w:rsidRDefault="00E06DF5" w:rsidP="0083301E">
            <w:pPr>
              <w:rPr>
                <w:rFonts w:asciiTheme="minorHAnsi" w:hAnsiTheme="minorHAnsi" w:cstheme="minorHAnsi"/>
                <w:color w:val="000000" w:themeColor="text1"/>
              </w:rPr>
            </w:pPr>
          </w:p>
        </w:tc>
        <w:tc>
          <w:tcPr>
            <w:tcW w:w="2552" w:type="dxa"/>
            <w:shd w:val="clear" w:color="auto" w:fill="F2F2F2" w:themeFill="background1" w:themeFillShade="F2"/>
            <w:vAlign w:val="center"/>
          </w:tcPr>
          <w:p w14:paraId="049EAACA" w14:textId="77777777" w:rsidR="00E06DF5" w:rsidRPr="00776CD4" w:rsidRDefault="00E06DF5" w:rsidP="0083301E">
            <w:pPr>
              <w:rPr>
                <w:rFonts w:asciiTheme="minorHAnsi" w:hAnsiTheme="minorHAnsi" w:cstheme="minorHAnsi"/>
                <w:color w:val="000000" w:themeColor="text1"/>
              </w:rPr>
            </w:pPr>
          </w:p>
        </w:tc>
      </w:tr>
      <w:tr w:rsidR="00E06DF5" w:rsidRPr="00204780" w14:paraId="46BFE692" w14:textId="77777777" w:rsidTr="0083301E">
        <w:trPr>
          <w:trHeight w:val="340"/>
        </w:trPr>
        <w:tc>
          <w:tcPr>
            <w:tcW w:w="4820" w:type="dxa"/>
            <w:shd w:val="clear" w:color="auto" w:fill="FFFFFF" w:themeFill="background1"/>
            <w:vAlign w:val="center"/>
          </w:tcPr>
          <w:p w14:paraId="724B1723" w14:textId="77777777" w:rsidR="00E06DF5" w:rsidRPr="00776CD4" w:rsidRDefault="00E06DF5" w:rsidP="0083301E">
            <w:pPr>
              <w:rPr>
                <w:rFonts w:asciiTheme="minorHAnsi" w:hAnsiTheme="minorHAnsi" w:cstheme="minorHAnsi"/>
                <w:color w:val="000000" w:themeColor="text1"/>
                <w:lang w:val="en-US"/>
              </w:rPr>
            </w:pPr>
            <w:r w:rsidRPr="00776CD4">
              <w:rPr>
                <w:rFonts w:asciiTheme="minorHAnsi" w:hAnsiTheme="minorHAnsi" w:cstheme="minorHAnsi"/>
                <w:color w:val="000000" w:themeColor="text1"/>
                <w:lang w:val="en-US"/>
              </w:rPr>
              <w:t xml:space="preserve">      2: Not hospitalized, limitations on activities</w:t>
            </w:r>
          </w:p>
        </w:tc>
        <w:tc>
          <w:tcPr>
            <w:tcW w:w="1559" w:type="dxa"/>
            <w:shd w:val="clear" w:color="auto" w:fill="FFFFFF" w:themeFill="background1"/>
            <w:vAlign w:val="center"/>
          </w:tcPr>
          <w:p w14:paraId="45C394E6"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12 (37.5%)</w:t>
            </w:r>
          </w:p>
        </w:tc>
        <w:tc>
          <w:tcPr>
            <w:tcW w:w="1843" w:type="dxa"/>
            <w:shd w:val="clear" w:color="auto" w:fill="FFFFFF" w:themeFill="background1"/>
            <w:vAlign w:val="center"/>
          </w:tcPr>
          <w:p w14:paraId="7B3406B4"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14 (45.2%)</w:t>
            </w:r>
          </w:p>
        </w:tc>
        <w:tc>
          <w:tcPr>
            <w:tcW w:w="2551" w:type="dxa"/>
            <w:shd w:val="clear" w:color="auto" w:fill="FFFFFF" w:themeFill="background1"/>
          </w:tcPr>
          <w:p w14:paraId="15F22EB7" w14:textId="77777777" w:rsidR="00E06DF5" w:rsidRPr="00776CD4" w:rsidRDefault="00E06DF5" w:rsidP="0083301E">
            <w:pPr>
              <w:rPr>
                <w:rFonts w:asciiTheme="minorHAnsi" w:hAnsiTheme="minorHAnsi" w:cstheme="minorHAnsi"/>
                <w:color w:val="000000" w:themeColor="text1"/>
              </w:rPr>
            </w:pPr>
          </w:p>
        </w:tc>
        <w:tc>
          <w:tcPr>
            <w:tcW w:w="2552" w:type="dxa"/>
            <w:shd w:val="clear" w:color="auto" w:fill="FFFFFF" w:themeFill="background1"/>
            <w:vAlign w:val="center"/>
          </w:tcPr>
          <w:p w14:paraId="06F6D7C2" w14:textId="77777777" w:rsidR="00E06DF5" w:rsidRPr="00776CD4" w:rsidRDefault="00E06DF5" w:rsidP="0083301E">
            <w:pPr>
              <w:rPr>
                <w:rFonts w:asciiTheme="minorHAnsi" w:hAnsiTheme="minorHAnsi" w:cstheme="minorHAnsi"/>
                <w:color w:val="000000" w:themeColor="text1"/>
              </w:rPr>
            </w:pPr>
          </w:p>
        </w:tc>
      </w:tr>
      <w:tr w:rsidR="00E06DF5" w:rsidRPr="00204780" w14:paraId="4777D56C" w14:textId="77777777" w:rsidTr="0083301E">
        <w:trPr>
          <w:trHeight w:val="340"/>
        </w:trPr>
        <w:tc>
          <w:tcPr>
            <w:tcW w:w="4820" w:type="dxa"/>
            <w:shd w:val="clear" w:color="auto" w:fill="F2F2F2" w:themeFill="background1" w:themeFillShade="F2"/>
            <w:vAlign w:val="center"/>
          </w:tcPr>
          <w:p w14:paraId="4AFD589D" w14:textId="77777777" w:rsidR="00E06DF5" w:rsidRPr="00776CD4" w:rsidRDefault="00E06DF5" w:rsidP="0083301E">
            <w:pPr>
              <w:rPr>
                <w:rFonts w:asciiTheme="minorHAnsi" w:hAnsiTheme="minorHAnsi" w:cstheme="minorHAnsi"/>
                <w:color w:val="000000" w:themeColor="text1"/>
                <w:lang w:val="en-US"/>
              </w:rPr>
            </w:pPr>
            <w:r w:rsidRPr="00776CD4">
              <w:rPr>
                <w:rFonts w:asciiTheme="minorHAnsi" w:hAnsiTheme="minorHAnsi" w:cstheme="minorHAnsi"/>
                <w:color w:val="000000" w:themeColor="text1"/>
                <w:lang w:val="en-US"/>
              </w:rPr>
              <w:t xml:space="preserve">      3: Hospitalized, not requiring supplemental oxygen</w:t>
            </w:r>
          </w:p>
        </w:tc>
        <w:tc>
          <w:tcPr>
            <w:tcW w:w="1559" w:type="dxa"/>
            <w:shd w:val="clear" w:color="auto" w:fill="F2F2F2" w:themeFill="background1" w:themeFillShade="F2"/>
            <w:vAlign w:val="center"/>
          </w:tcPr>
          <w:p w14:paraId="743D5640"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1 (3.1%)</w:t>
            </w:r>
          </w:p>
        </w:tc>
        <w:tc>
          <w:tcPr>
            <w:tcW w:w="1843" w:type="dxa"/>
            <w:shd w:val="clear" w:color="auto" w:fill="F2F2F2" w:themeFill="background1" w:themeFillShade="F2"/>
            <w:vAlign w:val="center"/>
          </w:tcPr>
          <w:p w14:paraId="7022BF92"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3 (9.7%)</w:t>
            </w:r>
          </w:p>
        </w:tc>
        <w:tc>
          <w:tcPr>
            <w:tcW w:w="2551" w:type="dxa"/>
            <w:shd w:val="clear" w:color="auto" w:fill="F2F2F2" w:themeFill="background1" w:themeFillShade="F2"/>
          </w:tcPr>
          <w:p w14:paraId="001C3AA8" w14:textId="77777777" w:rsidR="00E06DF5" w:rsidRPr="00776CD4" w:rsidRDefault="00E06DF5" w:rsidP="0083301E">
            <w:pPr>
              <w:rPr>
                <w:rFonts w:asciiTheme="minorHAnsi" w:hAnsiTheme="minorHAnsi" w:cstheme="minorHAnsi"/>
                <w:color w:val="000000" w:themeColor="text1"/>
              </w:rPr>
            </w:pPr>
          </w:p>
        </w:tc>
        <w:tc>
          <w:tcPr>
            <w:tcW w:w="2552" w:type="dxa"/>
            <w:shd w:val="clear" w:color="auto" w:fill="F2F2F2" w:themeFill="background1" w:themeFillShade="F2"/>
            <w:vAlign w:val="center"/>
          </w:tcPr>
          <w:p w14:paraId="5602E0D3" w14:textId="77777777" w:rsidR="00E06DF5" w:rsidRPr="00776CD4" w:rsidRDefault="00E06DF5" w:rsidP="0083301E">
            <w:pPr>
              <w:rPr>
                <w:rFonts w:asciiTheme="minorHAnsi" w:hAnsiTheme="minorHAnsi" w:cstheme="minorHAnsi"/>
                <w:color w:val="000000" w:themeColor="text1"/>
              </w:rPr>
            </w:pPr>
          </w:p>
        </w:tc>
      </w:tr>
      <w:tr w:rsidR="00E06DF5" w:rsidRPr="00204780" w14:paraId="7E42F440" w14:textId="77777777" w:rsidTr="0083301E">
        <w:trPr>
          <w:trHeight w:val="340"/>
        </w:trPr>
        <w:tc>
          <w:tcPr>
            <w:tcW w:w="4820" w:type="dxa"/>
            <w:shd w:val="clear" w:color="auto" w:fill="FFFFFF" w:themeFill="background1"/>
            <w:vAlign w:val="center"/>
          </w:tcPr>
          <w:p w14:paraId="5B435F22"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 xml:space="preserve">      4: </w:t>
            </w:r>
            <w:proofErr w:type="spellStart"/>
            <w:r w:rsidRPr="00776CD4">
              <w:rPr>
                <w:rFonts w:asciiTheme="minorHAnsi" w:hAnsiTheme="minorHAnsi" w:cstheme="minorHAnsi"/>
                <w:color w:val="000000" w:themeColor="text1"/>
              </w:rPr>
              <w:t>Hospitalized</w:t>
            </w:r>
            <w:proofErr w:type="spellEnd"/>
            <w:r w:rsidRPr="00776CD4">
              <w:rPr>
                <w:rFonts w:asciiTheme="minorHAnsi" w:hAnsiTheme="minorHAnsi" w:cstheme="minorHAnsi"/>
                <w:color w:val="000000" w:themeColor="text1"/>
              </w:rPr>
              <w:t xml:space="preserve">, </w:t>
            </w:r>
            <w:proofErr w:type="spellStart"/>
            <w:r w:rsidRPr="00776CD4">
              <w:rPr>
                <w:rFonts w:asciiTheme="minorHAnsi" w:hAnsiTheme="minorHAnsi" w:cstheme="minorHAnsi"/>
                <w:color w:val="000000" w:themeColor="text1"/>
              </w:rPr>
              <w:t>requiring</w:t>
            </w:r>
            <w:proofErr w:type="spellEnd"/>
            <w:r w:rsidRPr="00776CD4">
              <w:rPr>
                <w:rFonts w:asciiTheme="minorHAnsi" w:hAnsiTheme="minorHAnsi" w:cstheme="minorHAnsi"/>
                <w:color w:val="000000" w:themeColor="text1"/>
              </w:rPr>
              <w:t xml:space="preserve"> </w:t>
            </w:r>
            <w:proofErr w:type="spellStart"/>
            <w:r w:rsidRPr="00776CD4">
              <w:rPr>
                <w:rFonts w:asciiTheme="minorHAnsi" w:hAnsiTheme="minorHAnsi" w:cstheme="minorHAnsi"/>
                <w:color w:val="000000" w:themeColor="text1"/>
              </w:rPr>
              <w:t>supplemental</w:t>
            </w:r>
            <w:proofErr w:type="spellEnd"/>
            <w:r w:rsidRPr="00776CD4">
              <w:rPr>
                <w:rFonts w:asciiTheme="minorHAnsi" w:hAnsiTheme="minorHAnsi" w:cstheme="minorHAnsi"/>
                <w:color w:val="000000" w:themeColor="text1"/>
              </w:rPr>
              <w:t xml:space="preserve"> </w:t>
            </w:r>
            <w:proofErr w:type="spellStart"/>
            <w:r w:rsidRPr="00776CD4">
              <w:rPr>
                <w:rFonts w:asciiTheme="minorHAnsi" w:hAnsiTheme="minorHAnsi" w:cstheme="minorHAnsi"/>
                <w:color w:val="000000" w:themeColor="text1"/>
              </w:rPr>
              <w:t>oxygen</w:t>
            </w:r>
            <w:proofErr w:type="spellEnd"/>
          </w:p>
        </w:tc>
        <w:tc>
          <w:tcPr>
            <w:tcW w:w="1559" w:type="dxa"/>
            <w:shd w:val="clear" w:color="auto" w:fill="FFFFFF" w:themeFill="background1"/>
            <w:vAlign w:val="center"/>
          </w:tcPr>
          <w:p w14:paraId="42A57F75"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4 (12.5%)</w:t>
            </w:r>
          </w:p>
        </w:tc>
        <w:tc>
          <w:tcPr>
            <w:tcW w:w="1843" w:type="dxa"/>
            <w:shd w:val="clear" w:color="auto" w:fill="FFFFFF" w:themeFill="background1"/>
            <w:vAlign w:val="center"/>
          </w:tcPr>
          <w:p w14:paraId="621778C1"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3 (9.7%)</w:t>
            </w:r>
          </w:p>
        </w:tc>
        <w:tc>
          <w:tcPr>
            <w:tcW w:w="2551" w:type="dxa"/>
            <w:shd w:val="clear" w:color="auto" w:fill="FFFFFF" w:themeFill="background1"/>
          </w:tcPr>
          <w:p w14:paraId="3980685E" w14:textId="77777777" w:rsidR="00E06DF5" w:rsidRPr="00776CD4" w:rsidRDefault="00E06DF5" w:rsidP="0083301E">
            <w:pPr>
              <w:rPr>
                <w:rFonts w:asciiTheme="minorHAnsi" w:hAnsiTheme="minorHAnsi" w:cstheme="minorHAnsi"/>
                <w:color w:val="000000" w:themeColor="text1"/>
              </w:rPr>
            </w:pPr>
          </w:p>
        </w:tc>
        <w:tc>
          <w:tcPr>
            <w:tcW w:w="2552" w:type="dxa"/>
            <w:shd w:val="clear" w:color="auto" w:fill="FFFFFF" w:themeFill="background1"/>
            <w:vAlign w:val="center"/>
          </w:tcPr>
          <w:p w14:paraId="0E30B957" w14:textId="77777777" w:rsidR="00E06DF5" w:rsidRPr="00776CD4" w:rsidRDefault="00E06DF5" w:rsidP="0083301E">
            <w:pPr>
              <w:rPr>
                <w:rFonts w:asciiTheme="minorHAnsi" w:hAnsiTheme="minorHAnsi" w:cstheme="minorHAnsi"/>
                <w:color w:val="000000" w:themeColor="text1"/>
              </w:rPr>
            </w:pPr>
          </w:p>
        </w:tc>
      </w:tr>
      <w:tr w:rsidR="00E06DF5" w:rsidRPr="00204780" w14:paraId="5DF43804" w14:textId="77777777" w:rsidTr="0083301E">
        <w:trPr>
          <w:trHeight w:val="340"/>
        </w:trPr>
        <w:tc>
          <w:tcPr>
            <w:tcW w:w="4820" w:type="dxa"/>
            <w:shd w:val="clear" w:color="auto" w:fill="F2F2F2" w:themeFill="background1" w:themeFillShade="F2"/>
            <w:vAlign w:val="center"/>
          </w:tcPr>
          <w:p w14:paraId="69A13D8C" w14:textId="77777777" w:rsidR="00E06DF5" w:rsidRPr="00776CD4" w:rsidRDefault="00E06DF5" w:rsidP="0083301E">
            <w:pPr>
              <w:rPr>
                <w:rFonts w:asciiTheme="minorHAnsi" w:hAnsiTheme="minorHAnsi" w:cstheme="minorHAnsi"/>
                <w:color w:val="000000" w:themeColor="text1"/>
                <w:lang w:val="en-US"/>
              </w:rPr>
            </w:pPr>
            <w:r w:rsidRPr="00776CD4">
              <w:rPr>
                <w:rFonts w:asciiTheme="minorHAnsi" w:hAnsiTheme="minorHAnsi" w:cstheme="minorHAnsi"/>
                <w:color w:val="000000" w:themeColor="text1"/>
                <w:lang w:val="en-US"/>
              </w:rPr>
              <w:t xml:space="preserve">      5: Hospitalized, on non-invasive ventilation or high flow oxygen devices</w:t>
            </w:r>
          </w:p>
        </w:tc>
        <w:tc>
          <w:tcPr>
            <w:tcW w:w="1559" w:type="dxa"/>
            <w:shd w:val="clear" w:color="auto" w:fill="F2F2F2" w:themeFill="background1" w:themeFillShade="F2"/>
            <w:vAlign w:val="center"/>
          </w:tcPr>
          <w:p w14:paraId="69C31F44"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1 (3.1%)</w:t>
            </w:r>
          </w:p>
        </w:tc>
        <w:tc>
          <w:tcPr>
            <w:tcW w:w="1843" w:type="dxa"/>
            <w:shd w:val="clear" w:color="auto" w:fill="F2F2F2" w:themeFill="background1" w:themeFillShade="F2"/>
            <w:vAlign w:val="center"/>
          </w:tcPr>
          <w:p w14:paraId="7D9353C2"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2 (6.5%)</w:t>
            </w:r>
          </w:p>
        </w:tc>
        <w:tc>
          <w:tcPr>
            <w:tcW w:w="2551" w:type="dxa"/>
            <w:shd w:val="clear" w:color="auto" w:fill="F2F2F2" w:themeFill="background1" w:themeFillShade="F2"/>
          </w:tcPr>
          <w:p w14:paraId="18013470" w14:textId="77777777" w:rsidR="00E06DF5" w:rsidRPr="00776CD4" w:rsidRDefault="00E06DF5" w:rsidP="0083301E">
            <w:pPr>
              <w:rPr>
                <w:rFonts w:asciiTheme="minorHAnsi" w:hAnsiTheme="minorHAnsi" w:cstheme="minorHAnsi"/>
                <w:color w:val="000000" w:themeColor="text1"/>
              </w:rPr>
            </w:pPr>
          </w:p>
        </w:tc>
        <w:tc>
          <w:tcPr>
            <w:tcW w:w="2552" w:type="dxa"/>
            <w:shd w:val="clear" w:color="auto" w:fill="F2F2F2" w:themeFill="background1" w:themeFillShade="F2"/>
            <w:vAlign w:val="center"/>
          </w:tcPr>
          <w:p w14:paraId="01456304" w14:textId="77777777" w:rsidR="00E06DF5" w:rsidRPr="00776CD4" w:rsidRDefault="00E06DF5" w:rsidP="0083301E">
            <w:pPr>
              <w:rPr>
                <w:rFonts w:asciiTheme="minorHAnsi" w:hAnsiTheme="minorHAnsi" w:cstheme="minorHAnsi"/>
                <w:color w:val="000000" w:themeColor="text1"/>
              </w:rPr>
            </w:pPr>
          </w:p>
        </w:tc>
      </w:tr>
      <w:tr w:rsidR="00E06DF5" w:rsidRPr="00204780" w14:paraId="4A0EB996" w14:textId="77777777" w:rsidTr="0083301E">
        <w:trPr>
          <w:trHeight w:val="340"/>
        </w:trPr>
        <w:tc>
          <w:tcPr>
            <w:tcW w:w="4820" w:type="dxa"/>
            <w:shd w:val="clear" w:color="auto" w:fill="FFFFFF" w:themeFill="background1"/>
            <w:vAlign w:val="center"/>
          </w:tcPr>
          <w:p w14:paraId="7D15C7B1" w14:textId="77777777" w:rsidR="00E06DF5" w:rsidRPr="00776CD4" w:rsidRDefault="00E06DF5" w:rsidP="0083301E">
            <w:pPr>
              <w:rPr>
                <w:rFonts w:asciiTheme="minorHAnsi" w:hAnsiTheme="minorHAnsi" w:cstheme="minorHAnsi"/>
                <w:color w:val="000000" w:themeColor="text1"/>
                <w:lang w:val="en-US"/>
              </w:rPr>
            </w:pPr>
            <w:r w:rsidRPr="00776CD4">
              <w:rPr>
                <w:rFonts w:asciiTheme="minorHAnsi" w:hAnsiTheme="minorHAnsi" w:cstheme="minorHAnsi"/>
                <w:color w:val="000000" w:themeColor="text1"/>
                <w:lang w:val="en-US"/>
              </w:rPr>
              <w:t xml:space="preserve">      6: Hospitalized, requiring ECMO, invasive mechanical ventilation, or both</w:t>
            </w:r>
          </w:p>
        </w:tc>
        <w:tc>
          <w:tcPr>
            <w:tcW w:w="1559" w:type="dxa"/>
            <w:shd w:val="clear" w:color="auto" w:fill="FFFFFF" w:themeFill="background1"/>
            <w:vAlign w:val="center"/>
          </w:tcPr>
          <w:p w14:paraId="479ADF97"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4 (12.5%)</w:t>
            </w:r>
          </w:p>
        </w:tc>
        <w:tc>
          <w:tcPr>
            <w:tcW w:w="1843" w:type="dxa"/>
            <w:shd w:val="clear" w:color="auto" w:fill="FFFFFF" w:themeFill="background1"/>
            <w:vAlign w:val="center"/>
          </w:tcPr>
          <w:p w14:paraId="1B807B4D" w14:textId="77777777" w:rsidR="00E06DF5" w:rsidRPr="00776CD4" w:rsidRDefault="00E06DF5" w:rsidP="0083301E">
            <w:pPr>
              <w:rPr>
                <w:rFonts w:asciiTheme="minorHAnsi" w:hAnsiTheme="minorHAnsi" w:cstheme="minorHAnsi"/>
                <w:color w:val="000000" w:themeColor="text1"/>
              </w:rPr>
            </w:pPr>
            <w:r w:rsidRPr="00776CD4">
              <w:rPr>
                <w:rFonts w:asciiTheme="minorHAnsi" w:hAnsiTheme="minorHAnsi" w:cstheme="minorHAnsi"/>
                <w:color w:val="000000" w:themeColor="text1"/>
              </w:rPr>
              <w:t>2 (6.5%)</w:t>
            </w:r>
          </w:p>
        </w:tc>
        <w:tc>
          <w:tcPr>
            <w:tcW w:w="2551" w:type="dxa"/>
            <w:shd w:val="clear" w:color="auto" w:fill="FFFFFF" w:themeFill="background1"/>
          </w:tcPr>
          <w:p w14:paraId="2B06EB7A" w14:textId="77777777" w:rsidR="00E06DF5" w:rsidRPr="00776CD4" w:rsidRDefault="00E06DF5" w:rsidP="0083301E">
            <w:pPr>
              <w:rPr>
                <w:rFonts w:asciiTheme="minorHAnsi" w:hAnsiTheme="minorHAnsi" w:cstheme="minorHAnsi"/>
                <w:color w:val="000000" w:themeColor="text1"/>
              </w:rPr>
            </w:pPr>
          </w:p>
        </w:tc>
        <w:tc>
          <w:tcPr>
            <w:tcW w:w="2552" w:type="dxa"/>
            <w:shd w:val="clear" w:color="auto" w:fill="FFFFFF" w:themeFill="background1"/>
            <w:vAlign w:val="center"/>
          </w:tcPr>
          <w:p w14:paraId="43846B21" w14:textId="77777777" w:rsidR="00E06DF5" w:rsidRPr="00776CD4" w:rsidRDefault="00E06DF5" w:rsidP="0083301E">
            <w:pPr>
              <w:rPr>
                <w:rFonts w:asciiTheme="minorHAnsi" w:hAnsiTheme="minorHAnsi" w:cstheme="minorHAnsi"/>
                <w:color w:val="000000" w:themeColor="text1"/>
              </w:rPr>
            </w:pPr>
          </w:p>
        </w:tc>
      </w:tr>
    </w:tbl>
    <w:p w14:paraId="31F29F36" w14:textId="77777777" w:rsidR="00E06DF5" w:rsidRPr="00776CD4" w:rsidRDefault="00E06DF5" w:rsidP="00E06DF5">
      <w:pPr>
        <w:rPr>
          <w:rFonts w:asciiTheme="minorHAnsi" w:hAnsiTheme="minorHAnsi" w:cstheme="minorHAnsi"/>
          <w:color w:val="000000" w:themeColor="text1"/>
          <w:lang w:eastAsia="en-US"/>
        </w:rPr>
      </w:pPr>
    </w:p>
    <w:p w14:paraId="43D2ADCA" w14:textId="77777777" w:rsidR="00E06DF5" w:rsidRPr="00776CD4" w:rsidRDefault="00E06DF5" w:rsidP="00E06DF5">
      <w:pPr>
        <w:rPr>
          <w:rFonts w:asciiTheme="minorHAnsi" w:hAnsiTheme="minorHAnsi" w:cstheme="minorHAnsi"/>
          <w:color w:val="000000" w:themeColor="text1"/>
          <w:lang w:val="en-US" w:eastAsia="en-US"/>
        </w:rPr>
      </w:pPr>
      <w:r w:rsidRPr="00776CD4">
        <w:rPr>
          <w:rFonts w:asciiTheme="minorHAnsi" w:hAnsiTheme="minorHAnsi" w:cstheme="minorHAnsi"/>
          <w:color w:val="000000" w:themeColor="text1"/>
          <w:lang w:val="en-US" w:eastAsia="en-US"/>
        </w:rPr>
        <w:lastRenderedPageBreak/>
        <w:t>SD denotes standard deviation, IQR interquartile range, ECMO extracorporeal membrane oxygenation</w:t>
      </w:r>
    </w:p>
    <w:p w14:paraId="0461E9B1" w14:textId="77777777" w:rsidR="00E06DF5" w:rsidRPr="009561E9" w:rsidRDefault="00E06DF5" w:rsidP="00E06DF5">
      <w:pPr>
        <w:rPr>
          <w:rFonts w:asciiTheme="minorHAnsi" w:hAnsiTheme="minorHAnsi" w:cstheme="minorHAnsi"/>
          <w:color w:val="000000" w:themeColor="text1"/>
          <w:lang w:val="en-US" w:eastAsia="en-US"/>
        </w:rPr>
      </w:pPr>
      <w:r w:rsidRPr="009561E9">
        <w:rPr>
          <w:rFonts w:asciiTheme="minorHAnsi" w:hAnsiTheme="minorHAnsi" w:cstheme="minorHAnsi"/>
          <w:color w:val="000000" w:themeColor="text1"/>
          <w:lang w:val="en-US" w:eastAsia="en-US"/>
        </w:rPr>
        <w:t># Includes patients without supplemental oxygen with a duration of 0 days.</w:t>
      </w:r>
    </w:p>
    <w:p w14:paraId="3B4ECD78" w14:textId="77777777" w:rsidR="00E06DF5" w:rsidRDefault="00E06DF5" w:rsidP="00E06DF5">
      <w:pPr>
        <w:rPr>
          <w:rFonts w:asciiTheme="minorHAnsi" w:hAnsiTheme="minorHAnsi" w:cstheme="minorHAnsi"/>
          <w:color w:val="000000" w:themeColor="text1"/>
          <w:lang w:val="en-US" w:eastAsia="en-US"/>
        </w:rPr>
      </w:pPr>
      <w:r w:rsidRPr="009561E9">
        <w:rPr>
          <w:rFonts w:asciiTheme="minorHAnsi" w:hAnsiTheme="minorHAnsi" w:cstheme="minorHAnsi"/>
          <w:color w:val="000000" w:themeColor="text1"/>
          <w:lang w:val="en-US" w:eastAsia="en-US"/>
        </w:rPr>
        <w:t>* Does not include patients who were not admitted to ICU/did not receive mechanical ventilation.  Hence, the difference between treatments cannot be unambiguously be attributed to treatment</w:t>
      </w:r>
    </w:p>
    <w:p w14:paraId="6CCD03F2" w14:textId="1F58ED6A" w:rsidR="00E06DF5" w:rsidRPr="00154D2F" w:rsidRDefault="00E06DF5" w:rsidP="00E06DF5">
      <w:pPr>
        <w:spacing w:line="480" w:lineRule="auto"/>
        <w:jc w:val="both"/>
        <w:rPr>
          <w:rFonts w:asciiTheme="minorHAnsi" w:hAnsiTheme="minorHAnsi" w:cstheme="minorHAnsi"/>
          <w:color w:val="000000" w:themeColor="text1"/>
          <w:lang w:val="en-US"/>
        </w:rPr>
      </w:pPr>
    </w:p>
    <w:p w14:paraId="419BF914" w14:textId="77777777" w:rsidR="00E06DF5" w:rsidRPr="00204780" w:rsidRDefault="00E06DF5" w:rsidP="00E06DF5">
      <w:pPr>
        <w:spacing w:line="480" w:lineRule="auto"/>
        <w:jc w:val="both"/>
        <w:rPr>
          <w:rFonts w:asciiTheme="minorHAnsi" w:hAnsiTheme="minorHAnsi" w:cstheme="minorHAnsi"/>
          <w:color w:val="000000" w:themeColor="text1"/>
          <w:lang w:val="en-US"/>
        </w:rPr>
      </w:pPr>
    </w:p>
    <w:p w14:paraId="5E70CDDA" w14:textId="77777777" w:rsidR="00E06DF5" w:rsidRDefault="00E06DF5" w:rsidP="00E06DF5">
      <w:pPr>
        <w:spacing w:line="480" w:lineRule="auto"/>
        <w:jc w:val="both"/>
        <w:rPr>
          <w:rFonts w:asciiTheme="minorHAnsi" w:hAnsiTheme="minorHAnsi" w:cstheme="minorHAnsi"/>
          <w:color w:val="000000" w:themeColor="text1"/>
          <w:lang w:val="en-US"/>
        </w:rPr>
      </w:pPr>
    </w:p>
    <w:p w14:paraId="2C8815F4" w14:textId="77777777" w:rsidR="00566210" w:rsidRPr="009A0C44" w:rsidRDefault="00566210" w:rsidP="009A0C44">
      <w:pPr>
        <w:spacing w:line="360" w:lineRule="auto"/>
        <w:rPr>
          <w:rFonts w:asciiTheme="minorHAnsi" w:hAnsiTheme="minorHAnsi" w:cstheme="minorHAnsi"/>
          <w:sz w:val="22"/>
          <w:szCs w:val="22"/>
          <w:lang w:val="en-US"/>
        </w:rPr>
      </w:pPr>
    </w:p>
    <w:sectPr w:rsidR="00566210" w:rsidRPr="009A0C44" w:rsidSect="00E06DF5">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9C6B11" w14:textId="77777777" w:rsidR="009D01E2" w:rsidRDefault="009D01E2" w:rsidP="00744FF9">
      <w:r>
        <w:separator/>
      </w:r>
    </w:p>
  </w:endnote>
  <w:endnote w:type="continuationSeparator" w:id="0">
    <w:p w14:paraId="09C3F135" w14:textId="77777777" w:rsidR="009D01E2" w:rsidRDefault="009D01E2" w:rsidP="00744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Body)">
    <w:altName w:val="Calibri"/>
    <w:panose1 w:val="020B0604020202020204"/>
    <w:charset w:val="00"/>
    <w:family w:val="swiss"/>
    <w:pitch w:val="variable"/>
    <w:sig w:usb0="E0002AFF" w:usb1="C000247B" w:usb2="00000009" w:usb3="00000000" w:csb0="000001FF" w:csb1="00000000"/>
  </w:font>
  <w:font w:name="ArialUnicodeMS">
    <w:altName w:val="Arial Unicode MS"/>
    <w:panose1 w:val="020B0604020202020204"/>
    <w:charset w:val="81"/>
    <w:family w:val="auto"/>
    <w:notTrueType/>
    <w:pitch w:val="default"/>
    <w:sig w:usb0="00000001" w:usb1="09060000" w:usb2="00000010" w:usb3="00000000" w:csb0="00080000"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2620834"/>
      <w:docPartObj>
        <w:docPartGallery w:val="Page Numbers (Bottom of Page)"/>
        <w:docPartUnique/>
      </w:docPartObj>
    </w:sdtPr>
    <w:sdtEndPr/>
    <w:sdtContent>
      <w:p w14:paraId="77C69CE0" w14:textId="77777777" w:rsidR="00744FF9" w:rsidRDefault="00744FF9">
        <w:pPr>
          <w:pStyle w:val="Footer"/>
          <w:jc w:val="right"/>
        </w:pPr>
        <w:r>
          <w:fldChar w:fldCharType="begin"/>
        </w:r>
        <w:r>
          <w:instrText>PAGE   \* MERGEFORMAT</w:instrText>
        </w:r>
        <w:r>
          <w:fldChar w:fldCharType="separate"/>
        </w:r>
        <w:r>
          <w:rPr>
            <w:noProof/>
          </w:rPr>
          <w:t>2</w:t>
        </w:r>
        <w:r>
          <w:fldChar w:fldCharType="end"/>
        </w:r>
      </w:p>
    </w:sdtContent>
  </w:sdt>
  <w:p w14:paraId="197D3ABC" w14:textId="77777777" w:rsidR="00744FF9" w:rsidRPr="00744FF9" w:rsidRDefault="00744FF9" w:rsidP="00744FF9">
    <w:pPr>
      <w:spacing w:line="276" w:lineRule="auto"/>
      <w:rPr>
        <w:rFonts w:asciiTheme="minorHAnsi" w:hAnsiTheme="minorHAnsi" w:cstheme="minorHAnsi"/>
        <w:sz w:val="20"/>
        <w:szCs w:val="20"/>
        <w:lang w:val="en-US"/>
      </w:rPr>
    </w:pPr>
    <w:proofErr w:type="spellStart"/>
    <w:r w:rsidRPr="00744FF9">
      <w:rPr>
        <w:rFonts w:asciiTheme="minorHAnsi" w:hAnsiTheme="minorHAnsi" w:cstheme="minorHAnsi"/>
        <w:sz w:val="20"/>
        <w:szCs w:val="20"/>
        <w:u w:val="single"/>
        <w:lang w:val="en-US"/>
      </w:rPr>
      <w:t>Eudract</w:t>
    </w:r>
    <w:proofErr w:type="spellEnd"/>
    <w:r w:rsidRPr="00744FF9">
      <w:rPr>
        <w:rFonts w:asciiTheme="minorHAnsi" w:hAnsiTheme="minorHAnsi" w:cstheme="minorHAnsi"/>
        <w:sz w:val="20"/>
        <w:szCs w:val="20"/>
        <w:u w:val="single"/>
        <w:lang w:val="en-US"/>
      </w:rPr>
      <w:t xml:space="preserve"> nr</w:t>
    </w:r>
    <w:r w:rsidRPr="00744FF9">
      <w:rPr>
        <w:rFonts w:asciiTheme="minorHAnsi" w:hAnsiTheme="minorHAnsi" w:cstheme="minorHAnsi"/>
        <w:sz w:val="20"/>
        <w:szCs w:val="20"/>
        <w:lang w:val="en-US"/>
      </w:rPr>
      <w:t>: 2020-001243-15</w:t>
    </w:r>
  </w:p>
  <w:p w14:paraId="7442ED6D" w14:textId="77777777" w:rsidR="00744FF9" w:rsidRDefault="00744F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A061E4" w14:textId="77777777" w:rsidR="009D01E2" w:rsidRDefault="009D01E2" w:rsidP="00744FF9">
      <w:r>
        <w:separator/>
      </w:r>
    </w:p>
  </w:footnote>
  <w:footnote w:type="continuationSeparator" w:id="0">
    <w:p w14:paraId="662AC576" w14:textId="77777777" w:rsidR="009D01E2" w:rsidRDefault="009D01E2" w:rsidP="00744F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F2D99C" w14:textId="77777777" w:rsidR="00744FF9" w:rsidRDefault="00744FF9">
    <w:pPr>
      <w:pStyle w:val="Header"/>
    </w:pPr>
    <w:r>
      <w:rPr>
        <w:noProof/>
      </w:rPr>
      <w:drawing>
        <wp:anchor distT="0" distB="0" distL="114300" distR="114300" simplePos="0" relativeHeight="251659264" behindDoc="1" locked="0" layoutInCell="1" allowOverlap="1" wp14:anchorId="374678B5" wp14:editId="25918FF2">
          <wp:simplePos x="0" y="0"/>
          <wp:positionH relativeFrom="page">
            <wp:posOffset>876300</wp:posOffset>
          </wp:positionH>
          <wp:positionV relativeFrom="page">
            <wp:posOffset>419100</wp:posOffset>
          </wp:positionV>
          <wp:extent cx="6019800" cy="850900"/>
          <wp:effectExtent l="0" t="0" r="0" b="6350"/>
          <wp:wrapNone/>
          <wp:docPr id="16" name="Afbeelding 1"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9800" cy="850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1E7645"/>
    <w:multiLevelType w:val="hybridMultilevel"/>
    <w:tmpl w:val="F6BACF3A"/>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684"/>
    <w:rsid w:val="002D6684"/>
    <w:rsid w:val="00356558"/>
    <w:rsid w:val="00410623"/>
    <w:rsid w:val="00566210"/>
    <w:rsid w:val="00744FF9"/>
    <w:rsid w:val="009A0C44"/>
    <w:rsid w:val="009D01E2"/>
    <w:rsid w:val="00E06DF5"/>
    <w:rsid w:val="00E97F9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F7FB9F"/>
  <w15:chartTrackingRefBased/>
  <w15:docId w15:val="{9F664914-4ADA-472D-B2C6-22671CA9E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nl-NL" w:eastAsia="nl-NL"/>
    </w:rPr>
  </w:style>
  <w:style w:type="paragraph" w:styleId="Heading1">
    <w:name w:val="heading 1"/>
    <w:basedOn w:val="Normal"/>
    <w:next w:val="Normal"/>
    <w:link w:val="Heading1Char"/>
    <w:qFormat/>
    <w:rsid w:val="00E06DF5"/>
    <w:pPr>
      <w:spacing w:line="480" w:lineRule="auto"/>
      <w:jc w:val="both"/>
      <w:outlineLvl w:val="0"/>
    </w:pPr>
    <w:rPr>
      <w:rFonts w:asciiTheme="minorHAnsi" w:hAnsiTheme="minorHAnsi" w:cs="Calibri (Body)"/>
      <w:b/>
      <w:smallCaps/>
      <w:color w:val="5B9BD5" w:themeColor="accent1"/>
      <w:lang w:val="en-US" w:eastAsia="en-GB"/>
    </w:rPr>
  </w:style>
  <w:style w:type="paragraph" w:styleId="Heading2">
    <w:name w:val="heading 2"/>
    <w:basedOn w:val="Normal"/>
    <w:next w:val="Normal"/>
    <w:link w:val="Heading2Char"/>
    <w:unhideWhenUsed/>
    <w:qFormat/>
    <w:rsid w:val="00E06DF5"/>
    <w:pPr>
      <w:spacing w:line="480" w:lineRule="auto"/>
      <w:jc w:val="both"/>
      <w:outlineLvl w:val="1"/>
    </w:pPr>
    <w:rPr>
      <w:rFonts w:asciiTheme="minorHAnsi" w:hAnsiTheme="minorHAnsi" w:cs="Calibri (Body)"/>
      <w:b/>
      <w:bCs/>
      <w:smallCaps/>
      <w:color w:val="000000" w:themeColor="text1"/>
      <w:lang w:val="en-US" w:eastAsia="en-GB"/>
    </w:rPr>
  </w:style>
  <w:style w:type="paragraph" w:styleId="Heading3">
    <w:name w:val="heading 3"/>
    <w:basedOn w:val="Normal"/>
    <w:next w:val="Normal"/>
    <w:link w:val="Heading3Char"/>
    <w:unhideWhenUsed/>
    <w:qFormat/>
    <w:rsid w:val="00E06DF5"/>
    <w:pPr>
      <w:spacing w:line="480" w:lineRule="auto"/>
      <w:jc w:val="both"/>
      <w:outlineLvl w:val="2"/>
    </w:pPr>
    <w:rPr>
      <w:rFonts w:asciiTheme="minorHAnsi" w:hAnsiTheme="minorHAnsi" w:cs="Calibri (Body)"/>
      <w:bCs/>
      <w:smallCaps/>
      <w:color w:val="000000" w:themeColor="text1"/>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44FF9"/>
    <w:pPr>
      <w:tabs>
        <w:tab w:val="center" w:pos="4536"/>
        <w:tab w:val="right" w:pos="9072"/>
      </w:tabs>
    </w:pPr>
  </w:style>
  <w:style w:type="character" w:customStyle="1" w:styleId="HeaderChar">
    <w:name w:val="Header Char"/>
    <w:basedOn w:val="DefaultParagraphFont"/>
    <w:link w:val="Header"/>
    <w:rsid w:val="00744FF9"/>
    <w:rPr>
      <w:sz w:val="24"/>
      <w:szCs w:val="24"/>
      <w:lang w:val="nl-NL" w:eastAsia="nl-NL"/>
    </w:rPr>
  </w:style>
  <w:style w:type="paragraph" w:styleId="Footer">
    <w:name w:val="footer"/>
    <w:basedOn w:val="Normal"/>
    <w:link w:val="FooterChar"/>
    <w:uiPriority w:val="99"/>
    <w:rsid w:val="00744FF9"/>
    <w:pPr>
      <w:tabs>
        <w:tab w:val="center" w:pos="4536"/>
        <w:tab w:val="right" w:pos="9072"/>
      </w:tabs>
    </w:pPr>
  </w:style>
  <w:style w:type="character" w:customStyle="1" w:styleId="FooterChar">
    <w:name w:val="Footer Char"/>
    <w:basedOn w:val="DefaultParagraphFont"/>
    <w:link w:val="Footer"/>
    <w:uiPriority w:val="99"/>
    <w:rsid w:val="00744FF9"/>
    <w:rPr>
      <w:sz w:val="24"/>
      <w:szCs w:val="24"/>
      <w:lang w:val="nl-NL" w:eastAsia="nl-NL"/>
    </w:rPr>
  </w:style>
  <w:style w:type="character" w:customStyle="1" w:styleId="Heading2Char">
    <w:name w:val="Heading 2 Char"/>
    <w:basedOn w:val="DefaultParagraphFont"/>
    <w:link w:val="Heading2"/>
    <w:rsid w:val="00E06DF5"/>
    <w:rPr>
      <w:rFonts w:asciiTheme="minorHAnsi" w:hAnsiTheme="minorHAnsi" w:cs="Calibri (Body)"/>
      <w:b/>
      <w:bCs/>
      <w:smallCaps/>
      <w:color w:val="000000" w:themeColor="text1"/>
      <w:sz w:val="24"/>
      <w:szCs w:val="24"/>
      <w:lang w:val="en-US" w:eastAsia="en-GB"/>
    </w:rPr>
  </w:style>
  <w:style w:type="character" w:customStyle="1" w:styleId="Heading3Char">
    <w:name w:val="Heading 3 Char"/>
    <w:basedOn w:val="DefaultParagraphFont"/>
    <w:link w:val="Heading3"/>
    <w:rsid w:val="00E06DF5"/>
    <w:rPr>
      <w:rFonts w:asciiTheme="minorHAnsi" w:hAnsiTheme="minorHAnsi" w:cs="Calibri (Body)"/>
      <w:bCs/>
      <w:smallCaps/>
      <w:color w:val="000000" w:themeColor="text1"/>
      <w:sz w:val="24"/>
      <w:szCs w:val="24"/>
      <w:lang w:val="en-US" w:eastAsia="en-GB"/>
    </w:rPr>
  </w:style>
  <w:style w:type="paragraph" w:styleId="ListParagraph">
    <w:name w:val="List Paragraph"/>
    <w:basedOn w:val="Normal"/>
    <w:uiPriority w:val="34"/>
    <w:qFormat/>
    <w:rsid w:val="00E06DF5"/>
    <w:pPr>
      <w:ind w:left="720"/>
      <w:contextualSpacing/>
    </w:pPr>
    <w:rPr>
      <w:rFonts w:eastAsiaTheme="minorHAnsi" w:cstheme="minorBidi"/>
      <w:lang w:val="en-BE" w:eastAsia="en-GB"/>
    </w:rPr>
  </w:style>
  <w:style w:type="character" w:customStyle="1" w:styleId="Heading1Char">
    <w:name w:val="Heading 1 Char"/>
    <w:basedOn w:val="DefaultParagraphFont"/>
    <w:link w:val="Heading1"/>
    <w:rsid w:val="00E06DF5"/>
    <w:rPr>
      <w:rFonts w:asciiTheme="minorHAnsi" w:hAnsiTheme="minorHAnsi" w:cs="Calibri (Body)"/>
      <w:b/>
      <w:smallCaps/>
      <w:color w:val="5B9BD5" w:themeColor="accent1"/>
      <w:sz w:val="24"/>
      <w:szCs w:val="24"/>
      <w:lang w:val="en-US" w:eastAsia="en-GB"/>
    </w:rPr>
  </w:style>
  <w:style w:type="table" w:styleId="TableGrid">
    <w:name w:val="Table Grid"/>
    <w:basedOn w:val="TableNormal"/>
    <w:rsid w:val="00E06DF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E06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2271</Words>
  <Characters>12949</Characters>
  <Application>Microsoft Office Word</Application>
  <DocSecurity>0</DocSecurity>
  <Lines>107</Lines>
  <Paragraphs>30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UZ Leuven</Company>
  <LinksUpToDate>false</LinksUpToDate>
  <CharactersWithSpaces>15190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Helga Ceunen</dc:creator>
  <cp:keywords/>
  <dc:description/>
  <cp:lastModifiedBy>Laurens Liesenborghs</cp:lastModifiedBy>
  <cp:revision>2</cp:revision>
  <dcterms:created xsi:type="dcterms:W3CDTF">2020-12-02T19:33:00Z</dcterms:created>
  <dcterms:modified xsi:type="dcterms:W3CDTF">2020-12-02T19:33:00Z</dcterms:modified>
</cp:coreProperties>
</file>