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04A08" w14:textId="77777777" w:rsidR="00CB0EC6" w:rsidRPr="00CB0EC6" w:rsidRDefault="00CB0EC6" w:rsidP="00CB0EC6">
      <w:pPr>
        <w:pBdr>
          <w:bottom w:val="single" w:sz="12" w:space="6" w:color="D5D5D5"/>
        </w:pBdr>
        <w:shd w:val="clear" w:color="auto" w:fill="FFFFFF"/>
        <w:spacing w:after="0" w:line="240" w:lineRule="auto"/>
        <w:outlineLvl w:val="1"/>
        <w:rPr>
          <w:rFonts w:ascii="Segoe UI" w:eastAsia="Times New Roman" w:hAnsi="Segoe UI" w:cs="Segoe UI"/>
          <w:b/>
          <w:bCs/>
          <w:color w:val="222222"/>
          <w:lang w:eastAsia="en-GB"/>
        </w:rPr>
      </w:pPr>
      <w:r w:rsidRPr="00CB0EC6">
        <w:rPr>
          <w:rFonts w:ascii="Segoe UI" w:eastAsia="Times New Roman" w:hAnsi="Segoe UI" w:cs="Segoe UI"/>
          <w:b/>
          <w:bCs/>
          <w:color w:val="222222"/>
          <w:lang w:eastAsia="en-GB"/>
        </w:rPr>
        <w:t>Abstracts from the 2022 Annual Scientific Meeting of the British and Irish Hypertension Society (BIHS)</w:t>
      </w:r>
    </w:p>
    <w:p w14:paraId="21B40506" w14:textId="77777777" w:rsidR="002103DB" w:rsidRDefault="00CB0EC6" w:rsidP="00CB0EC6">
      <w:pPr>
        <w:pBdr>
          <w:bottom w:val="single" w:sz="12" w:space="6" w:color="D5D5D5"/>
        </w:pBdr>
        <w:shd w:val="clear" w:color="auto" w:fill="FFFFFF"/>
        <w:spacing w:after="0" w:line="240" w:lineRule="auto"/>
        <w:outlineLvl w:val="1"/>
        <w:rPr>
          <w:rFonts w:ascii="Segoe UI" w:eastAsia="Times New Roman" w:hAnsi="Segoe UI" w:cs="Segoe UI"/>
          <w:b/>
          <w:bCs/>
          <w:color w:val="222222"/>
          <w:lang w:eastAsia="en-GB"/>
        </w:rPr>
      </w:pPr>
      <w:r w:rsidRPr="00CB0EC6">
        <w:rPr>
          <w:rFonts w:ascii="Segoe UI" w:eastAsia="Times New Roman" w:hAnsi="Segoe UI" w:cs="Segoe UI"/>
          <w:b/>
          <w:bCs/>
          <w:color w:val="222222"/>
          <w:lang w:eastAsia="en-GB"/>
        </w:rPr>
        <w:t>Journal of Human Hypertension volume 36, pages1–22 (2022)</w:t>
      </w:r>
    </w:p>
    <w:p w14:paraId="0F6AA2F6" w14:textId="77777777" w:rsidR="002103DB" w:rsidRDefault="002103DB" w:rsidP="00CB0EC6">
      <w:pPr>
        <w:pBdr>
          <w:bottom w:val="single" w:sz="12" w:space="6" w:color="D5D5D5"/>
        </w:pBdr>
        <w:shd w:val="clear" w:color="auto" w:fill="FFFFFF"/>
        <w:spacing w:after="0" w:line="240" w:lineRule="auto"/>
        <w:outlineLvl w:val="1"/>
        <w:rPr>
          <w:rFonts w:ascii="Segoe UI" w:eastAsia="Times New Roman" w:hAnsi="Segoe UI" w:cs="Segoe UI"/>
          <w:b/>
          <w:bCs/>
          <w:color w:val="222222"/>
          <w:lang w:eastAsia="en-GB"/>
        </w:rPr>
      </w:pPr>
    </w:p>
    <w:p w14:paraId="539DC7AB" w14:textId="12317BE4" w:rsidR="003643FB" w:rsidRPr="002103DB" w:rsidRDefault="003643FB" w:rsidP="00CB0EC6">
      <w:pPr>
        <w:pBdr>
          <w:bottom w:val="single" w:sz="12" w:space="6" w:color="D5D5D5"/>
        </w:pBdr>
        <w:shd w:val="clear" w:color="auto" w:fill="FFFFFF"/>
        <w:spacing w:after="0" w:line="240" w:lineRule="auto"/>
        <w:outlineLvl w:val="1"/>
        <w:rPr>
          <w:rFonts w:ascii="Segoe UI" w:eastAsia="Times New Roman" w:hAnsi="Segoe UI" w:cs="Segoe UI"/>
          <w:b/>
          <w:bCs/>
          <w:color w:val="222222"/>
          <w:sz w:val="28"/>
          <w:szCs w:val="28"/>
          <w:lang w:eastAsia="en-GB"/>
        </w:rPr>
      </w:pPr>
      <w:r w:rsidRPr="002103DB">
        <w:rPr>
          <w:rFonts w:ascii="Segoe UI" w:eastAsia="Times New Roman" w:hAnsi="Segoe UI" w:cs="Segoe UI"/>
          <w:b/>
          <w:bCs/>
          <w:color w:val="222222"/>
          <w:sz w:val="28"/>
          <w:szCs w:val="28"/>
          <w:lang w:eastAsia="en-GB"/>
        </w:rPr>
        <w:t xml:space="preserve">O–19 Personalized electronic record supported optimisation when alone for patients with hypertension- pilot study for remote medical management of hypertension during the Covid-19 pandemic (personal </w:t>
      </w:r>
      <w:proofErr w:type="spellStart"/>
      <w:r w:rsidRPr="002103DB">
        <w:rPr>
          <w:rFonts w:ascii="Segoe UI" w:eastAsia="Times New Roman" w:hAnsi="Segoe UI" w:cs="Segoe UI"/>
          <w:b/>
          <w:bCs/>
          <w:color w:val="222222"/>
          <w:sz w:val="28"/>
          <w:szCs w:val="28"/>
          <w:lang w:eastAsia="en-GB"/>
        </w:rPr>
        <w:t>covidBP</w:t>
      </w:r>
      <w:proofErr w:type="spellEnd"/>
      <w:r w:rsidRPr="002103DB">
        <w:rPr>
          <w:rFonts w:ascii="Segoe UI" w:eastAsia="Times New Roman" w:hAnsi="Segoe UI" w:cs="Segoe UI"/>
          <w:b/>
          <w:bCs/>
          <w:color w:val="222222"/>
          <w:sz w:val="28"/>
          <w:szCs w:val="28"/>
          <w:lang w:eastAsia="en-GB"/>
        </w:rPr>
        <w:t>)</w:t>
      </w:r>
    </w:p>
    <w:p w14:paraId="6701CCAD" w14:textId="77777777" w:rsidR="003643FB" w:rsidRPr="00FF28F3" w:rsidRDefault="003643FB" w:rsidP="003643FB">
      <w:pPr>
        <w:shd w:val="clear" w:color="auto" w:fill="FFFFFF"/>
        <w:spacing w:after="120" w:line="240" w:lineRule="auto"/>
        <w:outlineLvl w:val="2"/>
        <w:rPr>
          <w:rFonts w:ascii="Segoe UI" w:eastAsia="Times New Roman" w:hAnsi="Segoe UI" w:cs="Segoe UI"/>
          <w:color w:val="222222"/>
          <w:lang w:eastAsia="en-GB"/>
        </w:rPr>
      </w:pPr>
      <w:r w:rsidRPr="00FF28F3">
        <w:rPr>
          <w:rFonts w:ascii="Segoe UI" w:eastAsia="Times New Roman" w:hAnsi="Segoe UI" w:cs="Segoe UI"/>
          <w:color w:val="222222"/>
          <w:lang w:eastAsia="en-GB"/>
        </w:rPr>
        <w:t>David Collier*</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Mike Taylor</w:t>
      </w:r>
      <w:r w:rsidRPr="00FF28F3">
        <w:rPr>
          <w:rFonts w:ascii="Segoe UI" w:eastAsia="Times New Roman" w:hAnsi="Segoe UI" w:cs="Segoe UI"/>
          <w:color w:val="222222"/>
          <w:vertAlign w:val="superscript"/>
          <w:lang w:eastAsia="en-GB"/>
        </w:rPr>
        <w:t>2</w:t>
      </w:r>
      <w:r w:rsidRPr="00FF28F3">
        <w:rPr>
          <w:rFonts w:ascii="Segoe UI" w:eastAsia="Times New Roman" w:hAnsi="Segoe UI" w:cs="Segoe UI"/>
          <w:color w:val="222222"/>
          <w:lang w:eastAsia="en-GB"/>
        </w:rPr>
        <w:t>, Tom Godec</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Julian Shiel</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Rebecca James</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Yasmin Chowdury</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Patrizia Ebano</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Vivienne Monk</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Mital Patel</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Jane Pheby</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Enamuna Enobakhare</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Amanda Foubister</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xml:space="preserve">, </w:t>
      </w:r>
      <w:proofErr w:type="spellStart"/>
      <w:r w:rsidRPr="00FF28F3">
        <w:rPr>
          <w:rFonts w:ascii="Segoe UI" w:eastAsia="Times New Roman" w:hAnsi="Segoe UI" w:cs="Segoe UI"/>
          <w:color w:val="222222"/>
          <w:lang w:eastAsia="en-GB"/>
        </w:rPr>
        <w:t>Clovel</w:t>
      </w:r>
      <w:proofErr w:type="spellEnd"/>
      <w:r w:rsidRPr="00FF28F3">
        <w:rPr>
          <w:rFonts w:ascii="Segoe UI" w:eastAsia="Times New Roman" w:hAnsi="Segoe UI" w:cs="Segoe UI"/>
          <w:color w:val="222222"/>
          <w:lang w:eastAsia="en-GB"/>
        </w:rPr>
        <w:t xml:space="preserve"> David</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Manish Saxena</w:t>
      </w:r>
      <w:r w:rsidRPr="00FF28F3">
        <w:rPr>
          <w:rFonts w:ascii="Segoe UI" w:eastAsia="Times New Roman" w:hAnsi="Segoe UI" w:cs="Segoe UI"/>
          <w:color w:val="222222"/>
          <w:vertAlign w:val="superscript"/>
          <w:lang w:eastAsia="en-GB"/>
        </w:rPr>
        <w:t>1</w:t>
      </w:r>
      <w:r w:rsidRPr="00FF28F3">
        <w:rPr>
          <w:rFonts w:ascii="Segoe UI" w:eastAsia="Times New Roman" w:hAnsi="Segoe UI" w:cs="Segoe UI"/>
          <w:color w:val="222222"/>
          <w:lang w:eastAsia="en-GB"/>
        </w:rPr>
        <w:t>, James Siddle</w:t>
      </w:r>
      <w:r w:rsidRPr="00FF28F3">
        <w:rPr>
          <w:rFonts w:ascii="Segoe UI" w:eastAsia="Times New Roman" w:hAnsi="Segoe UI" w:cs="Segoe UI"/>
          <w:color w:val="222222"/>
          <w:vertAlign w:val="superscript"/>
          <w:lang w:eastAsia="en-GB"/>
        </w:rPr>
        <w:t>2</w:t>
      </w:r>
      <w:r w:rsidRPr="00FF28F3">
        <w:rPr>
          <w:rFonts w:ascii="Segoe UI" w:eastAsia="Times New Roman" w:hAnsi="Segoe UI" w:cs="Segoe UI"/>
          <w:color w:val="222222"/>
          <w:lang w:eastAsia="en-GB"/>
        </w:rPr>
        <w:t>, Gregor Timlin</w:t>
      </w:r>
      <w:r w:rsidRPr="00FF28F3">
        <w:rPr>
          <w:rFonts w:ascii="Segoe UI" w:eastAsia="Times New Roman" w:hAnsi="Segoe UI" w:cs="Segoe UI"/>
          <w:color w:val="222222"/>
          <w:vertAlign w:val="superscript"/>
          <w:lang w:eastAsia="en-GB"/>
        </w:rPr>
        <w:t>2</w:t>
      </w:r>
      <w:r w:rsidRPr="00FF28F3">
        <w:rPr>
          <w:rFonts w:ascii="Segoe UI" w:eastAsia="Times New Roman" w:hAnsi="Segoe UI" w:cs="Segoe UI"/>
          <w:color w:val="222222"/>
          <w:lang w:eastAsia="en-GB"/>
        </w:rPr>
        <w:t>, Paul Goldsmith</w:t>
      </w:r>
      <w:r w:rsidRPr="00FF28F3">
        <w:rPr>
          <w:rFonts w:ascii="Segoe UI" w:eastAsia="Times New Roman" w:hAnsi="Segoe UI" w:cs="Segoe UI"/>
          <w:color w:val="222222"/>
          <w:vertAlign w:val="superscript"/>
          <w:lang w:eastAsia="en-GB"/>
        </w:rPr>
        <w:t>2</w:t>
      </w:r>
      <w:r w:rsidRPr="00FF28F3">
        <w:rPr>
          <w:rFonts w:ascii="Segoe UI" w:eastAsia="Times New Roman" w:hAnsi="Segoe UI" w:cs="Segoe UI"/>
          <w:color w:val="222222"/>
          <w:lang w:eastAsia="en-GB"/>
        </w:rPr>
        <w:t>, Nicholas Deeming</w:t>
      </w:r>
      <w:r w:rsidRPr="00FF28F3">
        <w:rPr>
          <w:rFonts w:ascii="Segoe UI" w:eastAsia="Times New Roman" w:hAnsi="Segoe UI" w:cs="Segoe UI"/>
          <w:color w:val="222222"/>
          <w:vertAlign w:val="superscript"/>
          <w:lang w:eastAsia="en-GB"/>
        </w:rPr>
        <w:t>3</w:t>
      </w:r>
      <w:r w:rsidRPr="00FF28F3">
        <w:rPr>
          <w:rFonts w:ascii="Segoe UI" w:eastAsia="Times New Roman" w:hAnsi="Segoe UI" w:cs="Segoe UI"/>
          <w:color w:val="222222"/>
          <w:lang w:eastAsia="en-GB"/>
        </w:rPr>
        <w:t>, Neil Poulter</w:t>
      </w:r>
      <w:r w:rsidRPr="00FF28F3">
        <w:rPr>
          <w:rFonts w:ascii="Segoe UI" w:eastAsia="Times New Roman" w:hAnsi="Segoe UI" w:cs="Segoe UI"/>
          <w:color w:val="222222"/>
          <w:vertAlign w:val="superscript"/>
          <w:lang w:eastAsia="en-GB"/>
        </w:rPr>
        <w:t>4</w:t>
      </w:r>
      <w:r w:rsidRPr="00FF28F3">
        <w:rPr>
          <w:rFonts w:ascii="Segoe UI" w:eastAsia="Times New Roman" w:hAnsi="Segoe UI" w:cs="Segoe UI"/>
          <w:color w:val="222222"/>
          <w:lang w:eastAsia="en-GB"/>
        </w:rPr>
        <w:t>, Rhian Gabe</w:t>
      </w:r>
      <w:r w:rsidRPr="00FF28F3">
        <w:rPr>
          <w:rFonts w:ascii="Segoe UI" w:eastAsia="Times New Roman" w:hAnsi="Segoe UI" w:cs="Segoe UI"/>
          <w:color w:val="222222"/>
          <w:vertAlign w:val="superscript"/>
          <w:lang w:eastAsia="en-GB"/>
        </w:rPr>
        <w:t>5</w:t>
      </w:r>
      <w:r w:rsidRPr="00FF28F3">
        <w:rPr>
          <w:rFonts w:ascii="Segoe UI" w:eastAsia="Times New Roman" w:hAnsi="Segoe UI" w:cs="Segoe UI"/>
          <w:color w:val="222222"/>
          <w:lang w:eastAsia="en-GB"/>
        </w:rPr>
        <w:t>, Richard McManus</w:t>
      </w:r>
      <w:r w:rsidRPr="00FF28F3">
        <w:rPr>
          <w:rFonts w:ascii="Segoe UI" w:eastAsia="Times New Roman" w:hAnsi="Segoe UI" w:cs="Segoe UI"/>
          <w:color w:val="222222"/>
          <w:vertAlign w:val="superscript"/>
          <w:lang w:eastAsia="en-GB"/>
        </w:rPr>
        <w:t>6</w:t>
      </w:r>
      <w:r w:rsidRPr="00FF28F3">
        <w:rPr>
          <w:rFonts w:ascii="Segoe UI" w:eastAsia="Times New Roman" w:hAnsi="Segoe UI" w:cs="Segoe UI"/>
          <w:color w:val="222222"/>
          <w:lang w:eastAsia="en-GB"/>
        </w:rPr>
        <w:t>, Mark Caulfield</w:t>
      </w:r>
      <w:r w:rsidRPr="00FF28F3">
        <w:rPr>
          <w:rFonts w:ascii="Segoe UI" w:eastAsia="Times New Roman" w:hAnsi="Segoe UI" w:cs="Segoe UI"/>
          <w:color w:val="222222"/>
          <w:vertAlign w:val="superscript"/>
          <w:lang w:eastAsia="en-GB"/>
        </w:rPr>
        <w:t>1</w:t>
      </w:r>
    </w:p>
    <w:p w14:paraId="4B15F5B8" w14:textId="77777777" w:rsidR="003643FB" w:rsidRPr="00FF28F3" w:rsidRDefault="003643FB" w:rsidP="003643FB">
      <w:pPr>
        <w:shd w:val="clear" w:color="auto" w:fill="FFFFFF"/>
        <w:spacing w:after="120" w:line="240" w:lineRule="auto"/>
        <w:outlineLvl w:val="3"/>
        <w:rPr>
          <w:rFonts w:ascii="Segoe UI" w:eastAsia="Times New Roman" w:hAnsi="Segoe UI" w:cs="Segoe UI"/>
          <w:b/>
          <w:bCs/>
          <w:color w:val="222222"/>
          <w:lang w:eastAsia="en-GB"/>
        </w:rPr>
      </w:pPr>
      <w:r w:rsidRPr="00FF28F3">
        <w:rPr>
          <w:rFonts w:ascii="Segoe UI" w:eastAsia="Times New Roman" w:hAnsi="Segoe UI" w:cs="Segoe UI"/>
          <w:b/>
          <w:bCs/>
          <w:color w:val="222222"/>
          <w:vertAlign w:val="superscript"/>
          <w:lang w:eastAsia="en-GB"/>
        </w:rPr>
        <w:t>1</w:t>
      </w:r>
      <w:r w:rsidRPr="00FF28F3">
        <w:rPr>
          <w:rFonts w:ascii="Segoe UI" w:eastAsia="Times New Roman" w:hAnsi="Segoe UI" w:cs="Segoe UI"/>
          <w:b/>
          <w:bCs/>
          <w:color w:val="222222"/>
          <w:lang w:eastAsia="en-GB"/>
        </w:rPr>
        <w:t>William Harvey Research Institute, Queen Mary University Of London, London, United Kingdom, </w:t>
      </w:r>
      <w:r w:rsidRPr="00FF28F3">
        <w:rPr>
          <w:rFonts w:ascii="Segoe UI" w:eastAsia="Times New Roman" w:hAnsi="Segoe UI" w:cs="Segoe UI"/>
          <w:b/>
          <w:bCs/>
          <w:color w:val="222222"/>
          <w:vertAlign w:val="superscript"/>
          <w:lang w:eastAsia="en-GB"/>
        </w:rPr>
        <w:t>2</w:t>
      </w:r>
      <w:r w:rsidRPr="00FF28F3">
        <w:rPr>
          <w:rFonts w:ascii="Segoe UI" w:eastAsia="Times New Roman" w:hAnsi="Segoe UI" w:cs="Segoe UI"/>
          <w:b/>
          <w:bCs/>
          <w:color w:val="222222"/>
          <w:lang w:eastAsia="en-GB"/>
        </w:rPr>
        <w:t>Closed Loop Medical, London, UK, </w:t>
      </w:r>
      <w:r w:rsidRPr="00FF28F3">
        <w:rPr>
          <w:rFonts w:ascii="Segoe UI" w:eastAsia="Times New Roman" w:hAnsi="Segoe UI" w:cs="Segoe UI"/>
          <w:b/>
          <w:bCs/>
          <w:color w:val="222222"/>
          <w:vertAlign w:val="superscript"/>
          <w:lang w:eastAsia="en-GB"/>
        </w:rPr>
        <w:t>3</w:t>
      </w:r>
      <w:r w:rsidRPr="00FF28F3">
        <w:rPr>
          <w:rFonts w:ascii="Segoe UI" w:eastAsia="Times New Roman" w:hAnsi="Segoe UI" w:cs="Segoe UI"/>
          <w:b/>
          <w:bCs/>
          <w:color w:val="222222"/>
          <w:lang w:eastAsia="en-GB"/>
        </w:rPr>
        <w:t>TrialsConnect, London, United Kingdom, </w:t>
      </w:r>
      <w:r w:rsidRPr="00FF28F3">
        <w:rPr>
          <w:rFonts w:ascii="Segoe UI" w:eastAsia="Times New Roman" w:hAnsi="Segoe UI" w:cs="Segoe UI"/>
          <w:b/>
          <w:bCs/>
          <w:color w:val="222222"/>
          <w:vertAlign w:val="superscript"/>
          <w:lang w:eastAsia="en-GB"/>
        </w:rPr>
        <w:t>4</w:t>
      </w:r>
      <w:r w:rsidRPr="00FF28F3">
        <w:rPr>
          <w:rFonts w:ascii="Segoe UI" w:eastAsia="Times New Roman" w:hAnsi="Segoe UI" w:cs="Segoe UI"/>
          <w:b/>
          <w:bCs/>
          <w:color w:val="222222"/>
          <w:lang w:eastAsia="en-GB"/>
        </w:rPr>
        <w:t>Imperial College, London, United Kingdom, </w:t>
      </w:r>
      <w:r w:rsidRPr="00FF28F3">
        <w:rPr>
          <w:rFonts w:ascii="Segoe UI" w:eastAsia="Times New Roman" w:hAnsi="Segoe UI" w:cs="Segoe UI"/>
          <w:b/>
          <w:bCs/>
          <w:color w:val="222222"/>
          <w:vertAlign w:val="superscript"/>
          <w:lang w:eastAsia="en-GB"/>
        </w:rPr>
        <w:t>5</w:t>
      </w:r>
      <w:r w:rsidRPr="00FF28F3">
        <w:rPr>
          <w:rFonts w:ascii="Segoe UI" w:eastAsia="Times New Roman" w:hAnsi="Segoe UI" w:cs="Segoe UI"/>
          <w:b/>
          <w:bCs/>
          <w:color w:val="222222"/>
          <w:lang w:eastAsia="en-GB"/>
        </w:rPr>
        <w:t>Wolfson Institute of Population Health, London, United Kingdom, </w:t>
      </w:r>
      <w:r w:rsidRPr="00FF28F3">
        <w:rPr>
          <w:rFonts w:ascii="Segoe UI" w:eastAsia="Times New Roman" w:hAnsi="Segoe UI" w:cs="Segoe UI"/>
          <w:b/>
          <w:bCs/>
          <w:color w:val="222222"/>
          <w:vertAlign w:val="superscript"/>
          <w:lang w:eastAsia="en-GB"/>
        </w:rPr>
        <w:t>6</w:t>
      </w:r>
      <w:r w:rsidRPr="00FF28F3">
        <w:rPr>
          <w:rFonts w:ascii="Segoe UI" w:eastAsia="Times New Roman" w:hAnsi="Segoe UI" w:cs="Segoe UI"/>
          <w:b/>
          <w:bCs/>
          <w:color w:val="222222"/>
          <w:lang w:eastAsia="en-GB"/>
        </w:rPr>
        <w:t>University of Oxford, Oxford, UK</w:t>
      </w:r>
    </w:p>
    <w:p w14:paraId="24806AC3" w14:textId="77777777" w:rsidR="003643FB" w:rsidRPr="00FF28F3" w:rsidRDefault="003643FB" w:rsidP="003643FB">
      <w:pPr>
        <w:shd w:val="clear" w:color="auto" w:fill="FFFFFF"/>
        <w:spacing w:after="420" w:line="240" w:lineRule="auto"/>
        <w:rPr>
          <w:rFonts w:ascii="Segoe UI" w:eastAsia="Times New Roman" w:hAnsi="Segoe UI" w:cs="Segoe UI"/>
          <w:color w:val="222222"/>
          <w:lang w:eastAsia="en-GB"/>
        </w:rPr>
      </w:pPr>
      <w:r w:rsidRPr="00FF28F3">
        <w:rPr>
          <w:rFonts w:ascii="Segoe UI" w:eastAsia="Times New Roman" w:hAnsi="Segoe UI" w:cs="Segoe UI"/>
          <w:b/>
          <w:bCs/>
          <w:color w:val="222222"/>
          <w:lang w:eastAsia="en-GB"/>
        </w:rPr>
        <w:t>Introduction:</w:t>
      </w:r>
      <w:r w:rsidRPr="00FF28F3">
        <w:rPr>
          <w:rFonts w:ascii="Segoe UI" w:eastAsia="Times New Roman" w:hAnsi="Segoe UI" w:cs="Segoe UI"/>
          <w:color w:val="222222"/>
          <w:lang w:eastAsia="en-GB"/>
        </w:rPr>
        <w:t> Hypertension remains a leading cause of disability and preventable death globally. This study tested patient use of a drug-device combination of a smartphone application (App) to record blood pressure (BP), drug (amlodipine) dose and side effects each day at home during the COVID-19 pandemic.</w:t>
      </w:r>
    </w:p>
    <w:p w14:paraId="6D8C894A" w14:textId="77777777" w:rsidR="003643FB" w:rsidRPr="00FF28F3" w:rsidRDefault="003643FB" w:rsidP="003643FB">
      <w:pPr>
        <w:shd w:val="clear" w:color="auto" w:fill="FFFFFF"/>
        <w:spacing w:after="420" w:line="240" w:lineRule="auto"/>
        <w:rPr>
          <w:rFonts w:ascii="Segoe UI" w:eastAsia="Times New Roman" w:hAnsi="Segoe UI" w:cs="Segoe UI"/>
          <w:color w:val="222222"/>
          <w:lang w:eastAsia="en-GB"/>
        </w:rPr>
      </w:pPr>
      <w:r w:rsidRPr="00FF28F3">
        <w:rPr>
          <w:rFonts w:ascii="Segoe UI" w:eastAsia="Times New Roman" w:hAnsi="Segoe UI" w:cs="Segoe UI"/>
          <w:b/>
          <w:bCs/>
          <w:color w:val="222222"/>
          <w:lang w:eastAsia="en-GB"/>
        </w:rPr>
        <w:t>Methods:</w:t>
      </w:r>
      <w:r w:rsidRPr="00FF28F3">
        <w:rPr>
          <w:rFonts w:ascii="Segoe UI" w:eastAsia="Times New Roman" w:hAnsi="Segoe UI" w:cs="Segoe UI"/>
          <w:color w:val="222222"/>
          <w:lang w:eastAsia="en-GB"/>
        </w:rPr>
        <w:t> In this community-based trial with remote monitoring and remote medical management from the investigational site, hypertensive participants aged 18 years + with poor BP control (prior 7 day mean of 135 mmHg systolic BP or above and/or 85 mmHg diastolic BP and above) were enrolled to intervention with open label dose titration over 14 weeks, allowing personalized dosing of liquid amlodipine (1–2 mg steps from 1–10 mg daily). Those with adequate BP control after 7 day baseline recorded BP over the same period.</w:t>
      </w:r>
    </w:p>
    <w:p w14:paraId="437BBC8A" w14:textId="77777777" w:rsidR="003643FB" w:rsidRPr="00FF28F3" w:rsidRDefault="003643FB" w:rsidP="003643FB">
      <w:pPr>
        <w:shd w:val="clear" w:color="auto" w:fill="FFFFFF"/>
        <w:spacing w:after="420" w:line="240" w:lineRule="auto"/>
        <w:rPr>
          <w:rFonts w:ascii="Segoe UI" w:eastAsia="Times New Roman" w:hAnsi="Segoe UI" w:cs="Segoe UI"/>
          <w:color w:val="222222"/>
          <w:lang w:eastAsia="en-GB"/>
        </w:rPr>
      </w:pPr>
      <w:r w:rsidRPr="00FF28F3">
        <w:rPr>
          <w:rFonts w:ascii="Segoe UI" w:eastAsia="Times New Roman" w:hAnsi="Segoe UI" w:cs="Segoe UI"/>
          <w:b/>
          <w:bCs/>
          <w:color w:val="222222"/>
          <w:lang w:eastAsia="en-GB"/>
        </w:rPr>
        <w:t>Results:</w:t>
      </w:r>
      <w:r w:rsidRPr="00FF28F3">
        <w:rPr>
          <w:rFonts w:ascii="Segoe UI" w:eastAsia="Times New Roman" w:hAnsi="Segoe UI" w:cs="Segoe UI"/>
          <w:color w:val="222222"/>
          <w:lang w:eastAsia="en-GB"/>
        </w:rPr>
        <w:t> 205 patients were enrolled into the intervention group between October 2020 and July 2021. Dose-related wanted (BP reduction) and emergence of unwanted effect plots were produced for individual participants. Average BP in intervention fell from 141/87 to 131/81 (difference −10/6 p &lt; 0.001) and observation from 125/77 to 124/76 (difference −2/1 p &lt; 0.001). Even low doses of 1 or 2 mg amlodipine reduced BP, as did small increments e.g. from 5 mg to 6 mg or from 6 mg to 8 mg. Mean amlodipine dose at study end averaged 5.5 mg on those without amlodipine at baseline, and 7.9 mg in those starting at 5 mg at baseline. Adherence with participant completion of the daily App routines was high and unrelated to age (median &gt;90%).</w:t>
      </w:r>
    </w:p>
    <w:p w14:paraId="7CFCE042" w14:textId="77777777" w:rsidR="003643FB" w:rsidRPr="00FF28F3" w:rsidRDefault="003643FB" w:rsidP="003643FB">
      <w:pPr>
        <w:shd w:val="clear" w:color="auto" w:fill="FFFFFF"/>
        <w:spacing w:after="420" w:line="240" w:lineRule="auto"/>
        <w:rPr>
          <w:rFonts w:ascii="Segoe UI" w:eastAsia="Times New Roman" w:hAnsi="Segoe UI" w:cs="Segoe UI"/>
          <w:color w:val="222222"/>
          <w:lang w:eastAsia="en-GB"/>
        </w:rPr>
      </w:pPr>
      <w:r w:rsidRPr="00FF28F3">
        <w:rPr>
          <w:rFonts w:ascii="Segoe UI" w:eastAsia="Times New Roman" w:hAnsi="Segoe UI" w:cs="Segoe UI"/>
          <w:b/>
          <w:bCs/>
          <w:color w:val="222222"/>
          <w:lang w:eastAsia="en-GB"/>
        </w:rPr>
        <w:t>Conclusions:</w:t>
      </w:r>
      <w:r w:rsidRPr="00FF28F3">
        <w:rPr>
          <w:rFonts w:ascii="Segoe UI" w:eastAsia="Times New Roman" w:hAnsi="Segoe UI" w:cs="Segoe UI"/>
          <w:color w:val="222222"/>
          <w:lang w:eastAsia="en-GB"/>
        </w:rPr>
        <w:t> Remote clinician assessment of twice daily home BP measurements and side effects recorded in the App may inform more precise amlodipine titration and BP control. Personalised dose-response curves for both wanted and unwanted effects may change the relationship of participant and clinician to dose selection, convincement and help optimize long term care.</w:t>
      </w:r>
    </w:p>
    <w:p w14:paraId="0C3433EC" w14:textId="77777777" w:rsidR="003643FB" w:rsidRPr="00FF28F3" w:rsidRDefault="003643FB" w:rsidP="003643FB">
      <w:pPr>
        <w:shd w:val="clear" w:color="auto" w:fill="FFFFFF"/>
        <w:spacing w:after="420" w:line="240" w:lineRule="auto"/>
        <w:rPr>
          <w:rFonts w:ascii="Segoe UI" w:eastAsia="Times New Roman" w:hAnsi="Segoe UI" w:cs="Segoe UI"/>
          <w:color w:val="222222"/>
          <w:lang w:eastAsia="en-GB"/>
        </w:rPr>
      </w:pPr>
      <w:r w:rsidRPr="00FF28F3">
        <w:rPr>
          <w:rFonts w:ascii="Segoe UI" w:eastAsia="Times New Roman" w:hAnsi="Segoe UI" w:cs="Segoe UI"/>
          <w:b/>
          <w:bCs/>
          <w:color w:val="222222"/>
          <w:lang w:eastAsia="en-GB"/>
        </w:rPr>
        <w:t>Disclosures:</w:t>
      </w:r>
      <w:r w:rsidRPr="00FF28F3">
        <w:rPr>
          <w:rFonts w:ascii="Segoe UI" w:eastAsia="Times New Roman" w:hAnsi="Segoe UI" w:cs="Segoe UI"/>
          <w:color w:val="222222"/>
          <w:lang w:eastAsia="en-GB"/>
        </w:rPr>
        <w:t> None</w:t>
      </w:r>
    </w:p>
    <w:p w14:paraId="49B8A699" w14:textId="77777777" w:rsidR="003643FB" w:rsidRPr="00FF28F3" w:rsidRDefault="003643FB" w:rsidP="003643FB">
      <w:pPr>
        <w:shd w:val="clear" w:color="auto" w:fill="FFFFFF"/>
        <w:spacing w:line="240" w:lineRule="auto"/>
        <w:rPr>
          <w:rFonts w:ascii="Segoe UI" w:eastAsia="Times New Roman" w:hAnsi="Segoe UI" w:cs="Segoe UI"/>
          <w:color w:val="222222"/>
          <w:lang w:eastAsia="en-GB"/>
        </w:rPr>
      </w:pPr>
      <w:r w:rsidRPr="00FF28F3">
        <w:rPr>
          <w:rFonts w:ascii="Segoe UI" w:eastAsia="Times New Roman" w:hAnsi="Segoe UI" w:cs="Segoe UI"/>
          <w:b/>
          <w:bCs/>
          <w:color w:val="222222"/>
          <w:lang w:eastAsia="en-GB"/>
        </w:rPr>
        <w:t>References:</w:t>
      </w:r>
      <w:r w:rsidRPr="00FF28F3">
        <w:rPr>
          <w:rFonts w:ascii="Segoe UI" w:eastAsia="Times New Roman" w:hAnsi="Segoe UI" w:cs="Segoe UI"/>
          <w:color w:val="222222"/>
          <w:lang w:eastAsia="en-GB"/>
        </w:rPr>
        <w:t> None</w:t>
      </w:r>
    </w:p>
    <w:p w14:paraId="4E0F2BB0" w14:textId="2E36E2BA" w:rsidR="003643FB" w:rsidRDefault="00FF28F3">
      <w:hyperlink r:id="rId4" w:history="1">
        <w:r w:rsidRPr="00573E8D">
          <w:rPr>
            <w:rStyle w:val="Hyperlink"/>
          </w:rPr>
          <w:t>https://www.nature.com/articles/s41371-022-00734-5#Sec52</w:t>
        </w:r>
      </w:hyperlink>
    </w:p>
    <w:p w14:paraId="421656B1" w14:textId="77777777" w:rsidR="00FF28F3" w:rsidRDefault="00FF28F3"/>
    <w:p w14:paraId="226ED9A4" w14:textId="77777777" w:rsidR="00FF28F3" w:rsidRDefault="00FF28F3"/>
    <w:sectPr w:rsidR="00FF28F3" w:rsidSect="00CB0EC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3FB"/>
    <w:rsid w:val="002103DB"/>
    <w:rsid w:val="003643FB"/>
    <w:rsid w:val="00CB0EC6"/>
    <w:rsid w:val="00F32B0B"/>
    <w:rsid w:val="00FF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E68A3"/>
  <w15:chartTrackingRefBased/>
  <w15:docId w15:val="{DF4C8563-159C-4975-9906-5F28CD90E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8F3"/>
    <w:rPr>
      <w:color w:val="0563C1" w:themeColor="hyperlink"/>
      <w:u w:val="single"/>
    </w:rPr>
  </w:style>
  <w:style w:type="character" w:styleId="UnresolvedMention">
    <w:name w:val="Unresolved Mention"/>
    <w:basedOn w:val="DefaultParagraphFont"/>
    <w:uiPriority w:val="99"/>
    <w:semiHidden/>
    <w:unhideWhenUsed/>
    <w:rsid w:val="00FF28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087140">
      <w:bodyDiv w:val="1"/>
      <w:marLeft w:val="0"/>
      <w:marRight w:val="0"/>
      <w:marTop w:val="0"/>
      <w:marBottom w:val="0"/>
      <w:divBdr>
        <w:top w:val="none" w:sz="0" w:space="0" w:color="auto"/>
        <w:left w:val="none" w:sz="0" w:space="0" w:color="auto"/>
        <w:bottom w:val="none" w:sz="0" w:space="0" w:color="auto"/>
        <w:right w:val="none" w:sz="0" w:space="0" w:color="auto"/>
      </w:divBdr>
      <w:divsChild>
        <w:div w:id="290207112">
          <w:marLeft w:val="0"/>
          <w:marRight w:val="0"/>
          <w:marTop w:val="0"/>
          <w:marBottom w:val="600"/>
          <w:divBdr>
            <w:top w:val="none" w:sz="0" w:space="0" w:color="auto"/>
            <w:left w:val="none" w:sz="0" w:space="0" w:color="auto"/>
            <w:bottom w:val="none" w:sz="0" w:space="0" w:color="auto"/>
            <w:right w:val="none" w:sz="0" w:space="0" w:color="auto"/>
          </w:divBdr>
        </w:div>
      </w:divsChild>
    </w:div>
    <w:div w:id="1017007020">
      <w:bodyDiv w:val="1"/>
      <w:marLeft w:val="0"/>
      <w:marRight w:val="0"/>
      <w:marTop w:val="0"/>
      <w:marBottom w:val="0"/>
      <w:divBdr>
        <w:top w:val="none" w:sz="0" w:space="0" w:color="auto"/>
        <w:left w:val="none" w:sz="0" w:space="0" w:color="auto"/>
        <w:bottom w:val="none" w:sz="0" w:space="0" w:color="auto"/>
        <w:right w:val="none" w:sz="0" w:space="0" w:color="auto"/>
      </w:divBdr>
      <w:divsChild>
        <w:div w:id="878317747">
          <w:marLeft w:val="0"/>
          <w:marRight w:val="0"/>
          <w:marTop w:val="0"/>
          <w:marBottom w:val="600"/>
          <w:divBdr>
            <w:top w:val="none" w:sz="0" w:space="0" w:color="auto"/>
            <w:left w:val="none" w:sz="0" w:space="0" w:color="auto"/>
            <w:bottom w:val="none" w:sz="0" w:space="0" w:color="auto"/>
            <w:right w:val="none" w:sz="0" w:space="0" w:color="auto"/>
          </w:divBdr>
        </w:div>
      </w:divsChild>
    </w:div>
    <w:div w:id="2065448995">
      <w:bodyDiv w:val="1"/>
      <w:marLeft w:val="0"/>
      <w:marRight w:val="0"/>
      <w:marTop w:val="0"/>
      <w:marBottom w:val="0"/>
      <w:divBdr>
        <w:top w:val="none" w:sz="0" w:space="0" w:color="auto"/>
        <w:left w:val="none" w:sz="0" w:space="0" w:color="auto"/>
        <w:bottom w:val="none" w:sz="0" w:space="0" w:color="auto"/>
        <w:right w:val="none" w:sz="0" w:space="0" w:color="auto"/>
      </w:divBdr>
      <w:divsChild>
        <w:div w:id="1972244761">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ature.com/articles/s41371-022-00734-5#Sec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467</Words>
  <Characters>2668</Characters>
  <Application>Microsoft Office Word</Application>
  <DocSecurity>0</DocSecurity>
  <Lines>22</Lines>
  <Paragraphs>6</Paragraphs>
  <ScaleCrop>false</ScaleCrop>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 Collier</dc:creator>
  <cp:keywords/>
  <dc:description/>
  <cp:lastModifiedBy>DJ Collier</cp:lastModifiedBy>
  <cp:revision>5</cp:revision>
  <dcterms:created xsi:type="dcterms:W3CDTF">2022-11-01T14:03:00Z</dcterms:created>
  <dcterms:modified xsi:type="dcterms:W3CDTF">2022-12-05T09:33:00Z</dcterms:modified>
</cp:coreProperties>
</file>