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6DF9C1" w14:textId="4391F06F" w:rsidR="00C410D2" w:rsidRPr="00363963" w:rsidRDefault="00B938E6" w:rsidP="003C3843">
      <w:pPr>
        <w:rPr>
          <w:rFonts w:ascii="Times" w:hAnsi="Times"/>
          <w:b/>
          <w:bCs/>
          <w:sz w:val="28"/>
          <w:szCs w:val="28"/>
          <w:lang w:val="en-US"/>
        </w:rPr>
      </w:pPr>
      <w:r>
        <w:rPr>
          <w:rFonts w:ascii="Times" w:hAnsi="Times"/>
          <w:b/>
          <w:bCs/>
          <w:sz w:val="28"/>
          <w:szCs w:val="28"/>
          <w:lang w:val="en-US"/>
        </w:rPr>
        <w:t>C</w:t>
      </w:r>
      <w:r w:rsidR="00C15294">
        <w:rPr>
          <w:rFonts w:ascii="Times" w:hAnsi="Times"/>
          <w:b/>
          <w:bCs/>
          <w:sz w:val="28"/>
          <w:szCs w:val="28"/>
          <w:lang w:val="en-US"/>
        </w:rPr>
        <w:t>ytochrome P450</w:t>
      </w:r>
      <w:r>
        <w:rPr>
          <w:rFonts w:ascii="Times" w:hAnsi="Times"/>
          <w:b/>
          <w:bCs/>
          <w:sz w:val="28"/>
          <w:szCs w:val="28"/>
          <w:lang w:val="en-US"/>
        </w:rPr>
        <w:t xml:space="preserve"> activity in Rheumatoid Arthritis patients during </w:t>
      </w:r>
      <w:r w:rsidR="00057ACC">
        <w:rPr>
          <w:rFonts w:ascii="Times" w:hAnsi="Times"/>
          <w:b/>
          <w:bCs/>
          <w:sz w:val="28"/>
          <w:szCs w:val="28"/>
          <w:lang w:val="en-US"/>
        </w:rPr>
        <w:t xml:space="preserve">continuous </w:t>
      </w:r>
      <w:r>
        <w:rPr>
          <w:rFonts w:ascii="Times" w:hAnsi="Times"/>
          <w:b/>
          <w:bCs/>
          <w:sz w:val="28"/>
          <w:szCs w:val="28"/>
          <w:lang w:val="en-US"/>
        </w:rPr>
        <w:t>IL-6</w:t>
      </w:r>
      <w:r w:rsidR="001E718E">
        <w:rPr>
          <w:rFonts w:ascii="Times" w:hAnsi="Times"/>
          <w:b/>
          <w:bCs/>
          <w:sz w:val="28"/>
          <w:szCs w:val="28"/>
          <w:lang w:val="en-US"/>
        </w:rPr>
        <w:t xml:space="preserve"> receptor antagonist therapy</w:t>
      </w:r>
    </w:p>
    <w:p w14:paraId="367DD40A" w14:textId="77777777" w:rsidR="00363963" w:rsidRPr="00A017D7" w:rsidRDefault="00363963" w:rsidP="003C3843">
      <w:pPr>
        <w:jc w:val="both"/>
        <w:rPr>
          <w:rFonts w:ascii="Times" w:hAnsi="Times"/>
          <w:lang w:val="en-US"/>
        </w:rPr>
      </w:pPr>
    </w:p>
    <w:p w14:paraId="1C5AC573" w14:textId="77777777" w:rsidR="001D62C4" w:rsidRPr="00363963" w:rsidRDefault="001D62C4" w:rsidP="003C3843">
      <w:pPr>
        <w:jc w:val="both"/>
        <w:rPr>
          <w:rFonts w:ascii="Times" w:hAnsi="Times"/>
          <w:lang w:val="en-US"/>
        </w:rPr>
      </w:pPr>
    </w:p>
    <w:p w14:paraId="291A22C1" w14:textId="085065EE" w:rsidR="00C410D2" w:rsidRPr="006B0949" w:rsidRDefault="00C410D2" w:rsidP="006B0949">
      <w:pPr>
        <w:jc w:val="both"/>
        <w:rPr>
          <w:rFonts w:ascii="Times" w:hAnsi="Times"/>
          <w:vertAlign w:val="superscript"/>
          <w:lang w:val="en-US"/>
        </w:rPr>
      </w:pPr>
      <w:r w:rsidRPr="006B0949">
        <w:rPr>
          <w:rFonts w:ascii="Times" w:hAnsi="Times"/>
          <w:lang w:val="en-US"/>
        </w:rPr>
        <w:t>Ann-Cathrine Dalgård Dunvald</w:t>
      </w:r>
      <w:r w:rsidR="007976AC" w:rsidRPr="006B0949">
        <w:rPr>
          <w:rFonts w:ascii="Times" w:hAnsi="Times"/>
          <w:vertAlign w:val="superscript"/>
          <w:lang w:val="en-US"/>
        </w:rPr>
        <w:t>1</w:t>
      </w:r>
      <w:r w:rsidR="00D409AD" w:rsidRPr="006B0949">
        <w:rPr>
          <w:rFonts w:ascii="Times" w:hAnsi="Times"/>
          <w:vertAlign w:val="superscript"/>
          <w:lang w:val="en-US"/>
        </w:rPr>
        <w:tab/>
      </w:r>
      <w:r w:rsidR="00E44471" w:rsidRPr="00E44471">
        <w:rPr>
          <w:rFonts w:ascii="Times" w:hAnsi="Times"/>
          <w:lang w:val="en-US"/>
        </w:rPr>
        <w:t>(</w:t>
      </w:r>
      <w:r w:rsidR="00D409AD" w:rsidRPr="006B0949">
        <w:rPr>
          <w:rFonts w:ascii="Times" w:hAnsi="Times"/>
          <w:lang w:val="en-US"/>
        </w:rPr>
        <w:t>ORCID: 0000-0001-7574-0909</w:t>
      </w:r>
      <w:r w:rsidR="00E44471">
        <w:rPr>
          <w:rFonts w:ascii="Times" w:hAnsi="Times"/>
          <w:lang w:val="en-US"/>
        </w:rPr>
        <w:t>)</w:t>
      </w:r>
    </w:p>
    <w:p w14:paraId="0F32386D" w14:textId="6F02B3C2" w:rsidR="00C410D2" w:rsidRPr="00172593" w:rsidRDefault="00C410D2" w:rsidP="00E44471">
      <w:pPr>
        <w:rPr>
          <w:lang w:val="en-US"/>
        </w:rPr>
      </w:pPr>
      <w:r w:rsidRPr="00172593">
        <w:rPr>
          <w:rFonts w:ascii="Times" w:hAnsi="Times"/>
          <w:lang w:val="en-US"/>
        </w:rPr>
        <w:t>Kasper Søltoft</w:t>
      </w:r>
      <w:r w:rsidR="007976AC" w:rsidRPr="00172593">
        <w:rPr>
          <w:rFonts w:ascii="Times" w:hAnsi="Times"/>
          <w:vertAlign w:val="superscript"/>
          <w:lang w:val="en-US"/>
        </w:rPr>
        <w:t>2</w:t>
      </w:r>
      <w:r w:rsidR="00CB0908" w:rsidRPr="00172593">
        <w:rPr>
          <w:rFonts w:ascii="Times" w:hAnsi="Times"/>
          <w:vertAlign w:val="superscript"/>
          <w:lang w:val="en-US"/>
        </w:rPr>
        <w:tab/>
      </w:r>
      <w:r w:rsidR="00CB0908" w:rsidRPr="00172593">
        <w:rPr>
          <w:rFonts w:ascii="Times" w:hAnsi="Times"/>
          <w:vertAlign w:val="superscript"/>
          <w:lang w:val="en-US"/>
        </w:rPr>
        <w:tab/>
      </w:r>
      <w:r w:rsidR="00CB0908" w:rsidRPr="00172593">
        <w:rPr>
          <w:rFonts w:ascii="Times" w:hAnsi="Times"/>
          <w:lang w:val="en-US"/>
        </w:rPr>
        <w:t>(ORCID: 0000-0002-1111-8050)</w:t>
      </w:r>
    </w:p>
    <w:p w14:paraId="523BAC76" w14:textId="16675D5F" w:rsidR="00C410D2" w:rsidRPr="00172593" w:rsidRDefault="00C410D2" w:rsidP="006B0949">
      <w:pPr>
        <w:jc w:val="both"/>
        <w:rPr>
          <w:rFonts w:ascii="Times" w:hAnsi="Times"/>
          <w:vertAlign w:val="superscript"/>
          <w:lang w:val="en-US"/>
        </w:rPr>
      </w:pPr>
      <w:r w:rsidRPr="00172593">
        <w:rPr>
          <w:rFonts w:ascii="Times" w:hAnsi="Times"/>
          <w:lang w:val="en-US"/>
        </w:rPr>
        <w:t>Ekta Sheetal</w:t>
      </w:r>
      <w:r w:rsidR="00467BBF" w:rsidRPr="00172593">
        <w:rPr>
          <w:rFonts w:ascii="Times" w:hAnsi="Times"/>
          <w:vertAlign w:val="superscript"/>
          <w:lang w:val="en-US"/>
        </w:rPr>
        <w:t>3</w:t>
      </w:r>
    </w:p>
    <w:p w14:paraId="7FF9F78E" w14:textId="49C9F97E" w:rsidR="00C410D2" w:rsidRPr="00172593" w:rsidRDefault="00C410D2" w:rsidP="006B0949">
      <w:pPr>
        <w:jc w:val="both"/>
        <w:rPr>
          <w:rFonts w:ascii="Times" w:hAnsi="Times"/>
          <w:vertAlign w:val="superscript"/>
          <w:lang w:val="en-US"/>
        </w:rPr>
      </w:pPr>
      <w:r w:rsidRPr="00172593">
        <w:rPr>
          <w:rFonts w:ascii="Times" w:hAnsi="Times"/>
          <w:lang w:val="en-US"/>
        </w:rPr>
        <w:t>Søren Andreas Just</w:t>
      </w:r>
      <w:r w:rsidR="00467BBF" w:rsidRPr="00172593">
        <w:rPr>
          <w:rFonts w:ascii="Times" w:hAnsi="Times"/>
          <w:vertAlign w:val="superscript"/>
          <w:lang w:val="en-US"/>
        </w:rPr>
        <w:t>4</w:t>
      </w:r>
      <w:r w:rsidR="00C060BE" w:rsidRPr="00172593">
        <w:rPr>
          <w:rFonts w:ascii="Times" w:hAnsi="Times"/>
          <w:vertAlign w:val="superscript"/>
          <w:lang w:val="en-US"/>
        </w:rPr>
        <w:tab/>
      </w:r>
      <w:r w:rsidR="00C060BE" w:rsidRPr="00172593">
        <w:rPr>
          <w:rFonts w:ascii="Times" w:hAnsi="Times"/>
          <w:vertAlign w:val="superscript"/>
          <w:lang w:val="en-US"/>
        </w:rPr>
        <w:tab/>
      </w:r>
      <w:r w:rsidR="00C060BE" w:rsidRPr="00172593">
        <w:rPr>
          <w:rFonts w:ascii="Times" w:hAnsi="Times"/>
          <w:lang w:val="en-US"/>
        </w:rPr>
        <w:t>(ORCID: 0000-0002-3946-5919)</w:t>
      </w:r>
    </w:p>
    <w:p w14:paraId="7041C2C6" w14:textId="77777777" w:rsidR="00E428B5" w:rsidRPr="006B0949" w:rsidRDefault="00E428B5" w:rsidP="006B0949">
      <w:pPr>
        <w:jc w:val="both"/>
        <w:rPr>
          <w:rFonts w:ascii="Times" w:hAnsi="Times"/>
        </w:rPr>
      </w:pPr>
      <w:r w:rsidRPr="006B0949">
        <w:rPr>
          <w:rFonts w:ascii="Times" w:hAnsi="Times"/>
        </w:rPr>
        <w:t>Ida Emilie Brejning Frederiksen</w:t>
      </w:r>
      <w:r w:rsidRPr="006B0949">
        <w:rPr>
          <w:rFonts w:ascii="Times" w:hAnsi="Times"/>
          <w:vertAlign w:val="superscript"/>
        </w:rPr>
        <w:t>1</w:t>
      </w:r>
      <w:r w:rsidRPr="006B0949">
        <w:rPr>
          <w:rFonts w:ascii="Times" w:hAnsi="Times"/>
        </w:rPr>
        <w:tab/>
      </w:r>
    </w:p>
    <w:p w14:paraId="11BD529F" w14:textId="4B71DB01" w:rsidR="00C410D2" w:rsidRPr="006B0949" w:rsidRDefault="00BE4EF5" w:rsidP="006B0949">
      <w:pPr>
        <w:jc w:val="both"/>
        <w:rPr>
          <w:rFonts w:ascii="Times" w:hAnsi="Times"/>
          <w:vertAlign w:val="superscript"/>
        </w:rPr>
      </w:pPr>
      <w:r w:rsidRPr="006B0949">
        <w:rPr>
          <w:rFonts w:ascii="Times" w:hAnsi="Times"/>
        </w:rPr>
        <w:t>Flemming Nielsen</w:t>
      </w:r>
      <w:r w:rsidR="00A07101" w:rsidRPr="006B0949">
        <w:rPr>
          <w:rFonts w:ascii="Times" w:hAnsi="Times"/>
          <w:vertAlign w:val="superscript"/>
        </w:rPr>
        <w:t>1</w:t>
      </w:r>
      <w:r w:rsidR="00FB3DC4" w:rsidRPr="006B0949">
        <w:rPr>
          <w:rFonts w:ascii="Times" w:hAnsi="Times"/>
        </w:rPr>
        <w:tab/>
      </w:r>
      <w:r w:rsidR="00FB3DC4" w:rsidRPr="006B0949">
        <w:rPr>
          <w:rFonts w:ascii="Times" w:hAnsi="Times"/>
        </w:rPr>
        <w:tab/>
      </w:r>
      <w:r w:rsidR="00FB3DC4" w:rsidRPr="006B0949">
        <w:rPr>
          <w:rFonts w:ascii="Times" w:hAnsi="Times" w:cs="Arial"/>
        </w:rPr>
        <w:t>(</w:t>
      </w:r>
      <w:r w:rsidR="00FB3DC4" w:rsidRPr="006B0949">
        <w:rPr>
          <w:rFonts w:ascii="Times" w:hAnsi="Times"/>
        </w:rPr>
        <w:t>ORCID: 0000-0002-5657-405X)</w:t>
      </w:r>
    </w:p>
    <w:p w14:paraId="38F12815" w14:textId="2606410B" w:rsidR="00C410D2" w:rsidRPr="006B0949" w:rsidRDefault="00C410D2" w:rsidP="006B0949">
      <w:pPr>
        <w:jc w:val="both"/>
        <w:rPr>
          <w:rFonts w:ascii="Times" w:hAnsi="Times"/>
        </w:rPr>
      </w:pPr>
      <w:r w:rsidRPr="006B0949">
        <w:rPr>
          <w:rFonts w:ascii="Times" w:hAnsi="Times"/>
        </w:rPr>
        <w:t xml:space="preserve">Dorte </w:t>
      </w:r>
      <w:r w:rsidR="00C5797B" w:rsidRPr="006B0949">
        <w:rPr>
          <w:rFonts w:ascii="Times" w:hAnsi="Times"/>
        </w:rPr>
        <w:t xml:space="preserve">Aalund </w:t>
      </w:r>
      <w:r w:rsidRPr="006B0949">
        <w:rPr>
          <w:rFonts w:ascii="Times" w:hAnsi="Times"/>
        </w:rPr>
        <w:t>Olsen</w:t>
      </w:r>
      <w:r w:rsidR="009E3764" w:rsidRPr="006B0949">
        <w:rPr>
          <w:rFonts w:ascii="Times" w:hAnsi="Times"/>
          <w:vertAlign w:val="superscript"/>
        </w:rPr>
        <w:t>5</w:t>
      </w:r>
      <w:r w:rsidR="00C5797B" w:rsidRPr="006B0949">
        <w:rPr>
          <w:rFonts w:ascii="Times" w:hAnsi="Times"/>
          <w:vertAlign w:val="superscript"/>
        </w:rPr>
        <w:tab/>
      </w:r>
      <w:r w:rsidR="00C5797B" w:rsidRPr="006B0949">
        <w:rPr>
          <w:rFonts w:ascii="Times" w:hAnsi="Times"/>
        </w:rPr>
        <w:tab/>
      </w:r>
      <w:r w:rsidR="00C5797B" w:rsidRPr="006B0949">
        <w:rPr>
          <w:rFonts w:ascii="Times" w:hAnsi="Times" w:cs="Arial"/>
        </w:rPr>
        <w:t>(</w:t>
      </w:r>
      <w:r w:rsidR="00C5797B" w:rsidRPr="006B0949">
        <w:rPr>
          <w:rFonts w:ascii="Times" w:hAnsi="Times"/>
        </w:rPr>
        <w:t>ORCID: 0000-0003-2589-738X)</w:t>
      </w:r>
    </w:p>
    <w:p w14:paraId="738CBFA9" w14:textId="042DE6FB" w:rsidR="00C410D2" w:rsidRPr="006B0949" w:rsidRDefault="00C410D2" w:rsidP="006B0949">
      <w:pPr>
        <w:jc w:val="both"/>
        <w:rPr>
          <w:rFonts w:ascii="Times" w:hAnsi="Times" w:cs="Arial"/>
        </w:rPr>
      </w:pPr>
      <w:r w:rsidRPr="006B0949">
        <w:rPr>
          <w:rFonts w:ascii="Times" w:hAnsi="Times"/>
        </w:rPr>
        <w:t>Jonna Skov Madsen</w:t>
      </w:r>
      <w:r w:rsidR="009E3764" w:rsidRPr="006B0949">
        <w:rPr>
          <w:rFonts w:ascii="Times" w:hAnsi="Times"/>
          <w:vertAlign w:val="superscript"/>
        </w:rPr>
        <w:t>5</w:t>
      </w:r>
      <w:r w:rsidR="007971E4" w:rsidRPr="006B0949">
        <w:rPr>
          <w:rFonts w:ascii="Times" w:hAnsi="Times"/>
          <w:vertAlign w:val="superscript"/>
        </w:rPr>
        <w:t>,6</w:t>
      </w:r>
      <w:r w:rsidR="00090FDA" w:rsidRPr="006B0949">
        <w:rPr>
          <w:rFonts w:ascii="Times" w:hAnsi="Times"/>
        </w:rPr>
        <w:tab/>
      </w:r>
      <w:r w:rsidR="00090FDA" w:rsidRPr="006B0949">
        <w:rPr>
          <w:rFonts w:ascii="Times" w:hAnsi="Times"/>
        </w:rPr>
        <w:tab/>
      </w:r>
      <w:r w:rsidR="00090FDA" w:rsidRPr="006B0949">
        <w:rPr>
          <w:rFonts w:ascii="Times" w:hAnsi="Times" w:cs="Arial"/>
        </w:rPr>
        <w:t>(</w:t>
      </w:r>
      <w:r w:rsidR="00090FDA" w:rsidRPr="006B0949">
        <w:rPr>
          <w:rFonts w:ascii="Times" w:hAnsi="Times"/>
        </w:rPr>
        <w:t>ORCID: 0000-0001-6668-4714)</w:t>
      </w:r>
    </w:p>
    <w:p w14:paraId="7298C03D" w14:textId="2D3A0609" w:rsidR="00090FDA" w:rsidRPr="006B0949" w:rsidRDefault="00C410D2" w:rsidP="006B0949">
      <w:pPr>
        <w:jc w:val="both"/>
        <w:rPr>
          <w:rFonts w:ascii="Times" w:hAnsi="Times"/>
          <w:lang w:val="en-US"/>
        </w:rPr>
      </w:pPr>
      <w:r w:rsidRPr="006B0949">
        <w:rPr>
          <w:rFonts w:ascii="Times" w:hAnsi="Times"/>
          <w:lang w:val="en-US"/>
        </w:rPr>
        <w:t>Oliver Hendrick</w:t>
      </w:r>
      <w:r w:rsidR="00BE4EF5" w:rsidRPr="006B0949">
        <w:rPr>
          <w:rFonts w:ascii="Times" w:hAnsi="Times"/>
          <w:lang w:val="en-US"/>
        </w:rPr>
        <w:t>s</w:t>
      </w:r>
      <w:r w:rsidR="00EC484F" w:rsidRPr="006B0949">
        <w:rPr>
          <w:rFonts w:ascii="Times" w:hAnsi="Times"/>
          <w:vertAlign w:val="superscript"/>
          <w:lang w:val="en-US"/>
        </w:rPr>
        <w:t>7</w:t>
      </w:r>
      <w:r w:rsidR="007971E4" w:rsidRPr="006B0949">
        <w:rPr>
          <w:rFonts w:ascii="Times" w:hAnsi="Times"/>
          <w:vertAlign w:val="superscript"/>
          <w:lang w:val="en-US"/>
        </w:rPr>
        <w:t>,8</w:t>
      </w:r>
      <w:r w:rsidR="006B0949" w:rsidRPr="006B0949">
        <w:rPr>
          <w:rFonts w:ascii="Times" w:hAnsi="Times"/>
          <w:lang w:val="en-US"/>
        </w:rPr>
        <w:tab/>
      </w:r>
      <w:r w:rsidR="006B0949" w:rsidRPr="006B0949">
        <w:rPr>
          <w:rFonts w:ascii="Times" w:hAnsi="Times"/>
          <w:lang w:val="en-US"/>
        </w:rPr>
        <w:tab/>
      </w:r>
      <w:r w:rsidR="006B0949" w:rsidRPr="006D6D61">
        <w:rPr>
          <w:rFonts w:ascii="Times" w:hAnsi="Times"/>
          <w:lang w:val="en-US"/>
        </w:rPr>
        <w:t>(ORCID:</w:t>
      </w:r>
      <w:r w:rsidR="00437DE6">
        <w:rPr>
          <w:rFonts w:ascii="Times" w:hAnsi="Times"/>
          <w:lang w:val="en-US"/>
        </w:rPr>
        <w:t xml:space="preserve"> </w:t>
      </w:r>
      <w:r w:rsidR="006B0949" w:rsidRPr="006D6D61">
        <w:rPr>
          <w:rFonts w:ascii="Times" w:hAnsi="Times"/>
          <w:lang w:val="en-US"/>
        </w:rPr>
        <w:t>0000-0001-9473-5072)</w:t>
      </w:r>
    </w:p>
    <w:p w14:paraId="63724818" w14:textId="7608FC81" w:rsidR="00C410D2" w:rsidRPr="006B0949" w:rsidRDefault="00C410D2" w:rsidP="006B0949">
      <w:pPr>
        <w:jc w:val="both"/>
        <w:rPr>
          <w:rFonts w:ascii="Times" w:hAnsi="Times"/>
          <w:vertAlign w:val="superscript"/>
          <w:lang w:val="en-US"/>
        </w:rPr>
      </w:pPr>
      <w:r w:rsidRPr="006B0949">
        <w:rPr>
          <w:rFonts w:ascii="Times" w:hAnsi="Times"/>
          <w:lang w:val="en-US"/>
        </w:rPr>
        <w:t>Tore Bjerregaard Stage</w:t>
      </w:r>
      <w:r w:rsidR="009E3764" w:rsidRPr="006B0949">
        <w:rPr>
          <w:rFonts w:ascii="Times" w:hAnsi="Times"/>
          <w:vertAlign w:val="superscript"/>
          <w:lang w:val="en-US"/>
        </w:rPr>
        <w:t>1,</w:t>
      </w:r>
      <w:r w:rsidR="007971E4" w:rsidRPr="006B0949">
        <w:rPr>
          <w:rFonts w:ascii="Times" w:hAnsi="Times"/>
          <w:vertAlign w:val="superscript"/>
          <w:lang w:val="en-US"/>
        </w:rPr>
        <w:t>9</w:t>
      </w:r>
      <w:r w:rsidR="00566133" w:rsidRPr="006B0949">
        <w:rPr>
          <w:rFonts w:ascii="Times" w:hAnsi="Times"/>
          <w:vertAlign w:val="superscript"/>
          <w:lang w:val="en-US"/>
        </w:rPr>
        <w:tab/>
      </w:r>
      <w:r w:rsidR="00566133" w:rsidRPr="006B0949">
        <w:rPr>
          <w:rFonts w:ascii="Times" w:hAnsi="Times"/>
          <w:vertAlign w:val="superscript"/>
          <w:lang w:val="en-US"/>
        </w:rPr>
        <w:tab/>
      </w:r>
      <w:r w:rsidR="007A7BA5" w:rsidRPr="007A7BA5">
        <w:rPr>
          <w:rFonts w:ascii="Times" w:hAnsi="Times"/>
          <w:lang w:val="en-US"/>
        </w:rPr>
        <w:t>(</w:t>
      </w:r>
      <w:r w:rsidR="00566133" w:rsidRPr="006B0949">
        <w:rPr>
          <w:rFonts w:ascii="Times" w:hAnsi="Times"/>
          <w:lang w:val="en-US"/>
        </w:rPr>
        <w:t>ORCID: 0000-0002-4698-4389</w:t>
      </w:r>
      <w:r w:rsidR="007A7BA5">
        <w:rPr>
          <w:rFonts w:ascii="Times" w:hAnsi="Times"/>
          <w:lang w:val="en-US"/>
        </w:rPr>
        <w:t>)</w:t>
      </w:r>
    </w:p>
    <w:p w14:paraId="20DCF932" w14:textId="77777777" w:rsidR="00363963" w:rsidRPr="00363963" w:rsidRDefault="00363963" w:rsidP="003C3843">
      <w:pPr>
        <w:jc w:val="both"/>
        <w:rPr>
          <w:rFonts w:ascii="Times" w:hAnsi="Times"/>
          <w:lang w:val="en-US"/>
        </w:rPr>
      </w:pPr>
    </w:p>
    <w:p w14:paraId="14250094" w14:textId="77777777" w:rsidR="00B76F65" w:rsidRPr="003C3843" w:rsidRDefault="00B76F65" w:rsidP="003C3843">
      <w:pPr>
        <w:jc w:val="both"/>
        <w:rPr>
          <w:rFonts w:ascii="Times" w:hAnsi="Times"/>
          <w:lang w:val="en-US"/>
        </w:rPr>
      </w:pPr>
    </w:p>
    <w:p w14:paraId="1CCC367B" w14:textId="43111270" w:rsidR="00BE4EF5" w:rsidRPr="003C3843" w:rsidRDefault="00401096" w:rsidP="003C3843">
      <w:pPr>
        <w:pStyle w:val="Listeafsnit"/>
        <w:numPr>
          <w:ilvl w:val="0"/>
          <w:numId w:val="2"/>
        </w:numPr>
        <w:spacing w:line="240" w:lineRule="auto"/>
        <w:jc w:val="both"/>
        <w:rPr>
          <w:rFonts w:ascii="Times" w:hAnsi="Times"/>
          <w:sz w:val="20"/>
          <w:szCs w:val="20"/>
          <w:lang w:val="en-US"/>
        </w:rPr>
      </w:pPr>
      <w:r w:rsidRPr="003C3843">
        <w:rPr>
          <w:rFonts w:ascii="Times" w:hAnsi="Times"/>
          <w:sz w:val="20"/>
          <w:szCs w:val="20"/>
          <w:lang w:val="en-US"/>
        </w:rPr>
        <w:t>Clinical Pharmacology, Pharmacy and Environmental Medicine, Department of Public Health, University of Southern Denmark</w:t>
      </w:r>
      <w:r w:rsidR="00640453" w:rsidRPr="003C3843">
        <w:rPr>
          <w:rFonts w:ascii="Times" w:hAnsi="Times"/>
          <w:sz w:val="20"/>
          <w:szCs w:val="20"/>
          <w:lang w:val="en-US"/>
        </w:rPr>
        <w:t>, Odense, Denmark</w:t>
      </w:r>
    </w:p>
    <w:p w14:paraId="35FDE279" w14:textId="097FE14A" w:rsidR="00850618" w:rsidRPr="003C3843" w:rsidRDefault="00B4156B" w:rsidP="003C3843">
      <w:pPr>
        <w:pStyle w:val="Listeafsnit"/>
        <w:numPr>
          <w:ilvl w:val="0"/>
          <w:numId w:val="2"/>
        </w:numPr>
        <w:spacing w:line="240" w:lineRule="auto"/>
        <w:jc w:val="both"/>
        <w:rPr>
          <w:rFonts w:ascii="Times" w:hAnsi="Times"/>
          <w:sz w:val="20"/>
          <w:szCs w:val="20"/>
          <w:lang w:val="en-US"/>
        </w:rPr>
      </w:pPr>
      <w:r w:rsidRPr="003C3843">
        <w:rPr>
          <w:rFonts w:ascii="Times" w:hAnsi="Times"/>
          <w:sz w:val="20"/>
          <w:szCs w:val="20"/>
          <w:lang w:val="en-US"/>
        </w:rPr>
        <w:t>Department of Rheumatology, Odense University Hospital, Odense</w:t>
      </w:r>
      <w:r w:rsidR="00640453" w:rsidRPr="003C3843">
        <w:rPr>
          <w:rFonts w:ascii="Times" w:hAnsi="Times"/>
          <w:sz w:val="20"/>
          <w:szCs w:val="20"/>
          <w:lang w:val="en-US"/>
        </w:rPr>
        <w:t>, Denmark</w:t>
      </w:r>
    </w:p>
    <w:p w14:paraId="0609EED5" w14:textId="3A8A1737" w:rsidR="00D95BEF" w:rsidRPr="003C3843" w:rsidRDefault="007930D3" w:rsidP="003C3843">
      <w:pPr>
        <w:pStyle w:val="Listeafsnit"/>
        <w:numPr>
          <w:ilvl w:val="0"/>
          <w:numId w:val="2"/>
        </w:numPr>
        <w:spacing w:line="240" w:lineRule="auto"/>
        <w:jc w:val="both"/>
        <w:rPr>
          <w:rFonts w:ascii="Times" w:hAnsi="Times"/>
          <w:sz w:val="20"/>
          <w:szCs w:val="20"/>
          <w:lang w:val="en-US"/>
        </w:rPr>
      </w:pPr>
      <w:r w:rsidRPr="003C3843">
        <w:rPr>
          <w:rFonts w:ascii="Times" w:hAnsi="Times"/>
          <w:sz w:val="20"/>
          <w:szCs w:val="20"/>
          <w:lang w:val="en-US"/>
        </w:rPr>
        <w:t>Department of Rheumatology</w:t>
      </w:r>
      <w:r w:rsidR="00B76F65" w:rsidRPr="003C3843">
        <w:rPr>
          <w:rFonts w:ascii="Times" w:hAnsi="Times"/>
          <w:sz w:val="20"/>
          <w:szCs w:val="20"/>
          <w:lang w:val="en-US"/>
        </w:rPr>
        <w:t xml:space="preserve">, Hospital </w:t>
      </w:r>
      <w:proofErr w:type="gramStart"/>
      <w:r w:rsidR="00B76F65" w:rsidRPr="003C3843">
        <w:rPr>
          <w:rFonts w:ascii="Times" w:hAnsi="Times"/>
          <w:sz w:val="20"/>
          <w:szCs w:val="20"/>
          <w:lang w:val="en-US"/>
        </w:rPr>
        <w:t>South West</w:t>
      </w:r>
      <w:proofErr w:type="gramEnd"/>
      <w:r w:rsidR="00B76F65" w:rsidRPr="003C3843">
        <w:rPr>
          <w:rFonts w:ascii="Times" w:hAnsi="Times"/>
          <w:sz w:val="20"/>
          <w:szCs w:val="20"/>
          <w:lang w:val="en-US"/>
        </w:rPr>
        <w:t xml:space="preserve"> Jutland</w:t>
      </w:r>
      <w:r w:rsidR="00D95BEF" w:rsidRPr="003C3843">
        <w:rPr>
          <w:rFonts w:ascii="Times" w:hAnsi="Times"/>
          <w:sz w:val="20"/>
          <w:szCs w:val="20"/>
          <w:lang w:val="en-US"/>
        </w:rPr>
        <w:t>, Esbjerg</w:t>
      </w:r>
      <w:r w:rsidR="00640453" w:rsidRPr="003C3843">
        <w:rPr>
          <w:rFonts w:ascii="Times" w:hAnsi="Times"/>
          <w:sz w:val="20"/>
          <w:szCs w:val="20"/>
          <w:lang w:val="en-US"/>
        </w:rPr>
        <w:t>, Denmark</w:t>
      </w:r>
    </w:p>
    <w:p w14:paraId="77E29B98" w14:textId="7ECA1A58" w:rsidR="00C578D1" w:rsidRPr="003C3843" w:rsidRDefault="008D1BAC" w:rsidP="003C3843">
      <w:pPr>
        <w:pStyle w:val="Listeafsnit"/>
        <w:numPr>
          <w:ilvl w:val="0"/>
          <w:numId w:val="2"/>
        </w:numPr>
        <w:spacing w:line="240" w:lineRule="auto"/>
        <w:jc w:val="both"/>
        <w:rPr>
          <w:rFonts w:ascii="Times" w:hAnsi="Times"/>
          <w:sz w:val="20"/>
          <w:szCs w:val="20"/>
          <w:lang w:val="en-US"/>
        </w:rPr>
      </w:pPr>
      <w:r>
        <w:rPr>
          <w:rFonts w:ascii="Times" w:hAnsi="Times"/>
          <w:sz w:val="20"/>
          <w:szCs w:val="20"/>
          <w:lang w:val="en-US"/>
        </w:rPr>
        <w:t>Section</w:t>
      </w:r>
      <w:r w:rsidR="000215C9" w:rsidRPr="003C3843">
        <w:rPr>
          <w:rFonts w:ascii="Times" w:hAnsi="Times"/>
          <w:sz w:val="20"/>
          <w:szCs w:val="20"/>
          <w:lang w:val="en-US"/>
        </w:rPr>
        <w:t xml:space="preserve"> of Rheumatology,</w:t>
      </w:r>
      <w:r>
        <w:rPr>
          <w:rFonts w:ascii="Times" w:hAnsi="Times"/>
          <w:sz w:val="20"/>
          <w:szCs w:val="20"/>
          <w:lang w:val="en-US"/>
        </w:rPr>
        <w:t xml:space="preserve"> Department of Medicine</w:t>
      </w:r>
      <w:r w:rsidR="00EE058F">
        <w:rPr>
          <w:rFonts w:ascii="Times" w:hAnsi="Times"/>
          <w:sz w:val="20"/>
          <w:szCs w:val="20"/>
          <w:lang w:val="en-US"/>
        </w:rPr>
        <w:t>,</w:t>
      </w:r>
      <w:r w:rsidR="000215C9" w:rsidRPr="003C3843">
        <w:rPr>
          <w:rFonts w:ascii="Times" w:hAnsi="Times"/>
          <w:sz w:val="20"/>
          <w:szCs w:val="20"/>
          <w:lang w:val="en-US"/>
        </w:rPr>
        <w:t xml:space="preserve"> </w:t>
      </w:r>
      <w:r w:rsidR="00C578D1" w:rsidRPr="003C3843">
        <w:rPr>
          <w:rFonts w:ascii="Times" w:hAnsi="Times"/>
          <w:sz w:val="20"/>
          <w:szCs w:val="20"/>
          <w:lang w:val="en-US"/>
        </w:rPr>
        <w:t>Svendborg Hospital, Odense University Hospital, Svendborg</w:t>
      </w:r>
      <w:r w:rsidR="00640453" w:rsidRPr="003C3843">
        <w:rPr>
          <w:rFonts w:ascii="Times" w:hAnsi="Times"/>
          <w:sz w:val="20"/>
          <w:szCs w:val="20"/>
          <w:lang w:val="en-US"/>
        </w:rPr>
        <w:t>, Denmark</w:t>
      </w:r>
    </w:p>
    <w:p w14:paraId="203EC5DF" w14:textId="6CE47E2D" w:rsidR="009217EC" w:rsidRPr="003C3843" w:rsidRDefault="009217EC" w:rsidP="003C3843">
      <w:pPr>
        <w:pStyle w:val="Listeafsnit"/>
        <w:numPr>
          <w:ilvl w:val="0"/>
          <w:numId w:val="2"/>
        </w:numPr>
        <w:spacing w:line="240" w:lineRule="auto"/>
        <w:jc w:val="both"/>
        <w:rPr>
          <w:rFonts w:ascii="Times" w:hAnsi="Times" w:cs="Times New Roman"/>
          <w:sz w:val="20"/>
          <w:szCs w:val="20"/>
          <w:lang w:val="en-US"/>
        </w:rPr>
      </w:pPr>
      <w:r w:rsidRPr="003C3843">
        <w:rPr>
          <w:rFonts w:ascii="Times" w:hAnsi="Times" w:cs="Times New Roman"/>
          <w:sz w:val="20"/>
          <w:szCs w:val="20"/>
          <w:lang w:val="en-US"/>
        </w:rPr>
        <w:t xml:space="preserve">Department of Biochemistry and Immunology, </w:t>
      </w:r>
      <w:proofErr w:type="spellStart"/>
      <w:r w:rsidRPr="003C3843">
        <w:rPr>
          <w:rFonts w:ascii="Times" w:hAnsi="Times" w:cs="Times New Roman"/>
          <w:sz w:val="20"/>
          <w:szCs w:val="20"/>
          <w:lang w:val="en-US"/>
        </w:rPr>
        <w:t>Lillebaelt</w:t>
      </w:r>
      <w:proofErr w:type="spellEnd"/>
      <w:r w:rsidRPr="003C3843">
        <w:rPr>
          <w:rFonts w:ascii="Times" w:hAnsi="Times" w:cs="Times New Roman"/>
          <w:sz w:val="20"/>
          <w:szCs w:val="20"/>
          <w:lang w:val="en-US"/>
        </w:rPr>
        <w:t xml:space="preserve"> Hospital, Vejle, Denmark</w:t>
      </w:r>
    </w:p>
    <w:p w14:paraId="4EC3B620" w14:textId="064D6408" w:rsidR="007971E4" w:rsidRPr="003C3843" w:rsidRDefault="007971E4" w:rsidP="003C3843">
      <w:pPr>
        <w:pStyle w:val="Listeafsnit"/>
        <w:numPr>
          <w:ilvl w:val="0"/>
          <w:numId w:val="2"/>
        </w:numPr>
        <w:spacing w:after="120" w:line="240" w:lineRule="auto"/>
        <w:jc w:val="both"/>
        <w:rPr>
          <w:rFonts w:ascii="Times" w:hAnsi="Times" w:cs="Times New Roman"/>
          <w:sz w:val="20"/>
          <w:szCs w:val="20"/>
          <w:lang w:val="en-US"/>
        </w:rPr>
      </w:pPr>
      <w:r w:rsidRPr="003C3843">
        <w:rPr>
          <w:rFonts w:ascii="Times" w:hAnsi="Times" w:cs="Times New Roman"/>
          <w:sz w:val="20"/>
          <w:szCs w:val="20"/>
          <w:lang w:val="en-US"/>
        </w:rPr>
        <w:t xml:space="preserve">Department of Regional Health Research, Faculty of Health Sciences, University of Southern Denmark, </w:t>
      </w:r>
      <w:r w:rsidR="00D6211F">
        <w:rPr>
          <w:rFonts w:ascii="Times" w:hAnsi="Times" w:cs="Times New Roman"/>
          <w:sz w:val="20"/>
          <w:szCs w:val="20"/>
          <w:lang w:val="en-US"/>
        </w:rPr>
        <w:t xml:space="preserve">Odense, </w:t>
      </w:r>
      <w:r w:rsidRPr="003C3843">
        <w:rPr>
          <w:rFonts w:ascii="Times" w:hAnsi="Times" w:cs="Times New Roman"/>
          <w:sz w:val="20"/>
          <w:szCs w:val="20"/>
          <w:lang w:val="en-US"/>
        </w:rPr>
        <w:t>Denmark</w:t>
      </w:r>
    </w:p>
    <w:p w14:paraId="04B87E34" w14:textId="77777777" w:rsidR="003C3843" w:rsidRDefault="00123413" w:rsidP="003C3843">
      <w:pPr>
        <w:pStyle w:val="Listeafsnit"/>
        <w:numPr>
          <w:ilvl w:val="0"/>
          <w:numId w:val="2"/>
        </w:numPr>
        <w:spacing w:line="240" w:lineRule="auto"/>
        <w:jc w:val="both"/>
        <w:rPr>
          <w:rFonts w:ascii="Times" w:hAnsi="Times" w:cs="Times New Roman"/>
          <w:sz w:val="20"/>
          <w:szCs w:val="20"/>
          <w:lang w:val="en-US"/>
        </w:rPr>
      </w:pPr>
      <w:r w:rsidRPr="003C3843">
        <w:rPr>
          <w:rFonts w:ascii="Times" w:hAnsi="Times" w:cs="Times New Roman"/>
          <w:sz w:val="20"/>
          <w:szCs w:val="20"/>
          <w:lang w:val="en-US"/>
        </w:rPr>
        <w:t>Danish Hospital for Rheumatic Diseases, Hospital South Jutland, Sønderborg, Denmark</w:t>
      </w:r>
    </w:p>
    <w:p w14:paraId="47889E65" w14:textId="009F4C7A" w:rsidR="003C3843" w:rsidRPr="003C3843" w:rsidRDefault="00173CA4" w:rsidP="003C3843">
      <w:pPr>
        <w:pStyle w:val="Listeafsnit"/>
        <w:numPr>
          <w:ilvl w:val="0"/>
          <w:numId w:val="2"/>
        </w:numPr>
        <w:spacing w:line="240" w:lineRule="auto"/>
        <w:jc w:val="both"/>
        <w:rPr>
          <w:rFonts w:ascii="Times" w:hAnsi="Times" w:cs="Times New Roman"/>
          <w:sz w:val="20"/>
          <w:szCs w:val="20"/>
          <w:lang w:val="en-US"/>
        </w:rPr>
      </w:pPr>
      <w:r w:rsidRPr="003C3843">
        <w:rPr>
          <w:rFonts w:ascii="Times" w:eastAsia="Times New Roman" w:hAnsi="Times" w:cs="Calibri"/>
          <w:color w:val="000000"/>
          <w:sz w:val="20"/>
          <w:szCs w:val="20"/>
          <w:lang w:val="en-US" w:eastAsia="da-DK"/>
        </w:rPr>
        <w:t xml:space="preserve">The DANBIO Registry, </w:t>
      </w:r>
      <w:proofErr w:type="spellStart"/>
      <w:r w:rsidR="00EE75DF">
        <w:rPr>
          <w:rFonts w:ascii="Times" w:eastAsia="Times New Roman" w:hAnsi="Times" w:cs="Calibri"/>
          <w:color w:val="000000"/>
          <w:sz w:val="20"/>
          <w:szCs w:val="20"/>
          <w:lang w:val="en-US" w:eastAsia="da-DK"/>
        </w:rPr>
        <w:t>Glostrup</w:t>
      </w:r>
      <w:proofErr w:type="spellEnd"/>
      <w:r w:rsidR="00EE75DF">
        <w:rPr>
          <w:rFonts w:ascii="Times" w:eastAsia="Times New Roman" w:hAnsi="Times" w:cs="Calibri"/>
          <w:color w:val="000000"/>
          <w:sz w:val="20"/>
          <w:szCs w:val="20"/>
          <w:lang w:val="en-US" w:eastAsia="da-DK"/>
        </w:rPr>
        <w:t xml:space="preserve">, </w:t>
      </w:r>
      <w:r w:rsidRPr="003C3843">
        <w:rPr>
          <w:rFonts w:ascii="Times" w:eastAsia="Times New Roman" w:hAnsi="Times" w:cs="Calibri"/>
          <w:color w:val="000000"/>
          <w:sz w:val="20"/>
          <w:szCs w:val="20"/>
          <w:lang w:val="en-US" w:eastAsia="da-DK"/>
        </w:rPr>
        <w:t>Denmark</w:t>
      </w:r>
    </w:p>
    <w:p w14:paraId="19A8D6A2" w14:textId="6848AFAE" w:rsidR="00104245" w:rsidRPr="003C3843" w:rsidRDefault="000460DE" w:rsidP="003C3843">
      <w:pPr>
        <w:pStyle w:val="Listeafsnit"/>
        <w:numPr>
          <w:ilvl w:val="0"/>
          <w:numId w:val="2"/>
        </w:numPr>
        <w:spacing w:line="240" w:lineRule="auto"/>
        <w:jc w:val="both"/>
        <w:rPr>
          <w:rFonts w:ascii="Times" w:hAnsi="Times" w:cs="Times New Roman"/>
          <w:sz w:val="20"/>
          <w:szCs w:val="20"/>
          <w:lang w:val="en-US"/>
        </w:rPr>
      </w:pPr>
      <w:r w:rsidRPr="003C3843">
        <w:rPr>
          <w:rFonts w:ascii="Times" w:hAnsi="Times" w:cs="Times New Roman"/>
          <w:sz w:val="20"/>
          <w:szCs w:val="20"/>
          <w:lang w:val="en-US"/>
        </w:rPr>
        <w:t>Department of Clinical Pharmacology, Odense University Hospital, Odense, Denmark</w:t>
      </w:r>
    </w:p>
    <w:p w14:paraId="6ED786D2" w14:textId="77777777" w:rsidR="00104245" w:rsidRDefault="00104245" w:rsidP="00363963">
      <w:pPr>
        <w:rPr>
          <w:rFonts w:ascii="Times" w:hAnsi="Times"/>
          <w:lang w:val="en-US"/>
        </w:rPr>
      </w:pPr>
    </w:p>
    <w:p w14:paraId="5A936C2A" w14:textId="63BDF14F" w:rsidR="00BE4EF5" w:rsidRPr="003C3843" w:rsidRDefault="00A46654" w:rsidP="003C3843">
      <w:pPr>
        <w:rPr>
          <w:rFonts w:ascii="Times" w:hAnsi="Times"/>
          <w:b/>
          <w:bCs/>
          <w:lang w:val="en-US"/>
        </w:rPr>
      </w:pPr>
      <w:r>
        <w:rPr>
          <w:rFonts w:ascii="Times" w:hAnsi="Times"/>
          <w:b/>
          <w:bCs/>
          <w:lang w:val="en-US"/>
        </w:rPr>
        <w:t>Correspondence</w:t>
      </w:r>
    </w:p>
    <w:p w14:paraId="2CFD1DFF" w14:textId="77777777" w:rsidR="00BE4EF5" w:rsidRPr="007976AC" w:rsidRDefault="00BE4EF5" w:rsidP="003C3843">
      <w:pPr>
        <w:jc w:val="both"/>
        <w:rPr>
          <w:rFonts w:ascii="Times" w:hAnsi="Times"/>
          <w:lang w:val="en-US"/>
        </w:rPr>
      </w:pPr>
      <w:r w:rsidRPr="007976AC">
        <w:rPr>
          <w:rFonts w:ascii="Times" w:hAnsi="Times"/>
          <w:lang w:val="en-US"/>
        </w:rPr>
        <w:t>Tore Bjerregaard Stage</w:t>
      </w:r>
    </w:p>
    <w:p w14:paraId="1E31A3A1" w14:textId="77777777" w:rsidR="00662564" w:rsidRPr="002E0603" w:rsidRDefault="00662564" w:rsidP="003C3843">
      <w:pPr>
        <w:jc w:val="both"/>
        <w:rPr>
          <w:rFonts w:ascii="Times" w:hAnsi="Times"/>
          <w:lang w:val="en-GB"/>
        </w:rPr>
      </w:pPr>
      <w:r w:rsidRPr="002E0603">
        <w:rPr>
          <w:rFonts w:ascii="Times" w:hAnsi="Times"/>
          <w:lang w:val="en-GB"/>
        </w:rPr>
        <w:t>Clinical Pharmacology, Pharmacy and Environmental Medicine</w:t>
      </w:r>
    </w:p>
    <w:p w14:paraId="715F20C4" w14:textId="77777777" w:rsidR="00662564" w:rsidRPr="002E0603" w:rsidRDefault="00662564" w:rsidP="003C3843">
      <w:pPr>
        <w:jc w:val="both"/>
        <w:rPr>
          <w:rFonts w:ascii="Times" w:hAnsi="Times"/>
          <w:lang w:val="en-GB"/>
        </w:rPr>
      </w:pPr>
      <w:r w:rsidRPr="002E0603">
        <w:rPr>
          <w:rFonts w:ascii="Times" w:hAnsi="Times"/>
          <w:lang w:val="en-GB"/>
        </w:rPr>
        <w:t xml:space="preserve">University of Southern Denmark  </w:t>
      </w:r>
    </w:p>
    <w:p w14:paraId="6978F1C4" w14:textId="77777777" w:rsidR="00662564" w:rsidRPr="00B774A6" w:rsidRDefault="00662564" w:rsidP="003C3843">
      <w:pPr>
        <w:jc w:val="both"/>
        <w:rPr>
          <w:rFonts w:ascii="Times" w:hAnsi="Times"/>
          <w:lang w:val="en-US"/>
        </w:rPr>
      </w:pPr>
      <w:r w:rsidRPr="00B774A6">
        <w:rPr>
          <w:rFonts w:ascii="Times" w:hAnsi="Times"/>
          <w:lang w:val="en-US"/>
        </w:rPr>
        <w:t xml:space="preserve">JB </w:t>
      </w:r>
      <w:proofErr w:type="spellStart"/>
      <w:r w:rsidRPr="00B774A6">
        <w:rPr>
          <w:rFonts w:ascii="Times" w:hAnsi="Times"/>
          <w:lang w:val="en-US"/>
        </w:rPr>
        <w:t>Winsløwsvej</w:t>
      </w:r>
      <w:proofErr w:type="spellEnd"/>
      <w:r w:rsidRPr="00B774A6">
        <w:rPr>
          <w:rFonts w:ascii="Times" w:hAnsi="Times"/>
          <w:lang w:val="en-US"/>
        </w:rPr>
        <w:t xml:space="preserve"> 19, 2</w:t>
      </w:r>
    </w:p>
    <w:p w14:paraId="5FDFE210" w14:textId="77777777" w:rsidR="00662564" w:rsidRPr="002E0603" w:rsidRDefault="00662564" w:rsidP="003C3843">
      <w:pPr>
        <w:jc w:val="both"/>
        <w:rPr>
          <w:rFonts w:ascii="Times" w:hAnsi="Times"/>
        </w:rPr>
      </w:pPr>
      <w:r w:rsidRPr="002E0603">
        <w:rPr>
          <w:rFonts w:ascii="Times" w:hAnsi="Times"/>
        </w:rPr>
        <w:t>DK-5000 Odense C, Denmark</w:t>
      </w:r>
    </w:p>
    <w:p w14:paraId="2AF0754D" w14:textId="77777777" w:rsidR="00662564" w:rsidRPr="00B774A6" w:rsidRDefault="00662564" w:rsidP="003C3843">
      <w:pPr>
        <w:jc w:val="both"/>
        <w:rPr>
          <w:rFonts w:ascii="Times" w:hAnsi="Times"/>
        </w:rPr>
      </w:pPr>
      <w:r w:rsidRPr="00B774A6">
        <w:rPr>
          <w:rFonts w:ascii="Times" w:hAnsi="Times"/>
        </w:rPr>
        <w:t>E-mail: tstage@health.sdu.dk</w:t>
      </w:r>
    </w:p>
    <w:p w14:paraId="32769157" w14:textId="1922CDAA" w:rsidR="00BA2AF2" w:rsidRDefault="00662564" w:rsidP="009A2F16">
      <w:pPr>
        <w:spacing w:line="360" w:lineRule="auto"/>
        <w:jc w:val="both"/>
        <w:rPr>
          <w:rFonts w:ascii="Times" w:hAnsi="Times"/>
          <w:lang w:val="en-US"/>
        </w:rPr>
      </w:pPr>
      <w:r w:rsidRPr="002E0603">
        <w:rPr>
          <w:rFonts w:ascii="Times" w:hAnsi="Times"/>
          <w:lang w:val="en-US"/>
        </w:rPr>
        <w:t>Phone: 0045 65503678</w:t>
      </w:r>
    </w:p>
    <w:p w14:paraId="6738B285" w14:textId="77777777" w:rsidR="003C3843" w:rsidRDefault="003C3843" w:rsidP="009A2F16">
      <w:pPr>
        <w:spacing w:line="360" w:lineRule="auto"/>
        <w:jc w:val="both"/>
        <w:rPr>
          <w:rFonts w:ascii="Times" w:hAnsi="Times"/>
          <w:lang w:val="en-US"/>
        </w:rPr>
      </w:pPr>
    </w:p>
    <w:p w14:paraId="49D94435" w14:textId="77777777" w:rsidR="0080655D" w:rsidRDefault="0080655D" w:rsidP="009A2F16">
      <w:pPr>
        <w:spacing w:line="360" w:lineRule="auto"/>
        <w:jc w:val="both"/>
        <w:rPr>
          <w:rFonts w:ascii="Times" w:hAnsi="Times"/>
          <w:b/>
          <w:bCs/>
          <w:lang w:val="en-US"/>
        </w:rPr>
      </w:pPr>
    </w:p>
    <w:p w14:paraId="0BE9340E" w14:textId="77777777" w:rsidR="003C3843" w:rsidRDefault="003C3843">
      <w:pPr>
        <w:rPr>
          <w:rFonts w:ascii="Times" w:hAnsi="Times"/>
          <w:b/>
          <w:bCs/>
          <w:lang w:val="en-US"/>
        </w:rPr>
      </w:pPr>
      <w:r>
        <w:rPr>
          <w:rFonts w:ascii="Times" w:hAnsi="Times"/>
          <w:b/>
          <w:bCs/>
          <w:lang w:val="en-US"/>
        </w:rPr>
        <w:br w:type="page"/>
      </w:r>
    </w:p>
    <w:p w14:paraId="4DBB8AA3" w14:textId="77777777" w:rsidR="00A42135" w:rsidRPr="00E92871" w:rsidRDefault="00A42135" w:rsidP="00A42135">
      <w:pPr>
        <w:spacing w:line="360" w:lineRule="auto"/>
        <w:jc w:val="both"/>
        <w:rPr>
          <w:rFonts w:ascii="Times" w:hAnsi="Times"/>
          <w:b/>
          <w:bCs/>
          <w:lang w:val="en-US"/>
        </w:rPr>
      </w:pPr>
      <w:r>
        <w:rPr>
          <w:rFonts w:ascii="Times" w:hAnsi="Times"/>
          <w:b/>
          <w:bCs/>
          <w:lang w:val="en-US"/>
        </w:rPr>
        <w:lastRenderedPageBreak/>
        <w:t>ABSTRACT</w:t>
      </w:r>
    </w:p>
    <w:p w14:paraId="2EC26190" w14:textId="2CC7D0D1" w:rsidR="00A42135" w:rsidRDefault="00577232" w:rsidP="00A42135">
      <w:pPr>
        <w:spacing w:line="360" w:lineRule="auto"/>
        <w:jc w:val="both"/>
        <w:rPr>
          <w:rFonts w:ascii="Times" w:hAnsi="Times"/>
          <w:lang w:val="en-US"/>
        </w:rPr>
      </w:pPr>
      <w:r>
        <w:rPr>
          <w:rFonts w:ascii="Times" w:hAnsi="Times"/>
          <w:lang w:val="en-US"/>
        </w:rPr>
        <w:t xml:space="preserve">Inflammation </w:t>
      </w:r>
      <w:r w:rsidR="007D45E4">
        <w:rPr>
          <w:rFonts w:ascii="Times" w:hAnsi="Times"/>
          <w:lang w:val="en-US"/>
        </w:rPr>
        <w:t>suppresses</w:t>
      </w:r>
      <w:r>
        <w:rPr>
          <w:rFonts w:ascii="Times" w:hAnsi="Times"/>
          <w:lang w:val="en-US"/>
        </w:rPr>
        <w:t xml:space="preserve"> cytochrome P450 (CYP) </w:t>
      </w:r>
      <w:r w:rsidR="008D7B33">
        <w:rPr>
          <w:rFonts w:ascii="Times" w:hAnsi="Times"/>
          <w:lang w:val="en-US"/>
        </w:rPr>
        <w:t xml:space="preserve">enzyme </w:t>
      </w:r>
      <w:r>
        <w:rPr>
          <w:rFonts w:ascii="Times" w:hAnsi="Times"/>
          <w:lang w:val="en-US"/>
        </w:rPr>
        <w:t xml:space="preserve">activity, and </w:t>
      </w:r>
      <w:r w:rsidR="004C0335">
        <w:rPr>
          <w:rFonts w:ascii="Times" w:hAnsi="Times"/>
          <w:lang w:val="en-US"/>
        </w:rPr>
        <w:t xml:space="preserve">single-dose </w:t>
      </w:r>
      <w:r>
        <w:rPr>
          <w:rFonts w:ascii="Times" w:hAnsi="Times"/>
          <w:lang w:val="en-US"/>
        </w:rPr>
        <w:t xml:space="preserve">interleukin 6 receptor antagonists (anti-IL-6R) </w:t>
      </w:r>
      <w:r w:rsidR="00163260">
        <w:rPr>
          <w:rFonts w:ascii="Times" w:hAnsi="Times"/>
          <w:lang w:val="en-US"/>
        </w:rPr>
        <w:t xml:space="preserve">reverse this effect. </w:t>
      </w:r>
      <w:r w:rsidR="00AD51E5">
        <w:rPr>
          <w:rFonts w:ascii="Times" w:hAnsi="Times"/>
          <w:lang w:val="en-US"/>
        </w:rPr>
        <w:t>Here, we</w:t>
      </w:r>
      <w:r w:rsidR="00A42135">
        <w:rPr>
          <w:rFonts w:ascii="Times" w:hAnsi="Times"/>
          <w:lang w:val="en-US"/>
        </w:rPr>
        <w:t xml:space="preserve"> </w:t>
      </w:r>
      <w:r w:rsidR="00AD51E5">
        <w:rPr>
          <w:rFonts w:ascii="Times" w:hAnsi="Times"/>
          <w:lang w:val="en-US"/>
        </w:rPr>
        <w:t>assess</w:t>
      </w:r>
      <w:r w:rsidR="00A42135">
        <w:rPr>
          <w:rFonts w:ascii="Times" w:hAnsi="Times"/>
          <w:lang w:val="en-US"/>
        </w:rPr>
        <w:t xml:space="preserve"> </w:t>
      </w:r>
      <w:r w:rsidR="004C0335">
        <w:rPr>
          <w:rFonts w:ascii="Times" w:hAnsi="Times"/>
          <w:lang w:val="en-US"/>
        </w:rPr>
        <w:t>the impact of</w:t>
      </w:r>
      <w:r w:rsidR="00A42135">
        <w:rPr>
          <w:rFonts w:ascii="Times" w:hAnsi="Times"/>
          <w:lang w:val="en-US"/>
        </w:rPr>
        <w:t xml:space="preserve"> continuous anti-IL-6</w:t>
      </w:r>
      <w:r w:rsidR="00A10CBD">
        <w:rPr>
          <w:rFonts w:ascii="Times" w:hAnsi="Times"/>
          <w:lang w:val="en-US"/>
        </w:rPr>
        <w:t>R</w:t>
      </w:r>
      <w:r w:rsidR="00AD51E5">
        <w:rPr>
          <w:rFonts w:ascii="Times" w:hAnsi="Times"/>
          <w:lang w:val="en-US"/>
        </w:rPr>
        <w:t xml:space="preserve"> </w:t>
      </w:r>
      <w:r w:rsidR="00A42135">
        <w:rPr>
          <w:rFonts w:ascii="Times" w:hAnsi="Times"/>
          <w:lang w:val="en-US"/>
        </w:rPr>
        <w:t>therapy</w:t>
      </w:r>
      <w:r w:rsidR="00D41AB8">
        <w:rPr>
          <w:rFonts w:ascii="Times" w:hAnsi="Times"/>
          <w:lang w:val="en-US"/>
        </w:rPr>
        <w:t xml:space="preserve"> in </w:t>
      </w:r>
      <w:r w:rsidR="005734B4">
        <w:rPr>
          <w:rFonts w:ascii="Times" w:hAnsi="Times"/>
          <w:lang w:val="en-US"/>
        </w:rPr>
        <w:t xml:space="preserve">patients with </w:t>
      </w:r>
      <w:r w:rsidR="00D41AB8">
        <w:rPr>
          <w:rFonts w:ascii="Times" w:hAnsi="Times"/>
          <w:lang w:val="en-US"/>
        </w:rPr>
        <w:t>rheumatoid arthritis</w:t>
      </w:r>
      <w:r w:rsidR="00A42135">
        <w:rPr>
          <w:rFonts w:ascii="Times" w:hAnsi="Times"/>
          <w:lang w:val="en-US"/>
        </w:rPr>
        <w:t xml:space="preserve">. </w:t>
      </w:r>
    </w:p>
    <w:p w14:paraId="72259CB0" w14:textId="58E1C18F" w:rsidR="00A42135" w:rsidRDefault="00490ED4" w:rsidP="00A42135">
      <w:pPr>
        <w:spacing w:line="360" w:lineRule="auto"/>
        <w:jc w:val="both"/>
        <w:rPr>
          <w:rFonts w:ascii="Times" w:hAnsi="Times"/>
          <w:lang w:val="en-US"/>
        </w:rPr>
      </w:pPr>
      <w:r w:rsidRPr="4AFDAE6C">
        <w:rPr>
          <w:rFonts w:ascii="Times" w:hAnsi="Times"/>
          <w:lang w:val="en-US"/>
        </w:rPr>
        <w:t>In</w:t>
      </w:r>
      <w:r w:rsidR="00A42135" w:rsidRPr="4AFDAE6C">
        <w:rPr>
          <w:rFonts w:ascii="Times" w:hAnsi="Times"/>
          <w:lang w:val="en-US"/>
        </w:rPr>
        <w:t xml:space="preserve"> a clinical pharmacokinetic trial</w:t>
      </w:r>
      <w:r w:rsidR="00BE10E2" w:rsidRPr="4AFDAE6C">
        <w:rPr>
          <w:rFonts w:ascii="Times" w:hAnsi="Times"/>
          <w:lang w:val="en-US"/>
        </w:rPr>
        <w:t>, t</w:t>
      </w:r>
      <w:r w:rsidR="00A42135" w:rsidRPr="4AFDAE6C">
        <w:rPr>
          <w:rFonts w:ascii="Times" w:hAnsi="Times"/>
          <w:lang w:val="en-US"/>
        </w:rPr>
        <w:t xml:space="preserve">he Basel cocktail </w:t>
      </w:r>
      <w:r w:rsidR="00D41AB8" w:rsidRPr="4AFDAE6C">
        <w:rPr>
          <w:rFonts w:ascii="Times" w:hAnsi="Times"/>
          <w:lang w:val="en-US"/>
        </w:rPr>
        <w:t xml:space="preserve">was administered </w:t>
      </w:r>
      <w:r w:rsidR="00A42135" w:rsidRPr="4AFDAE6C">
        <w:rPr>
          <w:rFonts w:ascii="Times" w:hAnsi="Times"/>
          <w:lang w:val="en-US"/>
        </w:rPr>
        <w:t>before and after three and 12 weeks of anti-IL-6R therapy to assess CYP enzyme activity</w:t>
      </w:r>
      <w:r w:rsidR="00D6211F">
        <w:rPr>
          <w:rFonts w:ascii="Times" w:hAnsi="Times"/>
          <w:lang w:val="en-US"/>
        </w:rPr>
        <w:t xml:space="preserve"> </w:t>
      </w:r>
      <w:r w:rsidR="00D6211F">
        <w:rPr>
          <w:i/>
          <w:iCs/>
          <w:lang w:val="en-US"/>
        </w:rPr>
        <w:t>(r</w:t>
      </w:r>
      <w:r w:rsidR="00D6211F" w:rsidRPr="00774C6E">
        <w:rPr>
          <w:i/>
          <w:iCs/>
          <w:lang w:val="en-US"/>
        </w:rPr>
        <w:t xml:space="preserve">egistered in the ClinicalTrials.gov database (identifier </w:t>
      </w:r>
      <w:r w:rsidR="00D6211F" w:rsidRPr="00774C6E">
        <w:rPr>
          <w:i/>
          <w:iCs/>
          <w:color w:val="000000"/>
          <w:lang w:val="en-US"/>
        </w:rPr>
        <w:t>NCT04842981</w:t>
      </w:r>
      <w:r w:rsidR="00D6211F" w:rsidRPr="00774C6E">
        <w:rPr>
          <w:i/>
          <w:iCs/>
          <w:lang w:val="en-US"/>
        </w:rPr>
        <w:t>) on April 13</w:t>
      </w:r>
      <w:r w:rsidR="00D6211F" w:rsidRPr="00774C6E">
        <w:rPr>
          <w:i/>
          <w:iCs/>
          <w:vertAlign w:val="superscript"/>
          <w:lang w:val="en-US"/>
        </w:rPr>
        <w:t>th</w:t>
      </w:r>
      <w:r w:rsidR="00D6211F" w:rsidRPr="00774C6E">
        <w:rPr>
          <w:i/>
          <w:iCs/>
          <w:lang w:val="en-US"/>
        </w:rPr>
        <w:t>, 202</w:t>
      </w:r>
      <w:r w:rsidR="00D6211F">
        <w:rPr>
          <w:i/>
          <w:iCs/>
          <w:lang w:val="en-US"/>
        </w:rPr>
        <w:t>1)</w:t>
      </w:r>
      <w:r w:rsidR="00A42135" w:rsidRPr="4AFDAE6C">
        <w:rPr>
          <w:rFonts w:ascii="Times" w:hAnsi="Times"/>
          <w:lang w:val="en-US"/>
        </w:rPr>
        <w:t xml:space="preserve">. </w:t>
      </w:r>
      <w:r w:rsidR="00A51A13">
        <w:rPr>
          <w:rFonts w:ascii="Times" w:hAnsi="Times"/>
          <w:lang w:val="en-US"/>
        </w:rPr>
        <w:t>I</w:t>
      </w:r>
      <w:r w:rsidR="00226843" w:rsidRPr="4AFDAE6C">
        <w:rPr>
          <w:rFonts w:ascii="Times" w:hAnsi="Times"/>
          <w:lang w:val="en-US"/>
        </w:rPr>
        <w:t>n</w:t>
      </w:r>
      <w:r w:rsidR="00A42135" w:rsidRPr="4AFDAE6C">
        <w:rPr>
          <w:rFonts w:ascii="Times" w:hAnsi="Times"/>
          <w:lang w:val="en-US"/>
        </w:rPr>
        <w:t xml:space="preserve"> a retrospective study</w:t>
      </w:r>
      <w:r w:rsidR="00226843" w:rsidRPr="4AFDAE6C">
        <w:rPr>
          <w:rFonts w:ascii="Times" w:hAnsi="Times"/>
          <w:lang w:val="en-US"/>
        </w:rPr>
        <w:t>,</w:t>
      </w:r>
      <w:r w:rsidR="00A42135" w:rsidRPr="4AFDAE6C">
        <w:rPr>
          <w:rFonts w:ascii="Times" w:hAnsi="Times"/>
          <w:lang w:val="en-US"/>
        </w:rPr>
        <w:t xml:space="preserve"> </w:t>
      </w:r>
      <w:r w:rsidR="00A51A13">
        <w:rPr>
          <w:rFonts w:ascii="Times" w:hAnsi="Times"/>
          <w:lang w:val="en-US"/>
        </w:rPr>
        <w:t xml:space="preserve">the </w:t>
      </w:r>
      <w:r w:rsidR="00A42135" w:rsidRPr="4AFDAE6C">
        <w:rPr>
          <w:rFonts w:ascii="Times" w:hAnsi="Times"/>
          <w:lang w:val="en-US"/>
        </w:rPr>
        <w:t>4</w:t>
      </w:r>
      <w:r w:rsidR="00A42135" w:rsidRPr="4AFDAE6C">
        <w:rPr>
          <w:rFonts w:ascii="Symbol" w:eastAsia="Symbol" w:hAnsi="Symbol" w:cs="Symbol"/>
          <w:lang w:val="en-US"/>
        </w:rPr>
        <w:t></w:t>
      </w:r>
      <w:r w:rsidR="00A42135" w:rsidRPr="4AFDAE6C">
        <w:rPr>
          <w:rFonts w:ascii="Times" w:hAnsi="Times"/>
          <w:lang w:val="en-US"/>
        </w:rPr>
        <w:t>-hydroxycholesterol</w:t>
      </w:r>
      <w:r w:rsidR="00201558">
        <w:rPr>
          <w:rFonts w:ascii="Times" w:hAnsi="Times"/>
          <w:lang w:val="en-US"/>
        </w:rPr>
        <w:t>/cholesterol ratio</w:t>
      </w:r>
      <w:r w:rsidR="00A42135" w:rsidRPr="4AFDAE6C">
        <w:rPr>
          <w:rFonts w:ascii="Times" w:hAnsi="Times"/>
          <w:lang w:val="en-US"/>
        </w:rPr>
        <w:t xml:space="preserve"> was measured as a biomarker for CYP3A4 activity before and after three and six months of anti-IL-6R therapy. The control group was patients initiating a tumor necrosis factor alfa (TNF-</w:t>
      </w:r>
      <w:r w:rsidR="00A42135" w:rsidRPr="4AFDAE6C">
        <w:rPr>
          <w:rFonts w:ascii="Symbol" w:eastAsia="Symbol" w:hAnsi="Symbol" w:cs="Symbol"/>
          <w:lang w:val="en-US"/>
        </w:rPr>
        <w:t></w:t>
      </w:r>
      <w:r w:rsidR="00A42135" w:rsidRPr="4AFDAE6C">
        <w:rPr>
          <w:rFonts w:ascii="Times" w:hAnsi="Times"/>
          <w:lang w:val="en-US"/>
        </w:rPr>
        <w:t xml:space="preserve">) inhibitor. </w:t>
      </w:r>
    </w:p>
    <w:p w14:paraId="27F901CD" w14:textId="438A9530" w:rsidR="00A42135" w:rsidRDefault="196B5716" w:rsidP="008352E5">
      <w:pPr>
        <w:spacing w:line="360" w:lineRule="auto"/>
        <w:jc w:val="both"/>
        <w:rPr>
          <w:rFonts w:ascii="Times" w:hAnsi="Times"/>
          <w:lang w:val="en-US"/>
        </w:rPr>
      </w:pPr>
      <w:r w:rsidRPr="7FBC0748">
        <w:rPr>
          <w:rFonts w:ascii="Times" w:hAnsi="Times"/>
          <w:lang w:val="en-US"/>
        </w:rPr>
        <w:t>In t</w:t>
      </w:r>
      <w:r w:rsidR="00A42135" w:rsidRPr="7FBC0748">
        <w:rPr>
          <w:rFonts w:ascii="Times" w:hAnsi="Times"/>
          <w:lang w:val="en-US"/>
        </w:rPr>
        <w:t>he clinical pharmacokinetic trial</w:t>
      </w:r>
      <w:r w:rsidR="3E3E858A" w:rsidRPr="7FBC0748">
        <w:rPr>
          <w:rFonts w:ascii="Times" w:hAnsi="Times"/>
          <w:lang w:val="en-US"/>
        </w:rPr>
        <w:t xml:space="preserve"> (n=3),</w:t>
      </w:r>
      <w:r w:rsidR="00A42135" w:rsidRPr="7FBC0748">
        <w:rPr>
          <w:rFonts w:ascii="Times" w:hAnsi="Times"/>
          <w:lang w:val="en-US"/>
        </w:rPr>
        <w:t xml:space="preserve"> </w:t>
      </w:r>
      <w:r w:rsidR="00E43B0B" w:rsidRPr="7FBC0748">
        <w:rPr>
          <w:rFonts w:ascii="Times" w:hAnsi="Times"/>
          <w:lang w:val="en-US"/>
        </w:rPr>
        <w:t>midazolam metabolic ratio</w:t>
      </w:r>
      <w:r w:rsidR="00A42135" w:rsidRPr="7FBC0748">
        <w:rPr>
          <w:rFonts w:ascii="Times" w:hAnsi="Times"/>
          <w:lang w:val="en-US"/>
        </w:rPr>
        <w:t xml:space="preserve"> </w:t>
      </w:r>
      <w:r w:rsidR="005E78D9" w:rsidRPr="7FBC0748">
        <w:rPr>
          <w:rFonts w:ascii="Times" w:hAnsi="Times"/>
          <w:lang w:val="en-US"/>
        </w:rPr>
        <w:t xml:space="preserve">(CYP3A4) </w:t>
      </w:r>
      <w:r w:rsidR="121F50B3" w:rsidRPr="7FBC0748">
        <w:rPr>
          <w:rFonts w:ascii="Times" w:hAnsi="Times"/>
          <w:lang w:val="en-US"/>
        </w:rPr>
        <w:t xml:space="preserve">was inconclusive due to the limited sample size. </w:t>
      </w:r>
      <w:r w:rsidR="000D139F" w:rsidRPr="7FBC0748">
        <w:rPr>
          <w:rFonts w:ascii="Times" w:hAnsi="Times"/>
          <w:lang w:val="en-US"/>
        </w:rPr>
        <w:t xml:space="preserve">Midazolam AUC </w:t>
      </w:r>
      <w:r w:rsidR="00165860" w:rsidRPr="7FBC0748">
        <w:rPr>
          <w:rFonts w:ascii="Times" w:hAnsi="Times"/>
          <w:lang w:val="en-US"/>
        </w:rPr>
        <w:t>and C</w:t>
      </w:r>
      <w:r w:rsidR="00165860" w:rsidRPr="7FBC0748">
        <w:rPr>
          <w:rFonts w:ascii="Times" w:hAnsi="Times"/>
          <w:vertAlign w:val="subscript"/>
          <w:lang w:val="en-US"/>
        </w:rPr>
        <w:t>max</w:t>
      </w:r>
      <w:r w:rsidR="00165860" w:rsidRPr="7FBC0748">
        <w:rPr>
          <w:rFonts w:ascii="Times" w:hAnsi="Times"/>
          <w:lang w:val="en-US"/>
        </w:rPr>
        <w:t xml:space="preserve"> indicate a</w:t>
      </w:r>
      <w:r w:rsidR="00EC33B3" w:rsidRPr="7FBC0748">
        <w:rPr>
          <w:rFonts w:ascii="Times" w:hAnsi="Times"/>
          <w:lang w:val="en-US"/>
        </w:rPr>
        <w:t xml:space="preserve"> </w:t>
      </w:r>
      <w:r w:rsidR="01963B5E" w:rsidRPr="7FBC0748">
        <w:rPr>
          <w:rFonts w:ascii="Times" w:hAnsi="Times"/>
          <w:lang w:val="en-US"/>
        </w:rPr>
        <w:t xml:space="preserve">weak </w:t>
      </w:r>
      <w:r w:rsidR="002F7BD9">
        <w:rPr>
          <w:rFonts w:ascii="Times" w:hAnsi="Times"/>
          <w:lang w:val="en-US"/>
        </w:rPr>
        <w:t>impact</w:t>
      </w:r>
      <w:r w:rsidR="185F68BD" w:rsidRPr="7FBC0748">
        <w:rPr>
          <w:rFonts w:ascii="Times" w:hAnsi="Times"/>
          <w:lang w:val="en-US"/>
        </w:rPr>
        <w:t xml:space="preserve"> </w:t>
      </w:r>
      <w:r w:rsidR="00D2798A">
        <w:rPr>
          <w:rFonts w:ascii="Times" w:hAnsi="Times"/>
          <w:lang w:val="en-US"/>
        </w:rPr>
        <w:t>o</w:t>
      </w:r>
      <w:r w:rsidR="185F68BD" w:rsidRPr="7FBC0748">
        <w:rPr>
          <w:rFonts w:ascii="Times" w:hAnsi="Times"/>
          <w:lang w:val="en-US"/>
        </w:rPr>
        <w:t>n</w:t>
      </w:r>
      <w:r w:rsidR="00165860" w:rsidRPr="7FBC0748">
        <w:rPr>
          <w:rFonts w:ascii="Times" w:hAnsi="Times"/>
          <w:lang w:val="en-US"/>
        </w:rPr>
        <w:t xml:space="preserve"> CYP3A4 activity after three weeks of anti-IL-6R therapy compared to baseline</w:t>
      </w:r>
      <w:r w:rsidR="000D139F" w:rsidRPr="7FBC0748">
        <w:rPr>
          <w:rFonts w:ascii="Times" w:hAnsi="Times"/>
          <w:lang w:val="en-US"/>
        </w:rPr>
        <w:t xml:space="preserve"> </w:t>
      </w:r>
      <w:r w:rsidR="00165860" w:rsidRPr="7FBC0748">
        <w:rPr>
          <w:rFonts w:ascii="Times" w:hAnsi="Times"/>
          <w:lang w:val="en-US"/>
        </w:rPr>
        <w:t xml:space="preserve">(AUC </w:t>
      </w:r>
      <w:r w:rsidR="000D139F" w:rsidRPr="7FBC0748">
        <w:rPr>
          <w:rFonts w:ascii="Times" w:hAnsi="Times"/>
          <w:lang w:val="en-US"/>
        </w:rPr>
        <w:t>geometric mean ratio (GMR)</w:t>
      </w:r>
      <w:r w:rsidR="00165860" w:rsidRPr="7FBC0748">
        <w:rPr>
          <w:rFonts w:ascii="Times" w:hAnsi="Times"/>
          <w:lang w:val="en-US"/>
        </w:rPr>
        <w:t>: 0.80, 95% CI:</w:t>
      </w:r>
      <w:r w:rsidR="00E20445" w:rsidRPr="7FBC0748">
        <w:rPr>
          <w:rFonts w:ascii="Times" w:hAnsi="Times"/>
          <w:lang w:val="en-US"/>
        </w:rPr>
        <w:t xml:space="preserve"> </w:t>
      </w:r>
      <w:r w:rsidR="00165860" w:rsidRPr="7FBC0748">
        <w:rPr>
          <w:rFonts w:ascii="Times" w:hAnsi="Times"/>
          <w:lang w:val="en-US"/>
        </w:rPr>
        <w:t>0.64-0.99</w:t>
      </w:r>
      <w:r w:rsidR="00273356" w:rsidRPr="7FBC0748">
        <w:rPr>
          <w:rFonts w:ascii="Times" w:hAnsi="Times"/>
          <w:lang w:val="en-US"/>
        </w:rPr>
        <w:t xml:space="preserve"> and C</w:t>
      </w:r>
      <w:r w:rsidR="00273356" w:rsidRPr="7FBC0748">
        <w:rPr>
          <w:rFonts w:ascii="Times" w:hAnsi="Times"/>
          <w:vertAlign w:val="subscript"/>
          <w:lang w:val="en-US"/>
        </w:rPr>
        <w:t>max</w:t>
      </w:r>
      <w:r w:rsidR="00273356" w:rsidRPr="7FBC0748">
        <w:rPr>
          <w:rFonts w:ascii="Times" w:hAnsi="Times"/>
          <w:lang w:val="en-US"/>
        </w:rPr>
        <w:t xml:space="preserve"> GMR: 0.58, 95% CI: 0.37-0.91)</w:t>
      </w:r>
      <w:r w:rsidR="00B1351F" w:rsidRPr="7FBC0748">
        <w:rPr>
          <w:rFonts w:ascii="Times" w:hAnsi="Times"/>
          <w:lang w:val="en-US"/>
        </w:rPr>
        <w:t xml:space="preserve">, which returns to </w:t>
      </w:r>
      <w:r w:rsidR="00B91126" w:rsidRPr="7FBC0748">
        <w:rPr>
          <w:rFonts w:ascii="Times" w:hAnsi="Times"/>
          <w:lang w:val="en-US"/>
        </w:rPr>
        <w:t>baseline levels</w:t>
      </w:r>
      <w:r w:rsidR="00B1351F" w:rsidRPr="7FBC0748">
        <w:rPr>
          <w:rFonts w:ascii="Times" w:hAnsi="Times"/>
          <w:lang w:val="en-US"/>
        </w:rPr>
        <w:t xml:space="preserve"> after 12 weeks of therapy</w:t>
      </w:r>
      <w:r w:rsidR="00730B4F" w:rsidRPr="7FBC0748">
        <w:rPr>
          <w:rFonts w:ascii="Times" w:hAnsi="Times"/>
          <w:lang w:val="en-US"/>
        </w:rPr>
        <w:t xml:space="preserve"> (</w:t>
      </w:r>
      <w:r w:rsidR="006E09D3" w:rsidRPr="7FBC0748">
        <w:rPr>
          <w:rFonts w:ascii="Times" w:hAnsi="Times"/>
          <w:lang w:val="en-US"/>
        </w:rPr>
        <w:t>AUC GMR 1.02, 95% CI</w:t>
      </w:r>
      <w:r w:rsidR="00E20445" w:rsidRPr="7FBC0748">
        <w:rPr>
          <w:rFonts w:ascii="Times" w:hAnsi="Times"/>
          <w:lang w:val="en-US"/>
        </w:rPr>
        <w:t xml:space="preserve">: </w:t>
      </w:r>
      <w:r w:rsidR="00B77EFC" w:rsidRPr="7FBC0748">
        <w:rPr>
          <w:rFonts w:ascii="Times" w:hAnsi="Times"/>
          <w:lang w:val="en-US"/>
        </w:rPr>
        <w:t>0.72-1.46 and C</w:t>
      </w:r>
      <w:r w:rsidR="00B77EFC" w:rsidRPr="7FBC0748">
        <w:rPr>
          <w:rFonts w:ascii="Times" w:hAnsi="Times"/>
          <w:vertAlign w:val="subscript"/>
          <w:lang w:val="en-US"/>
        </w:rPr>
        <w:t>max</w:t>
      </w:r>
      <w:r w:rsidR="00B77EFC" w:rsidRPr="7FBC0748">
        <w:rPr>
          <w:rFonts w:ascii="Times" w:hAnsi="Times"/>
          <w:lang w:val="en-US"/>
        </w:rPr>
        <w:t xml:space="preserve"> GMR 1.03, 95% CI </w:t>
      </w:r>
      <w:r w:rsidR="007D45E4" w:rsidRPr="7FBC0748">
        <w:rPr>
          <w:rFonts w:ascii="Times" w:hAnsi="Times"/>
          <w:lang w:val="en-US"/>
        </w:rPr>
        <w:t>0.72-1.47)</w:t>
      </w:r>
      <w:r w:rsidR="00E27B42" w:rsidRPr="7FBC0748">
        <w:rPr>
          <w:rFonts w:ascii="Times" w:hAnsi="Times"/>
          <w:lang w:val="en-US"/>
        </w:rPr>
        <w:t xml:space="preserve">. No effect on </w:t>
      </w:r>
      <w:r w:rsidR="00193D32" w:rsidRPr="7FBC0748">
        <w:rPr>
          <w:rFonts w:ascii="Times" w:hAnsi="Times"/>
          <w:lang w:val="en-US"/>
        </w:rPr>
        <w:t xml:space="preserve">the </w:t>
      </w:r>
      <w:r w:rsidR="00E27B42" w:rsidRPr="7FBC0748">
        <w:rPr>
          <w:rFonts w:ascii="Times" w:hAnsi="Times"/>
          <w:lang w:val="en-US"/>
        </w:rPr>
        <w:t>4</w:t>
      </w:r>
      <w:r w:rsidR="00E27B42" w:rsidRPr="7FBC0748">
        <w:rPr>
          <w:rFonts w:ascii="Symbol" w:eastAsia="Symbol" w:hAnsi="Symbol" w:cs="Symbol"/>
          <w:lang w:val="en-US"/>
        </w:rPr>
        <w:t></w:t>
      </w:r>
      <w:r w:rsidR="00B66114" w:rsidRPr="7FBC0748">
        <w:rPr>
          <w:rFonts w:eastAsia="Symbol"/>
          <w:lang w:val="en-US"/>
        </w:rPr>
        <w:t>-h</w:t>
      </w:r>
      <w:r w:rsidR="009D01FD" w:rsidRPr="7FBC0748">
        <w:rPr>
          <w:rFonts w:eastAsia="Symbol"/>
          <w:lang w:val="en-US"/>
        </w:rPr>
        <w:t>ydroxycholesterol/cholesterol ratio was observed in the retrospect</w:t>
      </w:r>
      <w:r w:rsidR="008352E5" w:rsidRPr="7FBC0748">
        <w:rPr>
          <w:rFonts w:eastAsia="Symbol"/>
          <w:lang w:val="en-US"/>
        </w:rPr>
        <w:t>ive study.</w:t>
      </w:r>
      <w:r w:rsidR="00A42135" w:rsidRPr="7FBC0748">
        <w:rPr>
          <w:rFonts w:ascii="Times" w:hAnsi="Times"/>
          <w:lang w:val="en-US"/>
        </w:rPr>
        <w:t xml:space="preserve"> </w:t>
      </w:r>
    </w:p>
    <w:p w14:paraId="16C6E4AD" w14:textId="5A808BC9" w:rsidR="00A42135" w:rsidRDefault="000C0D36" w:rsidP="00A42135">
      <w:pPr>
        <w:spacing w:line="360" w:lineRule="auto"/>
        <w:jc w:val="both"/>
        <w:rPr>
          <w:rFonts w:ascii="Times" w:hAnsi="Times"/>
          <w:lang w:val="en-US"/>
        </w:rPr>
      </w:pPr>
      <w:r>
        <w:rPr>
          <w:rFonts w:ascii="Times" w:hAnsi="Times"/>
          <w:lang w:val="en-US"/>
        </w:rPr>
        <w:t xml:space="preserve">Based on sparse data from three patients, </w:t>
      </w:r>
      <w:r w:rsidR="005C3DDB">
        <w:rPr>
          <w:rFonts w:ascii="Times" w:hAnsi="Times"/>
          <w:lang w:val="en-US"/>
        </w:rPr>
        <w:t xml:space="preserve">continuous </w:t>
      </w:r>
      <w:r>
        <w:rPr>
          <w:rFonts w:ascii="Times" w:hAnsi="Times"/>
          <w:lang w:val="en-US"/>
        </w:rPr>
        <w:t>a</w:t>
      </w:r>
      <w:r w:rsidRPr="4AFDAE6C">
        <w:rPr>
          <w:rFonts w:ascii="Times" w:hAnsi="Times"/>
          <w:lang w:val="en-US"/>
        </w:rPr>
        <w:t>nti</w:t>
      </w:r>
      <w:r w:rsidR="00A42135" w:rsidRPr="4AFDAE6C">
        <w:rPr>
          <w:rFonts w:ascii="Times" w:hAnsi="Times"/>
          <w:lang w:val="en-US"/>
        </w:rPr>
        <w:t xml:space="preserve">-IL-6R therapy </w:t>
      </w:r>
      <w:r w:rsidR="007A16AF" w:rsidRPr="4AFDAE6C">
        <w:rPr>
          <w:rFonts w:ascii="Times" w:hAnsi="Times"/>
          <w:lang w:val="en-US"/>
        </w:rPr>
        <w:t xml:space="preserve">seems to </w:t>
      </w:r>
      <w:r w:rsidR="00A42135" w:rsidRPr="4AFDAE6C">
        <w:rPr>
          <w:rFonts w:ascii="Times" w:hAnsi="Times"/>
          <w:lang w:val="en-US"/>
        </w:rPr>
        <w:t>cause an acute but transient increase in CYP3A4 activity</w:t>
      </w:r>
      <w:r w:rsidR="00B01B7F" w:rsidRPr="4AFDAE6C">
        <w:rPr>
          <w:rFonts w:ascii="Times" w:hAnsi="Times"/>
          <w:lang w:val="en-US"/>
        </w:rPr>
        <w:t xml:space="preserve"> in</w:t>
      </w:r>
      <w:r w:rsidR="00A42135" w:rsidRPr="4AFDAE6C">
        <w:rPr>
          <w:rFonts w:ascii="Times" w:hAnsi="Times"/>
          <w:lang w:val="en-US"/>
        </w:rPr>
        <w:t xml:space="preserve"> rheumatoid arthritis</w:t>
      </w:r>
      <w:r w:rsidR="00B01B7F" w:rsidRPr="4AFDAE6C">
        <w:rPr>
          <w:rFonts w:ascii="Times" w:hAnsi="Times"/>
          <w:lang w:val="en-US"/>
        </w:rPr>
        <w:t xml:space="preserve"> patients</w:t>
      </w:r>
      <w:r w:rsidR="00F44A95">
        <w:rPr>
          <w:rFonts w:ascii="Times" w:hAnsi="Times"/>
          <w:lang w:val="en-US"/>
        </w:rPr>
        <w:t xml:space="preserve">, which </w:t>
      </w:r>
      <w:r w:rsidR="001D6EE2">
        <w:rPr>
          <w:rFonts w:ascii="Times" w:hAnsi="Times"/>
          <w:lang w:val="en-US"/>
        </w:rPr>
        <w:t>may</w:t>
      </w:r>
      <w:r w:rsidR="00F44A95">
        <w:rPr>
          <w:rFonts w:ascii="Times" w:hAnsi="Times"/>
          <w:lang w:val="en-US"/>
        </w:rPr>
        <w:t xml:space="preserve"> be due to a normalization of </w:t>
      </w:r>
      <w:r w:rsidR="001D6EE2">
        <w:rPr>
          <w:rFonts w:ascii="Times" w:hAnsi="Times"/>
          <w:lang w:val="en-US"/>
        </w:rPr>
        <w:t>the inflammation-suppressed CYP activity</w:t>
      </w:r>
      <w:r w:rsidR="00A42135" w:rsidRPr="4AFDAE6C">
        <w:rPr>
          <w:rFonts w:ascii="Times" w:hAnsi="Times"/>
          <w:lang w:val="en-US"/>
        </w:rPr>
        <w:t xml:space="preserve">. Further studies are warranted to understand </w:t>
      </w:r>
      <w:r w:rsidR="0074157F">
        <w:rPr>
          <w:rFonts w:ascii="Times" w:hAnsi="Times"/>
          <w:lang w:val="en-US"/>
        </w:rPr>
        <w:t>the</w:t>
      </w:r>
      <w:r w:rsidR="0074157F" w:rsidRPr="4AFDAE6C">
        <w:rPr>
          <w:rFonts w:ascii="Times" w:hAnsi="Times"/>
          <w:lang w:val="en-US"/>
        </w:rPr>
        <w:t xml:space="preserve"> </w:t>
      </w:r>
      <w:r w:rsidR="00A42135" w:rsidRPr="4AFDAE6C">
        <w:rPr>
          <w:rFonts w:ascii="Times" w:hAnsi="Times"/>
          <w:lang w:val="en-US"/>
        </w:rPr>
        <w:t>mechanism</w:t>
      </w:r>
      <w:r w:rsidR="0074157F">
        <w:rPr>
          <w:rFonts w:ascii="Times" w:hAnsi="Times"/>
          <w:lang w:val="en-US"/>
        </w:rPr>
        <w:t xml:space="preserve"> behind this </w:t>
      </w:r>
      <w:r w:rsidR="00146C8A">
        <w:rPr>
          <w:rFonts w:ascii="Times" w:hAnsi="Times"/>
          <w:lang w:val="en-US"/>
        </w:rPr>
        <w:t xml:space="preserve">putative </w:t>
      </w:r>
      <w:r w:rsidR="0074157F">
        <w:rPr>
          <w:rFonts w:ascii="Times" w:hAnsi="Times"/>
          <w:lang w:val="en-US"/>
        </w:rPr>
        <w:t>transient effect</w:t>
      </w:r>
      <w:r w:rsidR="00A42135" w:rsidRPr="4AFDAE6C">
        <w:rPr>
          <w:rFonts w:ascii="Times" w:hAnsi="Times"/>
          <w:lang w:val="en-US"/>
        </w:rPr>
        <w:t xml:space="preserve">. </w:t>
      </w:r>
    </w:p>
    <w:p w14:paraId="17DB68D5" w14:textId="77777777" w:rsidR="008D7B33" w:rsidRDefault="008D7B33" w:rsidP="009A2F16">
      <w:pPr>
        <w:spacing w:line="360" w:lineRule="auto"/>
        <w:jc w:val="both"/>
        <w:rPr>
          <w:i/>
          <w:iCs/>
          <w:lang w:val="en-US"/>
        </w:rPr>
      </w:pPr>
    </w:p>
    <w:p w14:paraId="207A5380" w14:textId="0E2AB7D7" w:rsidR="005545D2" w:rsidRPr="00774C6E" w:rsidRDefault="00CF34A7" w:rsidP="009A2F16">
      <w:pPr>
        <w:spacing w:line="360" w:lineRule="auto"/>
        <w:jc w:val="both"/>
        <w:rPr>
          <w:rFonts w:ascii="Times" w:hAnsi="Times"/>
          <w:b/>
          <w:bCs/>
          <w:i/>
          <w:iCs/>
          <w:lang w:val="en-US"/>
        </w:rPr>
      </w:pPr>
      <w:r w:rsidRPr="00774C6E">
        <w:rPr>
          <w:i/>
          <w:iCs/>
          <w:lang w:val="en-US"/>
        </w:rPr>
        <w:t xml:space="preserve">Registered in the </w:t>
      </w:r>
      <w:r w:rsidR="009E036B" w:rsidRPr="00774C6E">
        <w:rPr>
          <w:i/>
          <w:iCs/>
          <w:lang w:val="en-US"/>
        </w:rPr>
        <w:t xml:space="preserve">ClinicalTrials.gov database (identifier </w:t>
      </w:r>
      <w:r w:rsidR="009E036B" w:rsidRPr="00774C6E">
        <w:rPr>
          <w:i/>
          <w:iCs/>
          <w:color w:val="000000"/>
          <w:lang w:val="en-US"/>
        </w:rPr>
        <w:t>NCT04842981</w:t>
      </w:r>
      <w:r w:rsidR="009E036B" w:rsidRPr="00774C6E">
        <w:rPr>
          <w:i/>
          <w:iCs/>
          <w:lang w:val="en-US"/>
        </w:rPr>
        <w:t>)</w:t>
      </w:r>
      <w:r w:rsidRPr="00774C6E">
        <w:rPr>
          <w:i/>
          <w:iCs/>
          <w:lang w:val="en-US"/>
        </w:rPr>
        <w:t xml:space="preserve"> on April </w:t>
      </w:r>
      <w:r w:rsidR="00774C6E" w:rsidRPr="00774C6E">
        <w:rPr>
          <w:i/>
          <w:iCs/>
          <w:lang w:val="en-US"/>
        </w:rPr>
        <w:t>13</w:t>
      </w:r>
      <w:r w:rsidR="00774C6E" w:rsidRPr="00774C6E">
        <w:rPr>
          <w:i/>
          <w:iCs/>
          <w:vertAlign w:val="superscript"/>
          <w:lang w:val="en-US"/>
        </w:rPr>
        <w:t>th</w:t>
      </w:r>
      <w:r w:rsidR="00774C6E" w:rsidRPr="00774C6E">
        <w:rPr>
          <w:i/>
          <w:iCs/>
          <w:lang w:val="en-US"/>
        </w:rPr>
        <w:t>, 2021</w:t>
      </w:r>
      <w:r w:rsidR="009E036B" w:rsidRPr="00774C6E">
        <w:rPr>
          <w:i/>
          <w:iCs/>
          <w:lang w:val="en-US"/>
        </w:rPr>
        <w:t>.</w:t>
      </w:r>
    </w:p>
    <w:p w14:paraId="6B91B525" w14:textId="77777777" w:rsidR="00A10CBD" w:rsidRDefault="00A10CBD" w:rsidP="009A2F16">
      <w:pPr>
        <w:spacing w:line="360" w:lineRule="auto"/>
        <w:jc w:val="both"/>
        <w:rPr>
          <w:rFonts w:ascii="Times" w:hAnsi="Times"/>
          <w:lang w:val="en-US"/>
        </w:rPr>
      </w:pPr>
      <w:r>
        <w:rPr>
          <w:rFonts w:ascii="Times" w:hAnsi="Times"/>
          <w:lang w:val="en-US"/>
        </w:rPr>
        <w:br/>
      </w:r>
    </w:p>
    <w:p w14:paraId="2F8A252D" w14:textId="3C40E68A" w:rsidR="00857D39" w:rsidRDefault="00857D39" w:rsidP="000D2CF6">
      <w:pPr>
        <w:rPr>
          <w:rFonts w:ascii="Times" w:hAnsi="Times"/>
          <w:lang w:val="en-US"/>
        </w:rPr>
      </w:pPr>
    </w:p>
    <w:p w14:paraId="15D9C343" w14:textId="2A0C7FB7" w:rsidR="00C410D2" w:rsidRPr="00781F66" w:rsidRDefault="00857D39" w:rsidP="00781F66">
      <w:pPr>
        <w:spacing w:line="360" w:lineRule="auto"/>
        <w:jc w:val="both"/>
        <w:rPr>
          <w:rFonts w:ascii="Times" w:hAnsi="Times"/>
          <w:b/>
          <w:bCs/>
          <w:lang w:val="en-US"/>
        </w:rPr>
      </w:pPr>
      <w:r w:rsidRPr="00857D39">
        <w:rPr>
          <w:rFonts w:ascii="Times" w:hAnsi="Times"/>
          <w:b/>
          <w:bCs/>
          <w:lang w:val="en-US"/>
        </w:rPr>
        <w:t>Keywords</w:t>
      </w:r>
      <w:r>
        <w:rPr>
          <w:rFonts w:ascii="Times" w:hAnsi="Times"/>
          <w:lang w:val="en-US"/>
        </w:rPr>
        <w:t xml:space="preserve">: Rheumatoid arthritis, drug-disease-drug interactions, </w:t>
      </w:r>
      <w:r w:rsidR="000B4E21">
        <w:rPr>
          <w:rFonts w:ascii="Times" w:hAnsi="Times"/>
          <w:lang w:val="en-US"/>
        </w:rPr>
        <w:t xml:space="preserve">IL-6 receptor </w:t>
      </w:r>
      <w:r w:rsidR="005615AC">
        <w:rPr>
          <w:rFonts w:ascii="Times" w:hAnsi="Times"/>
          <w:lang w:val="en-US"/>
        </w:rPr>
        <w:t>antagonist</w:t>
      </w:r>
      <w:r w:rsidR="000B4E21">
        <w:rPr>
          <w:rFonts w:ascii="Times" w:hAnsi="Times"/>
          <w:lang w:val="en-US"/>
        </w:rPr>
        <w:t xml:space="preserve">, </w:t>
      </w:r>
      <w:r>
        <w:rPr>
          <w:rFonts w:ascii="Times" w:hAnsi="Times"/>
          <w:lang w:val="en-US"/>
        </w:rPr>
        <w:t xml:space="preserve"> </w:t>
      </w:r>
      <w:r w:rsidR="0095580F">
        <w:rPr>
          <w:rFonts w:ascii="Times" w:hAnsi="Times"/>
          <w:lang w:val="en-US"/>
        </w:rPr>
        <w:t>inflammation</w:t>
      </w:r>
      <w:r w:rsidR="00C37A35" w:rsidRPr="00C37A35">
        <w:rPr>
          <w:rFonts w:ascii="Times" w:hAnsi="Times"/>
          <w:b/>
          <w:bCs/>
          <w:lang w:val="en-US"/>
        </w:rPr>
        <w:t xml:space="preserve"> </w:t>
      </w:r>
      <w:r w:rsidR="00C410D2" w:rsidRPr="00781F66">
        <w:rPr>
          <w:rFonts w:ascii="Times" w:hAnsi="Times"/>
          <w:lang w:val="en-US"/>
        </w:rPr>
        <w:br w:type="page"/>
      </w:r>
    </w:p>
    <w:p w14:paraId="3CBF8B50" w14:textId="7D148E98" w:rsidR="006C405E" w:rsidRPr="00781F66" w:rsidRDefault="006C461C" w:rsidP="00781F66">
      <w:pPr>
        <w:spacing w:line="360" w:lineRule="auto"/>
        <w:jc w:val="both"/>
        <w:rPr>
          <w:rFonts w:ascii="Times" w:hAnsi="Times"/>
          <w:b/>
          <w:bCs/>
          <w:lang w:val="en-US"/>
        </w:rPr>
      </w:pPr>
      <w:r w:rsidRPr="00781F66">
        <w:rPr>
          <w:rFonts w:ascii="Times" w:hAnsi="Times"/>
          <w:b/>
          <w:bCs/>
          <w:lang w:val="en-US"/>
        </w:rPr>
        <w:lastRenderedPageBreak/>
        <w:t>INTRODUCTION</w:t>
      </w:r>
    </w:p>
    <w:p w14:paraId="2F44B491" w14:textId="18BD6C59" w:rsidR="00577722" w:rsidRDefault="006C405E" w:rsidP="009A2F16">
      <w:pPr>
        <w:spacing w:line="360" w:lineRule="auto"/>
        <w:jc w:val="both"/>
        <w:rPr>
          <w:rFonts w:ascii="Times" w:hAnsi="Times"/>
          <w:lang w:val="en-US"/>
        </w:rPr>
      </w:pPr>
      <w:r w:rsidRPr="007976AC">
        <w:rPr>
          <w:rFonts w:ascii="Times" w:hAnsi="Times"/>
          <w:lang w:val="en-US"/>
        </w:rPr>
        <w:t>Rheumatoid arthritis</w:t>
      </w:r>
      <w:r w:rsidR="000E5F82" w:rsidRPr="007976AC">
        <w:rPr>
          <w:rFonts w:ascii="Times" w:hAnsi="Times"/>
          <w:lang w:val="en-US"/>
        </w:rPr>
        <w:t xml:space="preserve"> </w:t>
      </w:r>
      <w:r w:rsidR="00723083" w:rsidRPr="007976AC">
        <w:rPr>
          <w:rFonts w:ascii="Times" w:hAnsi="Times"/>
          <w:lang w:val="en-US"/>
        </w:rPr>
        <w:t xml:space="preserve">is a chronic </w:t>
      </w:r>
      <w:r w:rsidR="00BE4EF5" w:rsidRPr="007976AC">
        <w:rPr>
          <w:rFonts w:ascii="Times" w:hAnsi="Times"/>
          <w:lang w:val="en-US"/>
        </w:rPr>
        <w:t xml:space="preserve">autoimmune </w:t>
      </w:r>
      <w:r w:rsidR="00723083" w:rsidRPr="007976AC">
        <w:rPr>
          <w:rFonts w:ascii="Times" w:hAnsi="Times"/>
          <w:lang w:val="en-US"/>
        </w:rPr>
        <w:t>disease characterized by</w:t>
      </w:r>
      <w:r w:rsidR="00A75EA9" w:rsidRPr="007976AC">
        <w:rPr>
          <w:rFonts w:ascii="Times" w:hAnsi="Times"/>
          <w:lang w:val="en-US"/>
        </w:rPr>
        <w:t xml:space="preserve"> systemic and local joint</w:t>
      </w:r>
      <w:r w:rsidR="00723083" w:rsidRPr="007976AC">
        <w:rPr>
          <w:rFonts w:ascii="Times" w:hAnsi="Times"/>
          <w:lang w:val="en-US"/>
        </w:rPr>
        <w:t xml:space="preserve"> inflammation</w:t>
      </w:r>
      <w:r w:rsidR="00A470C4">
        <w:rPr>
          <w:rFonts w:ascii="Times" w:hAnsi="Times"/>
          <w:lang w:val="en-US"/>
        </w:rPr>
        <w:t>. The</w:t>
      </w:r>
      <w:r w:rsidR="00A75EA9" w:rsidRPr="007976AC">
        <w:rPr>
          <w:rFonts w:ascii="Times" w:hAnsi="Times"/>
          <w:lang w:val="en-US"/>
        </w:rPr>
        <w:t xml:space="preserve"> adaptive and innate immune </w:t>
      </w:r>
      <w:r w:rsidR="00A470C4">
        <w:rPr>
          <w:rFonts w:ascii="Times" w:hAnsi="Times"/>
          <w:lang w:val="en-US"/>
        </w:rPr>
        <w:t>systems</w:t>
      </w:r>
      <w:r w:rsidR="00A75EA9" w:rsidRPr="007976AC">
        <w:rPr>
          <w:rFonts w:ascii="Times" w:hAnsi="Times"/>
          <w:lang w:val="en-US"/>
        </w:rPr>
        <w:t xml:space="preserve"> are activated and involved</w:t>
      </w:r>
      <w:r w:rsidR="005B2BE6">
        <w:rPr>
          <w:rFonts w:ascii="Times" w:hAnsi="Times"/>
          <w:lang w:val="en-US"/>
        </w:rPr>
        <w:t xml:space="preserve"> </w:t>
      </w:r>
      <w:r w:rsidR="00BE3837">
        <w:rPr>
          <w:rFonts w:ascii="Times" w:hAnsi="Times"/>
          <w:lang w:val="en-US"/>
        </w:rPr>
        <w:t>in the inflammatory response</w:t>
      </w:r>
      <w:r w:rsidR="005B2BE6">
        <w:rPr>
          <w:rFonts w:ascii="Times" w:hAnsi="Times"/>
          <w:lang w:val="en-US"/>
        </w:rPr>
        <w:t>, and</w:t>
      </w:r>
      <w:r w:rsidR="00A75EA9" w:rsidRPr="007976AC">
        <w:rPr>
          <w:rFonts w:ascii="Times" w:hAnsi="Times"/>
          <w:lang w:val="en-US"/>
        </w:rPr>
        <w:t xml:space="preserve"> </w:t>
      </w:r>
      <w:r w:rsidR="00C834BD">
        <w:rPr>
          <w:rFonts w:ascii="Times" w:hAnsi="Times"/>
          <w:lang w:val="en-US"/>
        </w:rPr>
        <w:t>interleukin (</w:t>
      </w:r>
      <w:r w:rsidR="00A75EA9" w:rsidRPr="007976AC">
        <w:rPr>
          <w:rFonts w:ascii="Times" w:hAnsi="Times"/>
          <w:lang w:val="en-US"/>
        </w:rPr>
        <w:t>IL</w:t>
      </w:r>
      <w:r w:rsidR="00C834BD">
        <w:rPr>
          <w:rFonts w:ascii="Times" w:hAnsi="Times"/>
          <w:lang w:val="en-US"/>
        </w:rPr>
        <w:t>)</w:t>
      </w:r>
      <w:r w:rsidR="00A235AF">
        <w:rPr>
          <w:rFonts w:ascii="Times" w:hAnsi="Times"/>
          <w:lang w:val="en-US"/>
        </w:rPr>
        <w:t xml:space="preserve"> </w:t>
      </w:r>
      <w:r w:rsidR="00A75EA9" w:rsidRPr="007976AC">
        <w:rPr>
          <w:rFonts w:ascii="Times" w:hAnsi="Times"/>
          <w:lang w:val="en-US"/>
        </w:rPr>
        <w:t xml:space="preserve">6 plays a crucial role in the pathogenesis of </w:t>
      </w:r>
      <w:r w:rsidR="00CF35E1">
        <w:rPr>
          <w:rFonts w:ascii="Times" w:hAnsi="Times"/>
          <w:lang w:val="en-US"/>
        </w:rPr>
        <w:t>rheumatoid arthritis</w:t>
      </w:r>
      <w:r w:rsidR="005B2BE6">
        <w:rPr>
          <w:rFonts w:ascii="Times" w:hAnsi="Times"/>
          <w:lang w:val="en-US"/>
        </w:rPr>
        <w:t xml:space="preserve"> </w:t>
      </w:r>
      <w:r w:rsidR="00FC2A45">
        <w:rPr>
          <w:rFonts w:ascii="Times" w:hAnsi="Times"/>
          <w:lang w:val="en-US"/>
        </w:rPr>
        <w:fldChar w:fldCharType="begin"/>
      </w:r>
      <w:r w:rsidR="00F0103B">
        <w:rPr>
          <w:rFonts w:ascii="Times" w:hAnsi="Times"/>
          <w:lang w:val="en-US"/>
        </w:rPr>
        <w:instrText xml:space="preserve"> ADDIN ZOTERO_ITEM CSL_CITATION {"citationID":"6g54Oaqp","properties":{"formattedCitation":"(1)","plainCitation":"(1)","noteIndex":0},"citationItems":[{"id":728,"uris":["http://zotero.org/users/4954704/items/TCY589WL"],"itemData":{"id":728,"type":"article-journal","container-title":"Am J Manag Care","issue":"7 Suppl","language":"en","page":"S128-35","source":"Zotero","title":"Epidemiology, Pathophysiology, and Diagnosis of Rheumatoid Arthritis: A Synopsis","volume":"20","author":[{"family":"Gibofsky","given":"Allan"}],"issued":{"date-parts":[["2014",5]]}}}],"schema":"https://github.com/citation-style-language/schema/raw/master/csl-citation.json"} </w:instrText>
      </w:r>
      <w:r w:rsidR="00FC2A45">
        <w:rPr>
          <w:rFonts w:ascii="Times" w:hAnsi="Times"/>
          <w:lang w:val="en-US"/>
        </w:rPr>
        <w:fldChar w:fldCharType="separate"/>
      </w:r>
      <w:r w:rsidR="00F0103B">
        <w:rPr>
          <w:rFonts w:ascii="Times" w:hAnsi="Times"/>
          <w:noProof/>
          <w:lang w:val="en-US"/>
        </w:rPr>
        <w:t>(1)</w:t>
      </w:r>
      <w:r w:rsidR="00FC2A45">
        <w:rPr>
          <w:rFonts w:ascii="Times" w:hAnsi="Times"/>
          <w:lang w:val="en-US"/>
        </w:rPr>
        <w:fldChar w:fldCharType="end"/>
      </w:r>
      <w:r w:rsidR="00A75EA9" w:rsidRPr="007976AC">
        <w:rPr>
          <w:rFonts w:ascii="Times" w:hAnsi="Times"/>
          <w:lang w:val="en-US"/>
        </w:rPr>
        <w:t xml:space="preserve">. </w:t>
      </w:r>
      <w:r w:rsidR="00D67FDA">
        <w:rPr>
          <w:rFonts w:ascii="Times" w:hAnsi="Times"/>
          <w:lang w:val="en-US"/>
        </w:rPr>
        <w:t>Besides the local inflammatory effects,</w:t>
      </w:r>
      <w:r w:rsidR="004463AC">
        <w:rPr>
          <w:rFonts w:ascii="Times" w:hAnsi="Times"/>
          <w:lang w:val="en-US"/>
        </w:rPr>
        <w:t xml:space="preserve"> systemic IL-6 </w:t>
      </w:r>
      <w:r w:rsidR="004B3360">
        <w:rPr>
          <w:rFonts w:ascii="Times" w:hAnsi="Times"/>
          <w:lang w:val="en-US"/>
        </w:rPr>
        <w:t>impact</w:t>
      </w:r>
      <w:r w:rsidR="006F24A5">
        <w:rPr>
          <w:rFonts w:ascii="Times" w:hAnsi="Times"/>
          <w:lang w:val="en-US"/>
        </w:rPr>
        <w:t>s</w:t>
      </w:r>
      <w:r w:rsidR="004B3360">
        <w:rPr>
          <w:rFonts w:ascii="Times" w:hAnsi="Times"/>
          <w:lang w:val="en-US"/>
        </w:rPr>
        <w:t xml:space="preserve"> </w:t>
      </w:r>
      <w:r w:rsidR="006F24A5">
        <w:rPr>
          <w:rFonts w:ascii="Times" w:hAnsi="Times"/>
          <w:lang w:val="en-US"/>
        </w:rPr>
        <w:t>the</w:t>
      </w:r>
      <w:r w:rsidR="004B3360">
        <w:rPr>
          <w:rFonts w:ascii="Times" w:hAnsi="Times"/>
          <w:lang w:val="en-US"/>
        </w:rPr>
        <w:t xml:space="preserve"> </w:t>
      </w:r>
      <w:r w:rsidR="00C81A27">
        <w:rPr>
          <w:rFonts w:ascii="Times" w:hAnsi="Times"/>
          <w:lang w:val="en-US"/>
        </w:rPr>
        <w:t xml:space="preserve">disease burden in patients with </w:t>
      </w:r>
      <w:r w:rsidR="00CF35E1">
        <w:rPr>
          <w:rFonts w:ascii="Times" w:hAnsi="Times"/>
          <w:lang w:val="en-US"/>
        </w:rPr>
        <w:t>rheumatoid arthritis</w:t>
      </w:r>
      <w:r w:rsidR="004B3360">
        <w:rPr>
          <w:rFonts w:ascii="Times" w:hAnsi="Times"/>
          <w:lang w:val="en-US"/>
        </w:rPr>
        <w:t xml:space="preserve"> </w:t>
      </w:r>
      <w:r w:rsidR="004B3360">
        <w:rPr>
          <w:rFonts w:ascii="Times" w:hAnsi="Times"/>
          <w:lang w:val="en-US"/>
        </w:rPr>
        <w:fldChar w:fldCharType="begin"/>
      </w:r>
      <w:r w:rsidR="00F0103B">
        <w:rPr>
          <w:rFonts w:ascii="Times" w:hAnsi="Times"/>
          <w:lang w:val="en-US"/>
        </w:rPr>
        <w:instrText xml:space="preserve"> ADDIN ZOTERO_ITEM CSL_CITATION {"citationID":"54idmogS","properties":{"formattedCitation":"(1)","plainCitation":"(1)","noteIndex":0},"citationItems":[{"id":728,"uris":["http://zotero.org/users/4954704/items/TCY589WL"],"itemData":{"id":728,"type":"article-journal","container-title":"Am J Manag Care","issue":"7 Suppl","language":"en","page":"S128-35","source":"Zotero","title":"Epidemiology, Pathophysiology, and Diagnosis of Rheumatoid Arthritis: A Synopsis","volume":"20","author":[{"family":"Gibofsky","given":"Allan"}],"issued":{"date-parts":[["2014",5]]}}}],"schema":"https://github.com/citation-style-language/schema/raw/master/csl-citation.json"} </w:instrText>
      </w:r>
      <w:r w:rsidR="004B3360">
        <w:rPr>
          <w:rFonts w:ascii="Times" w:hAnsi="Times"/>
          <w:lang w:val="en-US"/>
        </w:rPr>
        <w:fldChar w:fldCharType="separate"/>
      </w:r>
      <w:r w:rsidR="00F0103B">
        <w:rPr>
          <w:rFonts w:ascii="Times" w:hAnsi="Times"/>
          <w:noProof/>
          <w:lang w:val="en-US"/>
        </w:rPr>
        <w:t>(1)</w:t>
      </w:r>
      <w:r w:rsidR="004B3360">
        <w:rPr>
          <w:rFonts w:ascii="Times" w:hAnsi="Times"/>
          <w:lang w:val="en-US"/>
        </w:rPr>
        <w:fldChar w:fldCharType="end"/>
      </w:r>
      <w:r w:rsidR="009F1A9C">
        <w:rPr>
          <w:rFonts w:ascii="Times" w:hAnsi="Times"/>
          <w:lang w:val="en-US"/>
        </w:rPr>
        <w:t xml:space="preserve">. </w:t>
      </w:r>
      <w:r w:rsidR="00D67FDA">
        <w:rPr>
          <w:rFonts w:ascii="Times" w:hAnsi="Times"/>
          <w:lang w:val="en-US"/>
        </w:rPr>
        <w:t xml:space="preserve">In the liver, </w:t>
      </w:r>
      <w:r w:rsidR="0086519D">
        <w:rPr>
          <w:rFonts w:ascii="Times" w:hAnsi="Times"/>
          <w:lang w:val="en-US"/>
        </w:rPr>
        <w:t xml:space="preserve">IL-6 upregulates the acute-phase protein c-reactive protein (CRP) </w:t>
      </w:r>
      <w:r w:rsidR="008A1059">
        <w:rPr>
          <w:rFonts w:ascii="Times" w:hAnsi="Times"/>
          <w:lang w:val="en-US"/>
        </w:rPr>
        <w:t>(</w:t>
      </w:r>
      <w:r w:rsidR="008A1059" w:rsidRPr="00F52B07">
        <w:rPr>
          <w:rFonts w:ascii="Times" w:hAnsi="Times"/>
          <w:b/>
          <w:bCs/>
          <w:lang w:val="en-US"/>
        </w:rPr>
        <w:t>Figure 1</w:t>
      </w:r>
      <w:r w:rsidR="008A1059">
        <w:rPr>
          <w:rFonts w:ascii="Times" w:hAnsi="Times"/>
          <w:lang w:val="en-US"/>
        </w:rPr>
        <w:t xml:space="preserve">) </w:t>
      </w:r>
      <w:r w:rsidR="0086519D">
        <w:rPr>
          <w:rFonts w:ascii="Times" w:hAnsi="Times"/>
          <w:lang w:val="en-US"/>
        </w:rPr>
        <w:fldChar w:fldCharType="begin"/>
      </w:r>
      <w:r w:rsidR="00F0103B">
        <w:rPr>
          <w:rFonts w:ascii="Times" w:hAnsi="Times"/>
          <w:lang w:val="en-US"/>
        </w:rPr>
        <w:instrText xml:space="preserve"> ADDIN ZOTERO_ITEM CSL_CITATION {"citationID":"rZeWDlEL","properties":{"formattedCitation":"(2)","plainCitation":"(2)","noteIndex":0},"citationItems":[{"id":762,"uris":["http://zotero.org/users/4954704/items/SPVAA27U"],"itemData":{"id":762,"type":"article-journal","container-title":"Blood","DOI":"10.1182/blood-2008-05-155846","ISSN":"0006-4971","issue":"10","journalAbbreviation":"Blood","note":"publisher: American Society of Hematology","page":"3959-3964","title":"Mechanisms and pathologic significances in increase in serum interleukin-6 (IL-6) and soluble IL-6 receptor after administration of an anti–IL-6 receptor antibody, tocilizumab, in patients with rheumatoid arthritis and Castleman disease","volume":"112","author":[{"family":"Nishimoto","given":"Norihiro"},{"family":"Terao","given":"Kimio"},{"family":"Mima","given":"Toru"},{"family":"Nakahara","given":"Hideko"},{"family":"Takagi","given":"Nobuhiro"},{"family":"Kakehi","given":"Takahiro"}],"issued":{"date-parts":[["2008",11]]}}}],"schema":"https://github.com/citation-style-language/schema/raw/master/csl-citation.json"} </w:instrText>
      </w:r>
      <w:r w:rsidR="0086519D">
        <w:rPr>
          <w:rFonts w:ascii="Times" w:hAnsi="Times"/>
          <w:lang w:val="en-US"/>
        </w:rPr>
        <w:fldChar w:fldCharType="separate"/>
      </w:r>
      <w:r w:rsidR="00F0103B">
        <w:rPr>
          <w:rFonts w:ascii="Times" w:hAnsi="Times"/>
          <w:noProof/>
          <w:lang w:val="en-US"/>
        </w:rPr>
        <w:t>(2)</w:t>
      </w:r>
      <w:r w:rsidR="0086519D">
        <w:rPr>
          <w:rFonts w:ascii="Times" w:hAnsi="Times"/>
          <w:lang w:val="en-US"/>
        </w:rPr>
        <w:fldChar w:fldCharType="end"/>
      </w:r>
      <w:r w:rsidR="0086519D">
        <w:rPr>
          <w:rFonts w:ascii="Times" w:hAnsi="Times"/>
          <w:lang w:val="en-US"/>
        </w:rPr>
        <w:t xml:space="preserve">. Moreover, </w:t>
      </w:r>
      <w:r w:rsidR="00D67FDA">
        <w:rPr>
          <w:rFonts w:ascii="Times" w:hAnsi="Times"/>
          <w:lang w:val="en-US"/>
        </w:rPr>
        <w:t>IL-6 is involved in the regulation of drug-metabolizing cytochrome P450</w:t>
      </w:r>
      <w:r w:rsidR="00A235AF">
        <w:rPr>
          <w:rFonts w:ascii="Times" w:hAnsi="Times"/>
          <w:lang w:val="en-US"/>
        </w:rPr>
        <w:t xml:space="preserve"> (CYP)</w:t>
      </w:r>
      <w:r w:rsidR="00D67FDA">
        <w:rPr>
          <w:rFonts w:ascii="Times" w:hAnsi="Times"/>
          <w:lang w:val="en-US"/>
        </w:rPr>
        <w:t xml:space="preserve"> enzymes</w:t>
      </w:r>
      <w:r w:rsidR="008A1059">
        <w:rPr>
          <w:rFonts w:ascii="Times" w:hAnsi="Times"/>
          <w:lang w:val="en-US"/>
        </w:rPr>
        <w:t xml:space="preserve"> (</w:t>
      </w:r>
      <w:r w:rsidR="008A1059" w:rsidRPr="00F52B07">
        <w:rPr>
          <w:rFonts w:ascii="Times" w:hAnsi="Times"/>
          <w:b/>
          <w:bCs/>
          <w:lang w:val="en-US"/>
        </w:rPr>
        <w:t>Figure 1</w:t>
      </w:r>
      <w:r w:rsidR="008A1059">
        <w:rPr>
          <w:rFonts w:ascii="Times" w:hAnsi="Times"/>
          <w:lang w:val="en-US"/>
        </w:rPr>
        <w:t>)</w:t>
      </w:r>
      <w:r w:rsidR="00D67FDA">
        <w:rPr>
          <w:rFonts w:ascii="Times" w:hAnsi="Times"/>
          <w:lang w:val="en-US"/>
        </w:rPr>
        <w:t xml:space="preserve"> </w:t>
      </w:r>
      <w:r w:rsidR="00D67FDA">
        <w:rPr>
          <w:rFonts w:ascii="Times" w:hAnsi="Times"/>
          <w:lang w:val="en-US"/>
        </w:rPr>
        <w:fldChar w:fldCharType="begin"/>
      </w:r>
      <w:r w:rsidR="00F0103B">
        <w:rPr>
          <w:rFonts w:ascii="Times" w:hAnsi="Times"/>
          <w:lang w:val="en-US"/>
        </w:rPr>
        <w:instrText xml:space="preserve"> ADDIN ZOTERO_ITEM CSL_CITATION {"citationID":"w8Wh8J6k","properties":{"formattedCitation":"(3\\uc0\\u8211{}5)","plainCitation":"(3–5)","noteIndex":0},"citationItems":[{"id":1332,"uris":["http://zotero.org/users/4954704/items/VVWL9TYC"],"itemData":{"id":1332,"type":"webpage","title":"Clinical Pharmacology and Biopharmaceutics Review(s). Application Number: 125276","URL":"https://www.accessdata.fda.gov/drugsatfda_docs/nda/2010/125276s000ClinPharmR.pdf","author":[{"family":"Food and Drug Administration (FDA)","given":""}],"accessed":{"date-parts":[["2020",11,9]]}}},{"id":1203,"uris":["http://zotero.org/users/4954704/items/9W586M6B"],"itemData":{"id":1203,"type":"article-journal","container-title":"Basic &amp; Clinical Pharmacology &amp; Toxicology","issue":"5","journalAbbreviation":"Basic Clin Pharmacol Toxicol","page":"311-324","title":"Drug metabolism and drug transport of the 100 most prescribed oral drugs","volume":"131","author":[{"family":"Iversen","given":"Ditte B."},{"family":"Andersen","given":"Nanna Elman"},{"family":"Dalgård Dunvald","given":"Ann-Cathrine"},{"family":"Pottegård","given":"Anton"},{"family":"Stage","given":"Tore B."}],"issued":{"date-parts":[["2022",11]]}}},{"id":1024,"uris":["http://zotero.org/users/4954704/items/NWVBFWKS"],"itemData":{"id":1024,"type":"article-journal","container-title":"Clinical Pharmacology &amp; Therapeutics","DOI":"10.1002/cpt.2432","ISSN":"0009-9236, 1532-6535","issue":"2","journalAbbreviation":"Clin Pharmacol Ther","language":"en","page":"277-290","source":"DOI.org (Crossref)","title":"Clinical and Molecular Perspectives on Inflammation‐Mediated Regulation of Drug Metabolism and Transport","volume":"112","author":[{"family":"Dunvald","given":"Ann‐Cathrine Dalgård"},{"family":"Järvinen","given":"Erkka"},{"family":"Mortensen","given":"Christina"},{"family":"Stage","given":"Tore B."}],"issued":{"date-parts":[["2022",8]]}}}],"schema":"https://github.com/citation-style-language/schema/raw/master/csl-citation.json"} </w:instrText>
      </w:r>
      <w:r w:rsidR="00D67FDA">
        <w:rPr>
          <w:rFonts w:ascii="Times" w:hAnsi="Times"/>
          <w:lang w:val="en-US"/>
        </w:rPr>
        <w:fldChar w:fldCharType="separate"/>
      </w:r>
      <w:r w:rsidR="00F0103B" w:rsidRPr="00F0103B">
        <w:rPr>
          <w:rFonts w:ascii="Times" w:hAnsi="Times"/>
          <w:lang w:val="en-US"/>
        </w:rPr>
        <w:t>(3–5)</w:t>
      </w:r>
      <w:r w:rsidR="00D67FDA">
        <w:rPr>
          <w:rFonts w:ascii="Times" w:hAnsi="Times"/>
          <w:lang w:val="en-US"/>
        </w:rPr>
        <w:fldChar w:fldCharType="end"/>
      </w:r>
      <w:r w:rsidR="00294D7D">
        <w:rPr>
          <w:rFonts w:ascii="Times" w:hAnsi="Times"/>
          <w:lang w:val="en-US"/>
        </w:rPr>
        <w:t xml:space="preserve"> </w:t>
      </w:r>
      <w:r w:rsidR="00D67FDA">
        <w:rPr>
          <w:rFonts w:ascii="Times" w:hAnsi="Times"/>
          <w:lang w:val="en-US"/>
        </w:rPr>
        <w:t xml:space="preserve">. </w:t>
      </w:r>
    </w:p>
    <w:p w14:paraId="57F9A8A6" w14:textId="77777777" w:rsidR="00577722" w:rsidRPr="007976AC" w:rsidRDefault="00577722" w:rsidP="009A2F16">
      <w:pPr>
        <w:spacing w:line="360" w:lineRule="auto"/>
        <w:jc w:val="both"/>
        <w:rPr>
          <w:rFonts w:ascii="Times" w:hAnsi="Times"/>
          <w:lang w:val="en-US"/>
        </w:rPr>
      </w:pPr>
    </w:p>
    <w:p w14:paraId="3B39CCA0" w14:textId="04CFC87A" w:rsidR="00142F66" w:rsidRPr="00515AD8" w:rsidRDefault="00A75EA9" w:rsidP="009A2F16">
      <w:pPr>
        <w:autoSpaceDE w:val="0"/>
        <w:autoSpaceDN w:val="0"/>
        <w:adjustRightInd w:val="0"/>
        <w:spacing w:line="360" w:lineRule="auto"/>
        <w:jc w:val="both"/>
        <w:rPr>
          <w:rFonts w:ascii="Times" w:hAnsi="Times"/>
          <w:noProof/>
          <w:lang w:val="en-US"/>
        </w:rPr>
      </w:pPr>
      <w:r w:rsidRPr="00F52B07">
        <w:rPr>
          <w:rFonts w:ascii="Times" w:hAnsi="Times"/>
          <w:lang w:val="en-US"/>
        </w:rPr>
        <w:t>In 200</w:t>
      </w:r>
      <w:r w:rsidR="00882BDA" w:rsidRPr="00F52B07">
        <w:rPr>
          <w:rFonts w:ascii="Times" w:hAnsi="Times"/>
          <w:lang w:val="en-US"/>
        </w:rPr>
        <w:t>9</w:t>
      </w:r>
      <w:r w:rsidRPr="00F52B07">
        <w:rPr>
          <w:rFonts w:ascii="Times" w:hAnsi="Times"/>
          <w:lang w:val="en-US"/>
        </w:rPr>
        <w:t>, the first humanized IL-6</w:t>
      </w:r>
      <w:r w:rsidR="00BE6F85" w:rsidRPr="00F52B07">
        <w:rPr>
          <w:rFonts w:ascii="Times" w:hAnsi="Times"/>
          <w:lang w:val="en-US"/>
        </w:rPr>
        <w:t xml:space="preserve"> receptor</w:t>
      </w:r>
      <w:r w:rsidR="00C379C8" w:rsidRPr="00F52B07">
        <w:rPr>
          <w:rFonts w:ascii="Times" w:hAnsi="Times"/>
          <w:lang w:val="en-US"/>
        </w:rPr>
        <w:t xml:space="preserve"> antagonist (anti-IL</w:t>
      </w:r>
      <w:r w:rsidR="00F77BE7">
        <w:rPr>
          <w:rFonts w:ascii="Times" w:hAnsi="Times"/>
          <w:lang w:val="en-US"/>
        </w:rPr>
        <w:t>-</w:t>
      </w:r>
      <w:r w:rsidR="00C379C8" w:rsidRPr="00F52B07">
        <w:rPr>
          <w:rFonts w:ascii="Times" w:hAnsi="Times"/>
          <w:lang w:val="en-US"/>
        </w:rPr>
        <w:t>6R)</w:t>
      </w:r>
      <w:r w:rsidRPr="00F52B07">
        <w:rPr>
          <w:rFonts w:ascii="Times" w:hAnsi="Times"/>
          <w:lang w:val="en-US"/>
        </w:rPr>
        <w:t xml:space="preserve"> monoclonal antibody</w:t>
      </w:r>
      <w:r w:rsidR="000225F3" w:rsidRPr="00F52B07">
        <w:rPr>
          <w:rFonts w:ascii="Times" w:hAnsi="Times"/>
          <w:lang w:val="en-US"/>
        </w:rPr>
        <w:t>,</w:t>
      </w:r>
      <w:r w:rsidRPr="00F52B07">
        <w:rPr>
          <w:rFonts w:ascii="Times" w:hAnsi="Times"/>
          <w:lang w:val="en-US"/>
        </w:rPr>
        <w:t xml:space="preserve"> tocilizumab</w:t>
      </w:r>
      <w:r w:rsidR="000225F3" w:rsidRPr="00F52B07">
        <w:rPr>
          <w:rFonts w:ascii="Times" w:hAnsi="Times"/>
          <w:lang w:val="en-US"/>
        </w:rPr>
        <w:t>,</w:t>
      </w:r>
      <w:r w:rsidRPr="00F52B07">
        <w:rPr>
          <w:rFonts w:ascii="Times" w:hAnsi="Times"/>
          <w:lang w:val="en-US"/>
        </w:rPr>
        <w:t xml:space="preserve"> </w:t>
      </w:r>
      <w:r w:rsidR="00882BDA" w:rsidRPr="00F52B07">
        <w:rPr>
          <w:rFonts w:ascii="Times" w:hAnsi="Times"/>
          <w:lang w:val="en-US"/>
        </w:rPr>
        <w:t xml:space="preserve">was approved by the European Medicines Agency for </w:t>
      </w:r>
      <w:r w:rsidR="000225F3" w:rsidRPr="00F52B07">
        <w:rPr>
          <w:rFonts w:ascii="Times" w:hAnsi="Times"/>
          <w:lang w:val="en-US"/>
        </w:rPr>
        <w:t xml:space="preserve">the </w:t>
      </w:r>
      <w:r w:rsidR="00882BDA" w:rsidRPr="00F52B07">
        <w:rPr>
          <w:rFonts w:ascii="Times" w:hAnsi="Times"/>
          <w:lang w:val="en-US"/>
        </w:rPr>
        <w:t xml:space="preserve">treatment of </w:t>
      </w:r>
      <w:r w:rsidR="00CF35E1">
        <w:rPr>
          <w:rFonts w:ascii="Times" w:hAnsi="Times"/>
          <w:lang w:val="en-US"/>
        </w:rPr>
        <w:t>rheumatoid arthritis</w:t>
      </w:r>
      <w:r w:rsidR="00452F3A" w:rsidRPr="00F52B07">
        <w:rPr>
          <w:rFonts w:ascii="Times" w:hAnsi="Times"/>
          <w:lang w:val="en-US"/>
        </w:rPr>
        <w:t xml:space="preserve"> </w:t>
      </w:r>
      <w:r w:rsidR="00D4245D" w:rsidRPr="00F52B07">
        <w:rPr>
          <w:rFonts w:ascii="Times" w:hAnsi="Times"/>
          <w:lang w:val="en-US"/>
        </w:rPr>
        <w:fldChar w:fldCharType="begin"/>
      </w:r>
      <w:r w:rsidR="00F0103B">
        <w:rPr>
          <w:rFonts w:ascii="Times" w:hAnsi="Times"/>
          <w:lang w:val="en-US"/>
        </w:rPr>
        <w:instrText xml:space="preserve"> ADDIN ZOTERO_ITEM CSL_CITATION {"citationID":"WqxQ6B0i","properties":{"formattedCitation":"(6)","plainCitation":"(6)","noteIndex":0},"citationItems":[{"id":1330,"uris":["http://zotero.org/users/4954704/items/PWCDEYDU"],"itemData":{"id":1330,"type":"webpage","title":"RoActemra Summary of Product Characteristics","URL":"https://www.ema.europa.eu/en/documents/product-information/roactemra-epar-product-information_en.pdf","author":[{"family":"European Medicines Agency (EMA)","given":""}],"accessed":{"date-parts":[["2020",7,31]]}}}],"schema":"https://github.com/citation-style-language/schema/raw/master/csl-citation.json"} </w:instrText>
      </w:r>
      <w:r w:rsidR="00D4245D" w:rsidRPr="00F52B07">
        <w:rPr>
          <w:rFonts w:ascii="Times" w:hAnsi="Times"/>
          <w:lang w:val="en-US"/>
        </w:rPr>
        <w:fldChar w:fldCharType="separate"/>
      </w:r>
      <w:r w:rsidR="00F0103B">
        <w:rPr>
          <w:rFonts w:ascii="Times" w:hAnsi="Times"/>
          <w:noProof/>
          <w:lang w:val="en-US"/>
        </w:rPr>
        <w:t>(6)</w:t>
      </w:r>
      <w:r w:rsidR="00D4245D" w:rsidRPr="00F52B07">
        <w:rPr>
          <w:rFonts w:ascii="Times" w:hAnsi="Times"/>
          <w:lang w:val="en-US"/>
        </w:rPr>
        <w:fldChar w:fldCharType="end"/>
      </w:r>
      <w:r w:rsidR="00882BDA" w:rsidRPr="00F52B07">
        <w:rPr>
          <w:rFonts w:ascii="Times" w:hAnsi="Times"/>
          <w:lang w:val="en-US"/>
        </w:rPr>
        <w:t xml:space="preserve">. </w:t>
      </w:r>
      <w:r w:rsidR="00B13DF5" w:rsidRPr="00F52B07">
        <w:rPr>
          <w:rFonts w:ascii="Times" w:hAnsi="Times"/>
          <w:lang w:val="en-US"/>
        </w:rPr>
        <w:t>Since</w:t>
      </w:r>
      <w:r w:rsidR="000938E2" w:rsidRPr="00F52B07">
        <w:rPr>
          <w:rFonts w:ascii="Times" w:hAnsi="Times"/>
          <w:lang w:val="en-US"/>
        </w:rPr>
        <w:t>,</w:t>
      </w:r>
      <w:r w:rsidR="00B13DF5" w:rsidRPr="00F52B07">
        <w:rPr>
          <w:rFonts w:ascii="Times" w:hAnsi="Times"/>
          <w:lang w:val="en-US"/>
        </w:rPr>
        <w:t xml:space="preserve"> </w:t>
      </w:r>
      <w:r w:rsidR="008B6EC7" w:rsidRPr="00F52B07">
        <w:rPr>
          <w:rFonts w:ascii="Times" w:hAnsi="Times"/>
          <w:lang w:val="en-US"/>
        </w:rPr>
        <w:t xml:space="preserve">the equivalent anti-IL-6R </w:t>
      </w:r>
      <w:r w:rsidR="005221D2" w:rsidRPr="00F52B07">
        <w:rPr>
          <w:rFonts w:ascii="Times" w:hAnsi="Times"/>
          <w:lang w:val="en-US"/>
        </w:rPr>
        <w:t xml:space="preserve">sarilumab </w:t>
      </w:r>
      <w:r w:rsidR="000938E2" w:rsidRPr="00F52B07">
        <w:rPr>
          <w:rFonts w:ascii="Times" w:hAnsi="Times"/>
          <w:lang w:val="en-US"/>
        </w:rPr>
        <w:t>has</w:t>
      </w:r>
      <w:r w:rsidR="005221D2" w:rsidRPr="00F52B07">
        <w:rPr>
          <w:rFonts w:ascii="Times" w:hAnsi="Times"/>
          <w:lang w:val="en-US"/>
        </w:rPr>
        <w:t xml:space="preserve"> </w:t>
      </w:r>
      <w:r w:rsidR="00B55D96" w:rsidRPr="00F52B07">
        <w:rPr>
          <w:rFonts w:ascii="Times" w:hAnsi="Times"/>
          <w:lang w:val="en-US"/>
        </w:rPr>
        <w:t xml:space="preserve">also </w:t>
      </w:r>
      <w:r w:rsidR="005221D2" w:rsidRPr="00F52B07">
        <w:rPr>
          <w:rFonts w:ascii="Times" w:hAnsi="Times"/>
          <w:lang w:val="en-US"/>
        </w:rPr>
        <w:t xml:space="preserve">been approved for </w:t>
      </w:r>
      <w:r w:rsidR="00581A37">
        <w:rPr>
          <w:rFonts w:ascii="Times" w:hAnsi="Times"/>
          <w:lang w:val="en-US"/>
        </w:rPr>
        <w:t>rheumatoid arthritis</w:t>
      </w:r>
      <w:r w:rsidR="00BF4CA2" w:rsidRPr="00F52B07">
        <w:rPr>
          <w:rFonts w:ascii="Times" w:hAnsi="Times"/>
          <w:lang w:val="en-US"/>
        </w:rPr>
        <w:t xml:space="preserve"> </w:t>
      </w:r>
      <w:r w:rsidR="00BF4CA2" w:rsidRPr="00F52B07">
        <w:rPr>
          <w:rFonts w:ascii="Times" w:hAnsi="Times"/>
          <w:lang w:val="en-US"/>
        </w:rPr>
        <w:fldChar w:fldCharType="begin"/>
      </w:r>
      <w:r w:rsidR="00F0103B">
        <w:rPr>
          <w:rFonts w:ascii="Times" w:hAnsi="Times"/>
          <w:lang w:val="en-US"/>
        </w:rPr>
        <w:instrText xml:space="preserve"> ADDIN ZOTERO_ITEM CSL_CITATION {"citationID":"RdWDvR5x","properties":{"formattedCitation":"(7)","plainCitation":"(7)","noteIndex":0},"citationItems":[{"id":1078,"uris":["http://zotero.org/users/4954704/items/DU53IJBT"],"itemData":{"id":1078,"type":"webpage","title":"Kevzara Summary of Product Characteristics","URL":"https://www.ema.europa.eu/en/documents/product-information/kevzara-epar-product-information_en.pdf","author":[{"family":"European Medicines Agency (EMA)","given":""}],"accessed":{"date-parts":[["2020",8,17]]}},"label":"page"}],"schema":"https://github.com/citation-style-language/schema/raw/master/csl-citation.json"} </w:instrText>
      </w:r>
      <w:r w:rsidR="00BF4CA2" w:rsidRPr="00F52B07">
        <w:rPr>
          <w:rFonts w:ascii="Times" w:hAnsi="Times"/>
          <w:lang w:val="en-US"/>
        </w:rPr>
        <w:fldChar w:fldCharType="separate"/>
      </w:r>
      <w:r w:rsidR="00F0103B">
        <w:rPr>
          <w:rFonts w:ascii="Times" w:hAnsi="Times"/>
          <w:noProof/>
          <w:lang w:val="en-US"/>
        </w:rPr>
        <w:t>(7)</w:t>
      </w:r>
      <w:r w:rsidR="00BF4CA2" w:rsidRPr="00F52B07">
        <w:rPr>
          <w:rFonts w:ascii="Times" w:hAnsi="Times"/>
          <w:lang w:val="en-US"/>
        </w:rPr>
        <w:fldChar w:fldCharType="end"/>
      </w:r>
      <w:r w:rsidR="00B55D96" w:rsidRPr="00F52B07">
        <w:rPr>
          <w:rFonts w:ascii="Times" w:hAnsi="Times"/>
          <w:lang w:val="en-US"/>
        </w:rPr>
        <w:t>.</w:t>
      </w:r>
      <w:r w:rsidR="00E010DB" w:rsidRPr="00F52B07">
        <w:rPr>
          <w:rFonts w:ascii="Times" w:hAnsi="Times"/>
          <w:lang w:val="en-US"/>
        </w:rPr>
        <w:t xml:space="preserve"> </w:t>
      </w:r>
      <w:r w:rsidR="00484DB5" w:rsidRPr="00F52B07">
        <w:rPr>
          <w:rFonts w:ascii="Times" w:hAnsi="Times"/>
          <w:lang w:val="en-US"/>
        </w:rPr>
        <w:t xml:space="preserve">Both </w:t>
      </w:r>
      <w:r w:rsidR="004F7B56" w:rsidRPr="00F52B07">
        <w:rPr>
          <w:rFonts w:ascii="Times" w:hAnsi="Times"/>
          <w:lang w:val="en-US"/>
        </w:rPr>
        <w:t xml:space="preserve">therapies </w:t>
      </w:r>
      <w:r w:rsidR="002D0A2E">
        <w:rPr>
          <w:rFonts w:ascii="Times" w:hAnsi="Times"/>
          <w:lang w:val="en-US"/>
        </w:rPr>
        <w:t>effectively relieve pain symptoms and prevent</w:t>
      </w:r>
      <w:r w:rsidR="00562FE0" w:rsidRPr="00F52B07">
        <w:rPr>
          <w:rFonts w:ascii="Times" w:hAnsi="Times"/>
          <w:lang w:val="en-US"/>
        </w:rPr>
        <w:t xml:space="preserve"> </w:t>
      </w:r>
      <w:r w:rsidR="00484DB5" w:rsidRPr="00F52B07">
        <w:rPr>
          <w:rFonts w:ascii="Times" w:hAnsi="Times"/>
          <w:lang w:val="en-US"/>
        </w:rPr>
        <w:t>further synovial destruction caused by inflammation</w:t>
      </w:r>
      <w:r w:rsidR="001034AA" w:rsidRPr="00F52B07">
        <w:rPr>
          <w:rFonts w:ascii="Times" w:hAnsi="Times"/>
          <w:lang w:val="en-US"/>
        </w:rPr>
        <w:t xml:space="preserve"> in </w:t>
      </w:r>
      <w:r w:rsidR="00581A37">
        <w:rPr>
          <w:rFonts w:ascii="Times" w:hAnsi="Times"/>
          <w:lang w:val="en-US"/>
        </w:rPr>
        <w:t>rheumatoid arthritis</w:t>
      </w:r>
      <w:r w:rsidR="00F52B07">
        <w:rPr>
          <w:rFonts w:ascii="Times" w:hAnsi="Times"/>
          <w:lang w:val="en-US"/>
        </w:rPr>
        <w:t xml:space="preserve"> </w:t>
      </w:r>
      <w:r w:rsidR="00F52B07">
        <w:rPr>
          <w:rFonts w:ascii="Times" w:hAnsi="Times"/>
          <w:lang w:val="en-US"/>
        </w:rPr>
        <w:fldChar w:fldCharType="begin"/>
      </w:r>
      <w:r w:rsidR="00F0103B">
        <w:rPr>
          <w:rFonts w:ascii="Times" w:hAnsi="Times"/>
          <w:lang w:val="en-US"/>
        </w:rPr>
        <w:instrText xml:space="preserve"> ADDIN ZOTERO_ITEM CSL_CITATION {"citationID":"Ha7i9qwy","properties":{"formattedCitation":"(6,7)","plainCitation":"(6,7)","noteIndex":0},"citationItems":[{"id":1330,"uris":["http://zotero.org/users/4954704/items/PWCDEYDU"],"itemData":{"id":1330,"type":"webpage","title":"RoActemra Summary of Product Characteristics","URL":"https://www.ema.europa.eu/en/documents/product-information/roactemra-epar-product-information_en.pdf","author":[{"family":"European Medicines Agency (EMA)","given":""}],"accessed":{"date-parts":[["2020",7,31]]}}},{"id":1078,"uris":["http://zotero.org/users/4954704/items/DU53IJBT"],"itemData":{"id":1078,"type":"webpage","title":"Kevzara Summary of Product Characteristics","URL":"https://www.ema.europa.eu/en/documents/product-information/kevzara-epar-product-information_en.pdf","author":[{"family":"European Medicines Agency (EMA)","given":""}],"accessed":{"date-parts":[["2020",8,17]]}},"label":"page"}],"schema":"https://github.com/citation-style-language/schema/raw/master/csl-citation.json"} </w:instrText>
      </w:r>
      <w:r w:rsidR="00F52B07">
        <w:rPr>
          <w:rFonts w:ascii="Times" w:hAnsi="Times"/>
          <w:lang w:val="en-US"/>
        </w:rPr>
        <w:fldChar w:fldCharType="separate"/>
      </w:r>
      <w:r w:rsidR="00F0103B">
        <w:rPr>
          <w:rFonts w:ascii="Times" w:hAnsi="Times"/>
          <w:noProof/>
          <w:lang w:val="en-US"/>
        </w:rPr>
        <w:t>(6,7)</w:t>
      </w:r>
      <w:r w:rsidR="00F52B07">
        <w:rPr>
          <w:rFonts w:ascii="Times" w:hAnsi="Times"/>
          <w:lang w:val="en-US"/>
        </w:rPr>
        <w:fldChar w:fldCharType="end"/>
      </w:r>
      <w:r w:rsidR="00484DB5" w:rsidRPr="00F52B07">
        <w:rPr>
          <w:rFonts w:ascii="Times" w:hAnsi="Times"/>
          <w:lang w:val="en-US"/>
        </w:rPr>
        <w:t xml:space="preserve">. The mechanism of </w:t>
      </w:r>
      <w:r w:rsidR="00AB313A" w:rsidRPr="00F52B07">
        <w:rPr>
          <w:rFonts w:ascii="Times" w:hAnsi="Times"/>
          <w:lang w:val="en-US"/>
        </w:rPr>
        <w:t xml:space="preserve">action </w:t>
      </w:r>
      <w:r w:rsidR="003E4FAB" w:rsidRPr="00F52B07">
        <w:rPr>
          <w:rFonts w:ascii="Times" w:hAnsi="Times"/>
          <w:lang w:val="en-US"/>
        </w:rPr>
        <w:t xml:space="preserve">is selective </w:t>
      </w:r>
      <w:r w:rsidR="00840E5F" w:rsidRPr="00F52B07">
        <w:rPr>
          <w:rFonts w:ascii="Times" w:hAnsi="Times"/>
          <w:lang w:val="en-US"/>
        </w:rPr>
        <w:t>binding to the soluble</w:t>
      </w:r>
      <w:r w:rsidR="003B14AA" w:rsidRPr="00F52B07">
        <w:rPr>
          <w:rFonts w:ascii="Times" w:hAnsi="Times"/>
          <w:lang w:val="en-US"/>
        </w:rPr>
        <w:t xml:space="preserve"> and membrane-bound</w:t>
      </w:r>
      <w:r w:rsidR="00840E5F" w:rsidRPr="00F52B07">
        <w:rPr>
          <w:rFonts w:ascii="Times" w:hAnsi="Times"/>
          <w:lang w:val="en-US"/>
        </w:rPr>
        <w:t xml:space="preserve"> </w:t>
      </w:r>
      <w:r w:rsidR="00832128" w:rsidRPr="00F52B07">
        <w:rPr>
          <w:rFonts w:ascii="Times" w:hAnsi="Times"/>
          <w:lang w:val="en-US"/>
        </w:rPr>
        <w:t xml:space="preserve">IL-6 </w:t>
      </w:r>
      <w:r w:rsidR="00840E5F" w:rsidRPr="00F52B07">
        <w:rPr>
          <w:rFonts w:ascii="Times" w:hAnsi="Times"/>
          <w:lang w:val="en-US"/>
        </w:rPr>
        <w:t xml:space="preserve">receptor </w:t>
      </w:r>
      <w:r w:rsidR="00832128" w:rsidRPr="00F52B07">
        <w:rPr>
          <w:rFonts w:ascii="Times" w:hAnsi="Times"/>
          <w:lang w:val="en-US"/>
        </w:rPr>
        <w:t>(sIL-6R</w:t>
      </w:r>
      <w:r w:rsidR="0038201D" w:rsidRPr="00F52B07">
        <w:rPr>
          <w:rFonts w:ascii="Times" w:hAnsi="Times"/>
          <w:lang w:val="en-US"/>
        </w:rPr>
        <w:t xml:space="preserve"> and </w:t>
      </w:r>
      <w:r w:rsidR="00FA375A" w:rsidRPr="00F52B07">
        <w:rPr>
          <w:rFonts w:ascii="Times" w:hAnsi="Times"/>
          <w:lang w:val="en-US"/>
        </w:rPr>
        <w:t>mIL-6R)</w:t>
      </w:r>
      <w:r w:rsidR="00B17CED" w:rsidRPr="00F52B07">
        <w:rPr>
          <w:rFonts w:ascii="Times" w:hAnsi="Times"/>
          <w:lang w:val="en-US"/>
        </w:rPr>
        <w:t xml:space="preserve">, thus inhibiting </w:t>
      </w:r>
      <w:r w:rsidR="00314FBB" w:rsidRPr="00F52B07">
        <w:rPr>
          <w:rFonts w:ascii="Times" w:hAnsi="Times"/>
          <w:lang w:val="en-US"/>
        </w:rPr>
        <w:t xml:space="preserve">the </w:t>
      </w:r>
      <w:r w:rsidR="00B17CED" w:rsidRPr="00F52B07">
        <w:rPr>
          <w:rFonts w:ascii="Times" w:hAnsi="Times"/>
          <w:lang w:val="en-US"/>
        </w:rPr>
        <w:t>binding of IL-6 and the subsequent</w:t>
      </w:r>
      <w:r w:rsidR="00122FD2" w:rsidRPr="00F52B07">
        <w:rPr>
          <w:rFonts w:ascii="Times" w:hAnsi="Times"/>
          <w:lang w:val="en-US"/>
        </w:rPr>
        <w:t xml:space="preserve"> </w:t>
      </w:r>
      <w:r w:rsidR="00B17CED" w:rsidRPr="00F52B07">
        <w:rPr>
          <w:rFonts w:ascii="Times" w:hAnsi="Times"/>
          <w:lang w:val="en-US"/>
        </w:rPr>
        <w:t>signaling cascade</w:t>
      </w:r>
      <w:r w:rsidR="00240111" w:rsidRPr="00F52B07">
        <w:rPr>
          <w:rFonts w:ascii="Times" w:hAnsi="Times"/>
          <w:lang w:val="en-US"/>
        </w:rPr>
        <w:t>s</w:t>
      </w:r>
      <w:r w:rsidR="00B17CED" w:rsidRPr="00F52B07">
        <w:rPr>
          <w:rFonts w:ascii="Times" w:hAnsi="Times"/>
          <w:lang w:val="en-US"/>
        </w:rPr>
        <w:t xml:space="preserve"> </w:t>
      </w:r>
      <w:r w:rsidR="00562DFE">
        <w:rPr>
          <w:rFonts w:ascii="Times" w:hAnsi="Times"/>
          <w:lang w:val="en-US"/>
        </w:rPr>
        <w:t>(</w:t>
      </w:r>
      <w:r w:rsidR="00562DFE">
        <w:rPr>
          <w:rFonts w:ascii="Times" w:hAnsi="Times"/>
          <w:b/>
          <w:bCs/>
          <w:lang w:val="en-US"/>
        </w:rPr>
        <w:t>Figure 1</w:t>
      </w:r>
      <w:r w:rsidR="00562DFE" w:rsidRPr="00562DFE">
        <w:rPr>
          <w:rFonts w:ascii="Times" w:hAnsi="Times"/>
          <w:lang w:val="en-US"/>
        </w:rPr>
        <w:t>)</w:t>
      </w:r>
      <w:r w:rsidR="00562DFE">
        <w:rPr>
          <w:rFonts w:ascii="Times" w:hAnsi="Times"/>
          <w:b/>
          <w:bCs/>
          <w:lang w:val="en-US"/>
        </w:rPr>
        <w:t xml:space="preserve"> </w:t>
      </w:r>
      <w:r w:rsidR="007834C9" w:rsidRPr="00F52B07">
        <w:rPr>
          <w:rFonts w:ascii="Times" w:hAnsi="Times"/>
          <w:lang w:val="en-US"/>
        </w:rPr>
        <w:fldChar w:fldCharType="begin"/>
      </w:r>
      <w:r w:rsidR="00F0103B">
        <w:rPr>
          <w:rFonts w:ascii="Times" w:hAnsi="Times"/>
          <w:lang w:val="en-US"/>
        </w:rPr>
        <w:instrText xml:space="preserve"> ADDIN ZOTERO_ITEM CSL_CITATION {"citationID":"HbAMxisn","properties":{"formattedCitation":"(6,7)","plainCitation":"(6,7)","noteIndex":0},"citationItems":[{"id":1330,"uris":["http://zotero.org/users/4954704/items/PWCDEYDU"],"itemData":{"id":1330,"type":"webpage","title":"RoActemra Summary of Product Characteristics","URL":"https://www.ema.europa.eu/en/documents/product-information/roactemra-epar-product-information_en.pdf","author":[{"family":"European Medicines Agency (EMA)","given":""}],"accessed":{"date-parts":[["2020",7,31]]}}},{"id":1078,"uris":["http://zotero.org/users/4954704/items/DU53IJBT"],"itemData":{"id":1078,"type":"webpage","title":"Kevzara Summary of Product Characteristics","URL":"https://www.ema.europa.eu/en/documents/product-information/kevzara-epar-product-information_en.pdf","author":[{"family":"European Medicines Agency (EMA)","given":""}],"accessed":{"date-parts":[["2020",8,17]]}}}],"schema":"https://github.com/citation-style-language/schema/raw/master/csl-citation.json"} </w:instrText>
      </w:r>
      <w:r w:rsidR="007834C9" w:rsidRPr="00F52B07">
        <w:rPr>
          <w:rFonts w:ascii="Times" w:hAnsi="Times"/>
          <w:lang w:val="en-US"/>
        </w:rPr>
        <w:fldChar w:fldCharType="separate"/>
      </w:r>
      <w:r w:rsidR="00F0103B">
        <w:rPr>
          <w:rFonts w:ascii="Times" w:hAnsi="Times"/>
          <w:noProof/>
          <w:lang w:val="en-US"/>
        </w:rPr>
        <w:t>(6,7)</w:t>
      </w:r>
      <w:r w:rsidR="007834C9" w:rsidRPr="00F52B07">
        <w:rPr>
          <w:rFonts w:ascii="Times" w:hAnsi="Times"/>
          <w:lang w:val="en-US"/>
        </w:rPr>
        <w:fldChar w:fldCharType="end"/>
      </w:r>
      <w:r w:rsidR="00122FD2" w:rsidRPr="00F52B07">
        <w:rPr>
          <w:rFonts w:ascii="Times" w:hAnsi="Times"/>
          <w:lang w:val="en-US"/>
        </w:rPr>
        <w:t>.</w:t>
      </w:r>
      <w:r w:rsidR="00403C24" w:rsidRPr="00F52B07">
        <w:rPr>
          <w:rFonts w:ascii="Times" w:hAnsi="Times"/>
          <w:lang w:val="en-US"/>
        </w:rPr>
        <w:t xml:space="preserve"> </w:t>
      </w:r>
      <w:r w:rsidR="009C74E3" w:rsidRPr="00660A41">
        <w:rPr>
          <w:rFonts w:ascii="Times" w:hAnsi="Times"/>
          <w:lang w:val="en-US"/>
        </w:rPr>
        <w:t xml:space="preserve">The </w:t>
      </w:r>
      <w:r w:rsidR="002B0FF7">
        <w:rPr>
          <w:rFonts w:ascii="Times" w:hAnsi="Times"/>
          <w:lang w:val="en-US"/>
        </w:rPr>
        <w:t xml:space="preserve">formation of </w:t>
      </w:r>
      <w:r w:rsidR="00361829">
        <w:rPr>
          <w:rFonts w:ascii="Times" w:hAnsi="Times"/>
          <w:lang w:val="en-US"/>
        </w:rPr>
        <w:t>drug-receptor</w:t>
      </w:r>
      <w:r w:rsidR="009C74E3" w:rsidRPr="00660A41">
        <w:rPr>
          <w:rFonts w:ascii="Times" w:hAnsi="Times"/>
          <w:lang w:val="en-US"/>
        </w:rPr>
        <w:t xml:space="preserve"> </w:t>
      </w:r>
      <w:r w:rsidR="002B0FF7">
        <w:rPr>
          <w:rFonts w:ascii="Times" w:hAnsi="Times"/>
          <w:lang w:val="en-US"/>
        </w:rPr>
        <w:t>complexes depend</w:t>
      </w:r>
      <w:r w:rsidR="009025F2">
        <w:rPr>
          <w:rFonts w:ascii="Times" w:hAnsi="Times"/>
          <w:lang w:val="en-US"/>
        </w:rPr>
        <w:t>s</w:t>
      </w:r>
      <w:r w:rsidR="002B0FF7">
        <w:rPr>
          <w:rFonts w:ascii="Times" w:hAnsi="Times"/>
          <w:lang w:val="en-US"/>
        </w:rPr>
        <w:t xml:space="preserve"> </w:t>
      </w:r>
      <w:r w:rsidR="009025F2">
        <w:rPr>
          <w:rFonts w:ascii="Times" w:hAnsi="Times"/>
          <w:lang w:val="en-US"/>
        </w:rPr>
        <w:t>on</w:t>
      </w:r>
      <w:r w:rsidR="002B0FF7">
        <w:rPr>
          <w:rFonts w:ascii="Times" w:hAnsi="Times"/>
          <w:lang w:val="en-US"/>
        </w:rPr>
        <w:t xml:space="preserve"> free anti-IL-6R drug concentrations </w:t>
      </w:r>
      <w:r w:rsidR="00B75EB9" w:rsidRPr="00660A41">
        <w:rPr>
          <w:rFonts w:ascii="Times" w:hAnsi="Times"/>
          <w:lang w:val="en-US"/>
        </w:rPr>
        <w:fldChar w:fldCharType="begin"/>
      </w:r>
      <w:r w:rsidR="00F0103B">
        <w:rPr>
          <w:rFonts w:ascii="Times" w:hAnsi="Times"/>
          <w:lang w:val="en-US"/>
        </w:rPr>
        <w:instrText xml:space="preserve"> ADDIN ZOTERO_ITEM CSL_CITATION {"citationID":"5xBkEfpq","properties":{"formattedCitation":"(2)","plainCitation":"(2)","noteIndex":0},"citationItems":[{"id":762,"uris":["http://zotero.org/users/4954704/items/SPVAA27U"],"itemData":{"id":762,"type":"article-journal","container-title":"Blood","DOI":"10.1182/blood-2008-05-155846","ISSN":"0006-4971","issue":"10","journalAbbreviation":"Blood","note":"publisher: American Society of Hematology","page":"3959-3964","title":"Mechanisms and pathologic significances in increase in serum interleukin-6 (IL-6) and soluble IL-6 receptor after administration of an anti–IL-6 receptor antibody, tocilizumab, in patients with rheumatoid arthritis and Castleman disease","volume":"112","author":[{"family":"Nishimoto","given":"Norihiro"},{"family":"Terao","given":"Kimio"},{"family":"Mima","given":"Toru"},{"family":"Nakahara","given":"Hideko"},{"family":"Takagi","given":"Nobuhiro"},{"family":"Kakehi","given":"Takahiro"}],"issued":{"date-parts":[["2008",11]]}}}],"schema":"https://github.com/citation-style-language/schema/raw/master/csl-citation.json"} </w:instrText>
      </w:r>
      <w:r w:rsidR="00B75EB9" w:rsidRPr="00660A41">
        <w:rPr>
          <w:rFonts w:ascii="Times" w:hAnsi="Times"/>
          <w:lang w:val="en-US"/>
        </w:rPr>
        <w:fldChar w:fldCharType="separate"/>
      </w:r>
      <w:r w:rsidR="00F0103B">
        <w:rPr>
          <w:rFonts w:ascii="Times" w:hAnsi="Times"/>
          <w:noProof/>
          <w:lang w:val="en-US"/>
        </w:rPr>
        <w:t>(2)</w:t>
      </w:r>
      <w:r w:rsidR="00B75EB9" w:rsidRPr="00660A41">
        <w:rPr>
          <w:rFonts w:ascii="Times" w:hAnsi="Times"/>
          <w:lang w:val="en-US"/>
        </w:rPr>
        <w:fldChar w:fldCharType="end"/>
      </w:r>
      <w:r w:rsidR="009C74E3" w:rsidRPr="00660A41">
        <w:rPr>
          <w:rFonts w:ascii="Times" w:hAnsi="Times"/>
          <w:lang w:val="en-US"/>
        </w:rPr>
        <w:t>.</w:t>
      </w:r>
      <w:r w:rsidR="00B75EB9" w:rsidRPr="00660A41">
        <w:rPr>
          <w:rFonts w:ascii="Times" w:hAnsi="Times"/>
          <w:lang w:val="en-US"/>
        </w:rPr>
        <w:t xml:space="preserve"> </w:t>
      </w:r>
      <w:r w:rsidR="003F0AEF" w:rsidRPr="00660A41">
        <w:rPr>
          <w:rFonts w:ascii="Times" w:hAnsi="Times"/>
          <w:lang w:val="en-US"/>
        </w:rPr>
        <w:t>Following treatment with an anti-IL-6R, the concentration of sIL-6R rapidly increases within two weeks</w:t>
      </w:r>
      <w:r w:rsidR="009C74E3" w:rsidRPr="00F52B07">
        <w:rPr>
          <w:rFonts w:ascii="Times" w:hAnsi="Times"/>
          <w:lang w:val="en-US"/>
        </w:rPr>
        <w:t xml:space="preserve"> </w:t>
      </w:r>
      <w:r w:rsidR="003F0AEF" w:rsidRPr="00660A41">
        <w:rPr>
          <w:rFonts w:ascii="Times" w:hAnsi="Times"/>
          <w:lang w:val="en-US"/>
        </w:rPr>
        <w:t>and reaches</w:t>
      </w:r>
      <w:r w:rsidR="00633B7E">
        <w:rPr>
          <w:rFonts w:ascii="Times" w:hAnsi="Times"/>
          <w:lang w:val="en-US"/>
        </w:rPr>
        <w:t xml:space="preserve"> </w:t>
      </w:r>
      <w:r w:rsidR="00562FE0">
        <w:rPr>
          <w:rFonts w:ascii="Times" w:hAnsi="Times"/>
          <w:lang w:val="en-US"/>
        </w:rPr>
        <w:t xml:space="preserve">steady-state </w:t>
      </w:r>
      <w:r w:rsidR="003F0AEF" w:rsidRPr="00660A41">
        <w:rPr>
          <w:rFonts w:ascii="Times" w:hAnsi="Times"/>
          <w:lang w:val="en-US"/>
        </w:rPr>
        <w:t>after 12</w:t>
      </w:r>
      <w:r w:rsidR="00682599">
        <w:rPr>
          <w:rFonts w:ascii="Times" w:hAnsi="Times"/>
          <w:lang w:val="en-US"/>
        </w:rPr>
        <w:t>-16</w:t>
      </w:r>
      <w:r w:rsidR="003F0AEF" w:rsidRPr="00660A41">
        <w:rPr>
          <w:rFonts w:ascii="Times" w:hAnsi="Times"/>
          <w:lang w:val="en-US"/>
        </w:rPr>
        <w:t xml:space="preserve"> weeks </w:t>
      </w:r>
      <w:r w:rsidR="00B75EB9" w:rsidRPr="00F52B07">
        <w:rPr>
          <w:rFonts w:ascii="Times" w:hAnsi="Times"/>
          <w:lang w:val="en-US"/>
        </w:rPr>
        <w:fldChar w:fldCharType="begin"/>
      </w:r>
      <w:r w:rsidR="00F0103B">
        <w:rPr>
          <w:rFonts w:ascii="Times" w:hAnsi="Times"/>
          <w:lang w:val="en-US"/>
        </w:rPr>
        <w:instrText xml:space="preserve"> ADDIN ZOTERO_ITEM CSL_CITATION {"citationID":"Uo0UvWNg","properties":{"formattedCitation":"(3,8,9)","plainCitation":"(3,8,9)","noteIndex":0},"citationItems":[{"id":1332,"uris":["http://zotero.org/users/4954704/items/VVWL9TYC"],"itemData":{"id":1332,"type":"webpage","title":"Clinical Pharmacology and Biopharmaceutics Review(s). Application Number: 125276","URL":"https://www.accessdata.fda.gov/drugsatfda_docs/nda/2010/125276s000ClinPharmR.pdf","author":[{"family":"Food and Drug Administration (FDA)","given":""}],"accessed":{"date-parts":[["2020",11,9]]}}},{"id":766,"uris":["http://zotero.org/users/4954704/items/VPMZM6AN"],"itemData":{"id":766,"type":"article-journal","container-title":"The Journal of Clinical Pharmacology","DOI":"10.1002/jcph.826","ISSN":"0091-2700","issue":"4","journalAbbreviation":"The Journal of Clinical Pharmacology","note":"publisher: Wiley","page":"459-468","title":"Pharmacokinetic and Pharmacodynamic Analysis of Subcutaneous Tocilizumab in Patients With Rheumatoid Arthritis From 2 Randomized, Controlled Trials: SUMMACTA and BREVACTA","volume":"57","author":[{"family":"Abdallah","given":"Hisham"},{"family":"Hsu","given":"Joy C."},{"family":"Lu","given":"Peng"},{"family":"Fettner","given":"Scott"},{"family":"Zhang","given":"Xiaoping"},{"family":"Douglass","given":"Wendy"},{"family":"Bao","given":"Min"},{"family":"Rowell","given":"Lucy"},{"family":"Burmester","given":"Gerd R."},{"family":"Kivitz","given":"Alan"}],"issued":{"date-parts":[["2017",4]]}}},{"id":1333,"uris":["http://zotero.org/users/4954704/items/XFEDHIM7"],"itemData":{"id":1333,"type":"webpage","title":"Clinical Pharmacology and Biopharmaceuticals Review(s). Application Number: 761037Orig1s000","URL":"https://www.accessdata.fda.gov/drugsatfda_docs/nda/2017/761037Orig1s000ClinPharmR.pdf","author":[{"family":"Food and Drug Administration (FDA)","given":""}],"accessed":{"date-parts":[["2020",11,10]]}}}],"schema":"https://github.com/citation-style-language/schema/raw/master/csl-citation.json"} </w:instrText>
      </w:r>
      <w:r w:rsidR="00B75EB9" w:rsidRPr="00F52B07">
        <w:rPr>
          <w:rFonts w:ascii="Times" w:hAnsi="Times"/>
          <w:lang w:val="en-US"/>
        </w:rPr>
        <w:fldChar w:fldCharType="separate"/>
      </w:r>
      <w:r w:rsidR="00F0103B">
        <w:rPr>
          <w:rFonts w:ascii="Times" w:hAnsi="Times"/>
          <w:lang w:val="en-US"/>
        </w:rPr>
        <w:t>(3,8,9)</w:t>
      </w:r>
      <w:r w:rsidR="00B75EB9" w:rsidRPr="00F52B07">
        <w:rPr>
          <w:rFonts w:ascii="Times" w:hAnsi="Times"/>
          <w:lang w:val="en-US"/>
        </w:rPr>
        <w:fldChar w:fldCharType="end"/>
      </w:r>
      <w:r w:rsidR="003F0AEF" w:rsidRPr="00DD0DB5">
        <w:rPr>
          <w:rFonts w:ascii="Times" w:hAnsi="Times"/>
          <w:lang w:val="en-US"/>
        </w:rPr>
        <w:t xml:space="preserve">. </w:t>
      </w:r>
      <w:r w:rsidR="00562FE0">
        <w:rPr>
          <w:rFonts w:ascii="Times" w:hAnsi="Times"/>
          <w:lang w:val="en-US"/>
        </w:rPr>
        <w:t>Accordingly</w:t>
      </w:r>
      <w:r w:rsidR="0039582D">
        <w:rPr>
          <w:rFonts w:ascii="Times" w:hAnsi="Times"/>
          <w:lang w:val="en-US"/>
        </w:rPr>
        <w:t xml:space="preserve">, </w:t>
      </w:r>
      <w:r w:rsidR="00BE42C2">
        <w:rPr>
          <w:rFonts w:ascii="Times" w:hAnsi="Times"/>
          <w:lang w:val="en-US"/>
        </w:rPr>
        <w:t xml:space="preserve">a significant reduction in </w:t>
      </w:r>
      <w:r w:rsidR="0061122D">
        <w:rPr>
          <w:rFonts w:ascii="Times" w:hAnsi="Times"/>
          <w:lang w:val="en-US"/>
        </w:rPr>
        <w:t xml:space="preserve">CRP is observed </w:t>
      </w:r>
      <w:r w:rsidR="0038201D">
        <w:rPr>
          <w:rFonts w:ascii="Times" w:hAnsi="Times"/>
          <w:lang w:val="en-US"/>
        </w:rPr>
        <w:t>within</w:t>
      </w:r>
      <w:r w:rsidR="0061122D">
        <w:rPr>
          <w:rFonts w:ascii="Times" w:hAnsi="Times"/>
          <w:lang w:val="en-US"/>
        </w:rPr>
        <w:t xml:space="preserve"> two weeks of the first anti-IL-6R dose</w:t>
      </w:r>
      <w:r w:rsidR="00C615E5">
        <w:rPr>
          <w:lang w:val="en-US"/>
        </w:rPr>
        <w:t xml:space="preserve"> </w:t>
      </w:r>
      <w:r w:rsidR="006570C5">
        <w:rPr>
          <w:rFonts w:ascii="Times" w:hAnsi="Times"/>
          <w:lang w:val="en-US"/>
        </w:rPr>
        <w:fldChar w:fldCharType="begin"/>
      </w:r>
      <w:r w:rsidR="00F0103B">
        <w:rPr>
          <w:rFonts w:ascii="Times" w:hAnsi="Times"/>
          <w:lang w:val="en-US"/>
        </w:rPr>
        <w:instrText xml:space="preserve"> ADDIN ZOTERO_ITEM CSL_CITATION {"citationID":"PUfHxJiH","properties":{"formattedCitation":"(3,8,9)","plainCitation":"(3,8,9)","noteIndex":0},"citationItems":[{"id":1332,"uris":["http://zotero.org/users/4954704/items/VVWL9TYC"],"itemData":{"id":1332,"type":"webpage","title":"Clinical Pharmacology and Biopharmaceutics Review(s). Application Number: 125276","URL":"https://www.accessdata.fda.gov/drugsatfda_docs/nda/2010/125276s000ClinPharmR.pdf","author":[{"family":"Food and Drug Administration (FDA)","given":""}],"accessed":{"date-parts":[["2020",11,9]]}}},{"id":766,"uris":["http://zotero.org/users/4954704/items/VPMZM6AN"],"itemData":{"id":766,"type":"article-journal","container-title":"The Journal of Clinical Pharmacology","DOI":"10.1002/jcph.826","ISSN":"0091-2700","issue":"4","journalAbbreviation":"The Journal of Clinical Pharmacology","note":"publisher: Wiley","page":"459-468","title":"Pharmacokinetic and Pharmacodynamic Analysis of Subcutaneous Tocilizumab in Patients With Rheumatoid Arthritis From 2 Randomized, Controlled Trials: SUMMACTA and BREVACTA","volume":"57","author":[{"family":"Abdallah","given":"Hisham"},{"family":"Hsu","given":"Joy C."},{"family":"Lu","given":"Peng"},{"family":"Fettner","given":"Scott"},{"family":"Zhang","given":"Xiaoping"},{"family":"Douglass","given":"Wendy"},{"family":"Bao","given":"Min"},{"family":"Rowell","given":"Lucy"},{"family":"Burmester","given":"Gerd R."},{"family":"Kivitz","given":"Alan"}],"issued":{"date-parts":[["2017",4]]}}},{"id":1333,"uris":["http://zotero.org/users/4954704/items/XFEDHIM7"],"itemData":{"id":1333,"type":"webpage","title":"Clinical Pharmacology and Biopharmaceuticals Review(s). Application Number: 761037Orig1s000","URL":"https://www.accessdata.fda.gov/drugsatfda_docs/nda/2017/761037Orig1s000ClinPharmR.pdf","author":[{"family":"Food and Drug Administration (FDA)","given":""}],"accessed":{"date-parts":[["2020",11,10]]}}}],"schema":"https://github.com/citation-style-language/schema/raw/master/csl-citation.json"} </w:instrText>
      </w:r>
      <w:r w:rsidR="006570C5">
        <w:rPr>
          <w:rFonts w:ascii="Times" w:hAnsi="Times"/>
          <w:lang w:val="en-US"/>
        </w:rPr>
        <w:fldChar w:fldCharType="separate"/>
      </w:r>
      <w:r w:rsidR="00F0103B">
        <w:rPr>
          <w:rFonts w:ascii="Times" w:hAnsi="Times"/>
          <w:lang w:val="en-US"/>
        </w:rPr>
        <w:t>(3,8,9)</w:t>
      </w:r>
      <w:r w:rsidR="006570C5">
        <w:rPr>
          <w:rFonts w:ascii="Times" w:hAnsi="Times"/>
          <w:lang w:val="en-US"/>
        </w:rPr>
        <w:fldChar w:fldCharType="end"/>
      </w:r>
      <w:r w:rsidR="006570C5">
        <w:rPr>
          <w:rFonts w:ascii="Times" w:hAnsi="Times"/>
          <w:lang w:val="en-US"/>
        </w:rPr>
        <w:t>.</w:t>
      </w:r>
    </w:p>
    <w:p w14:paraId="7EDC5AA7" w14:textId="47961B7C" w:rsidR="00142F66" w:rsidRDefault="00142F66" w:rsidP="009A2F16">
      <w:pPr>
        <w:autoSpaceDE w:val="0"/>
        <w:autoSpaceDN w:val="0"/>
        <w:adjustRightInd w:val="0"/>
        <w:spacing w:line="360" w:lineRule="auto"/>
        <w:jc w:val="both"/>
        <w:rPr>
          <w:lang w:val="en-US"/>
        </w:rPr>
      </w:pPr>
    </w:p>
    <w:p w14:paraId="2A2DE076" w14:textId="2445703D" w:rsidR="00A94F3C" w:rsidRDefault="00E353F4" w:rsidP="009A2F16">
      <w:pPr>
        <w:autoSpaceDE w:val="0"/>
        <w:autoSpaceDN w:val="0"/>
        <w:adjustRightInd w:val="0"/>
        <w:spacing w:line="360" w:lineRule="auto"/>
        <w:jc w:val="both"/>
        <w:rPr>
          <w:lang w:val="en-US"/>
        </w:rPr>
      </w:pPr>
      <w:r w:rsidRPr="4AFDAE6C">
        <w:rPr>
          <w:lang w:val="en-US"/>
        </w:rPr>
        <w:t xml:space="preserve">High concentrations of IL-6 </w:t>
      </w:r>
      <w:r w:rsidR="00A51F4F" w:rsidRPr="4AFDAE6C">
        <w:rPr>
          <w:lang w:val="en-US"/>
        </w:rPr>
        <w:t>suppress</w:t>
      </w:r>
      <w:r w:rsidRPr="4AFDAE6C">
        <w:rPr>
          <w:lang w:val="en-US"/>
        </w:rPr>
        <w:t xml:space="preserve"> </w:t>
      </w:r>
      <w:r w:rsidR="00A51F4F" w:rsidRPr="4AFDAE6C">
        <w:rPr>
          <w:lang w:val="en-US"/>
        </w:rPr>
        <w:t xml:space="preserve">the </w:t>
      </w:r>
      <w:r w:rsidRPr="4AFDAE6C">
        <w:rPr>
          <w:lang w:val="en-US"/>
        </w:rPr>
        <w:t xml:space="preserve">expression of </w:t>
      </w:r>
      <w:r w:rsidR="00A51F4F" w:rsidRPr="4AFDAE6C">
        <w:rPr>
          <w:lang w:val="en-US"/>
        </w:rPr>
        <w:t>drug-metabolizing</w:t>
      </w:r>
      <w:r w:rsidRPr="4AFDAE6C">
        <w:rPr>
          <w:lang w:val="en-US"/>
        </w:rPr>
        <w:t xml:space="preserve"> enzymes </w:t>
      </w:r>
      <w:r w:rsidRPr="4AFDAE6C">
        <w:rPr>
          <w:lang w:val="en-US"/>
        </w:rPr>
        <w:fldChar w:fldCharType="begin"/>
      </w:r>
      <w:r w:rsidRPr="4AFDAE6C">
        <w:rPr>
          <w:lang w:val="en-US"/>
        </w:rPr>
        <w:instrText xml:space="preserve"> ADDIN ZOTERO_ITEM CSL_CITATION {"citationID":"hispJ84B","properties":{"formattedCitation":"(5)","plainCitation":"(5)","noteIndex":0},"citationItems":[{"id":1024,"uris":["http://zotero.org/users/4954704/items/NWVBFWKS"],"itemData":{"id":1024,"type":"article-journal","container-title":"Clinical Pharmacology &amp; Therapeutics","DOI":"10.1002/cpt.2432","ISSN":"0009-9236, 1532-6535","issue":"2","journalAbbreviation":"Clin Pharmacol Ther","language":"en","page":"277-290","source":"DOI.org (Crossref)","title":"Clinical and Molecular Perspectives on Inflammation‐Mediated Regulation of Drug Metabolism and Transport","volume":"112","author":[{"family":"Dunvald","given":"Ann‐Cathrine Dalgård"},{"family":"Järvinen","given":"Erkka"},{"family":"Mortensen","given":"Christina"},{"family":"Stage","given":"Tore B."}],"issued":{"date-parts":[["2022",8]]}}}],"schema":"https://github.com/citation-style-language/schema/raw/master/csl-citation.json"} </w:instrText>
      </w:r>
      <w:r w:rsidRPr="4AFDAE6C">
        <w:rPr>
          <w:lang w:val="en-US"/>
        </w:rPr>
        <w:fldChar w:fldCharType="separate"/>
      </w:r>
      <w:r w:rsidR="001578D7" w:rsidRPr="4AFDAE6C">
        <w:rPr>
          <w:noProof/>
          <w:lang w:val="en-US"/>
        </w:rPr>
        <w:t>(5)</w:t>
      </w:r>
      <w:r w:rsidRPr="4AFDAE6C">
        <w:rPr>
          <w:lang w:val="en-US"/>
        </w:rPr>
        <w:fldChar w:fldCharType="end"/>
      </w:r>
      <w:r w:rsidRPr="4AFDAE6C">
        <w:rPr>
          <w:lang w:val="en-US"/>
        </w:rPr>
        <w:t xml:space="preserve">. </w:t>
      </w:r>
      <w:r w:rsidR="008A3972" w:rsidRPr="4AFDAE6C">
        <w:rPr>
          <w:lang w:val="en-US"/>
        </w:rPr>
        <w:t>A</w:t>
      </w:r>
      <w:r w:rsidR="00175963" w:rsidRPr="4AFDAE6C">
        <w:rPr>
          <w:lang w:val="en-US"/>
        </w:rPr>
        <w:t xml:space="preserve">nti-IL-6R </w:t>
      </w:r>
      <w:r w:rsidR="007A326F" w:rsidRPr="4AFDAE6C">
        <w:rPr>
          <w:lang w:val="en-US"/>
        </w:rPr>
        <w:t>potentially reverses</w:t>
      </w:r>
      <w:r w:rsidR="00F02B23" w:rsidRPr="4AFDAE6C">
        <w:rPr>
          <w:lang w:val="en-US"/>
        </w:rPr>
        <w:t xml:space="preserve"> </w:t>
      </w:r>
      <w:r w:rsidR="00FD6718" w:rsidRPr="4AFDAE6C">
        <w:rPr>
          <w:lang w:val="en-US"/>
        </w:rPr>
        <w:t xml:space="preserve">this </w:t>
      </w:r>
      <w:r w:rsidR="00F02B23" w:rsidRPr="4AFDAE6C">
        <w:rPr>
          <w:lang w:val="en-US"/>
        </w:rPr>
        <w:t>suppression</w:t>
      </w:r>
      <w:r w:rsidR="009B0DD7" w:rsidRPr="4AFDAE6C">
        <w:rPr>
          <w:lang w:val="en-US"/>
        </w:rPr>
        <w:t xml:space="preserve">, causing </w:t>
      </w:r>
      <w:r w:rsidRPr="4AFDAE6C">
        <w:rPr>
          <w:lang w:val="en-US"/>
        </w:rPr>
        <w:t>upregulation of CYP enzymes</w:t>
      </w:r>
      <w:r w:rsidR="00437E9E">
        <w:rPr>
          <w:lang w:val="en-US"/>
        </w:rPr>
        <w:t xml:space="preserve"> and</w:t>
      </w:r>
      <w:r w:rsidR="001A3D90">
        <w:rPr>
          <w:lang w:val="en-US"/>
        </w:rPr>
        <w:t xml:space="preserve"> possibly leading</w:t>
      </w:r>
      <w:r w:rsidRPr="4AFDAE6C">
        <w:rPr>
          <w:lang w:val="en-US"/>
        </w:rPr>
        <w:t xml:space="preserve"> to drug-disease-drug interactions with other drugs</w:t>
      </w:r>
      <w:r w:rsidR="00030B97" w:rsidRPr="4AFDAE6C">
        <w:rPr>
          <w:lang w:val="en-US"/>
        </w:rPr>
        <w:t xml:space="preserve"> of potential clinical imp</w:t>
      </w:r>
      <w:r w:rsidR="00D02838" w:rsidRPr="4AFDAE6C">
        <w:rPr>
          <w:lang w:val="en-US"/>
        </w:rPr>
        <w:t xml:space="preserve">ortance </w:t>
      </w:r>
      <w:r w:rsidRPr="4AFDAE6C">
        <w:rPr>
          <w:lang w:val="en-US"/>
        </w:rPr>
        <w:fldChar w:fldCharType="begin"/>
      </w:r>
      <w:r w:rsidRPr="4AFDAE6C">
        <w:rPr>
          <w:lang w:val="en-US"/>
        </w:rPr>
        <w:instrText xml:space="preserve"> ADDIN ZOTERO_ITEM CSL_CITATION {"citationID":"Zxi96eVi","properties":{"formattedCitation":"(10)","plainCitation":"(10)","noteIndex":0},"citationItems":[{"id":390,"uris":["http://zotero.org/users/4954704/items/FLND32S2"],"itemData":{"id":390,"type":"article-journal","container-title":"European Journal of Clinical Pharmacology","DOI":"10.1007/s00228-016-2107-0","ISSN":"0031-6970, 1432-1041","issue":"11","journalAbbreviation":"Eur J Clin Pharmacol","language":"en","page":"1413-1414","source":"DOI.org (Crossref)","title":"Tocilizumab and mesenteric arterial thrombosis: drug-drug interaction with anticoagulants metabolized by CYP 450 and/or by P-glycoprotein","title-short":"Tocilizumab and mesenteric arterial thrombosis","volume":"72","author":[{"family":"Clarivet","given":"B."},{"family":"Robin","given":"P."},{"family":"Pers","given":"Y. M."},{"family":"Ferreira","given":"R."},{"family":"Lebrun","given":"J."},{"family":"Jorgensen","given":"C."},{"family":"Hillaire-Buys","given":"D."},{"family":"Brés","given":"V."},{"family":"Faillie","given":"J. L."}],"issued":{"date-parts":[["2016",11]]}}}],"schema":"https://github.com/citation-style-language/schema/raw/master/csl-citation.json"} </w:instrText>
      </w:r>
      <w:r w:rsidRPr="4AFDAE6C">
        <w:rPr>
          <w:lang w:val="en-US"/>
        </w:rPr>
        <w:fldChar w:fldCharType="separate"/>
      </w:r>
      <w:r w:rsidR="001578D7" w:rsidRPr="4AFDAE6C">
        <w:rPr>
          <w:noProof/>
          <w:lang w:val="en-US"/>
        </w:rPr>
        <w:t>(10)</w:t>
      </w:r>
      <w:r w:rsidRPr="4AFDAE6C">
        <w:rPr>
          <w:lang w:val="en-US"/>
        </w:rPr>
        <w:fldChar w:fldCharType="end"/>
      </w:r>
      <w:r w:rsidR="00775959" w:rsidRPr="4AFDAE6C">
        <w:rPr>
          <w:lang w:val="en-US"/>
        </w:rPr>
        <w:t xml:space="preserve">. </w:t>
      </w:r>
      <w:r w:rsidR="006C3776" w:rsidRPr="4AFDAE6C">
        <w:rPr>
          <w:i/>
          <w:iCs/>
          <w:lang w:val="en-US"/>
        </w:rPr>
        <w:t>In vitro</w:t>
      </w:r>
      <w:r w:rsidR="006C3776" w:rsidRPr="4AFDAE6C">
        <w:rPr>
          <w:lang w:val="en-US"/>
        </w:rPr>
        <w:t xml:space="preserve">, </w:t>
      </w:r>
      <w:r w:rsidR="00C57699" w:rsidRPr="4AFDAE6C">
        <w:rPr>
          <w:lang w:val="en-US"/>
        </w:rPr>
        <w:t>a</w:t>
      </w:r>
      <w:r w:rsidR="00545138" w:rsidRPr="4AFDAE6C">
        <w:rPr>
          <w:lang w:val="en-US"/>
        </w:rPr>
        <w:t>nti-IL-6R</w:t>
      </w:r>
      <w:r w:rsidR="000063FE" w:rsidRPr="4AFDAE6C">
        <w:rPr>
          <w:lang w:val="en-US"/>
        </w:rPr>
        <w:t xml:space="preserve"> </w:t>
      </w:r>
      <w:r w:rsidR="003E79D9" w:rsidRPr="4AFDAE6C">
        <w:rPr>
          <w:lang w:val="en-US"/>
        </w:rPr>
        <w:t>is</w:t>
      </w:r>
      <w:r w:rsidR="00224697" w:rsidRPr="4AFDAE6C">
        <w:rPr>
          <w:lang w:val="en-US"/>
        </w:rPr>
        <w:t xml:space="preserve"> reported </w:t>
      </w:r>
      <w:r w:rsidR="00153EF7" w:rsidRPr="4AFDAE6C">
        <w:rPr>
          <w:lang w:val="en-US"/>
        </w:rPr>
        <w:t xml:space="preserve">to </w:t>
      </w:r>
      <w:r w:rsidR="00AC63C6" w:rsidRPr="4AFDAE6C">
        <w:rPr>
          <w:lang w:val="en-US"/>
        </w:rPr>
        <w:t>normalize</w:t>
      </w:r>
      <w:r w:rsidR="00153EF7" w:rsidRPr="4AFDAE6C">
        <w:rPr>
          <w:lang w:val="en-US"/>
        </w:rPr>
        <w:t xml:space="preserve"> the</w:t>
      </w:r>
      <w:r w:rsidR="00692981" w:rsidRPr="4AFDAE6C">
        <w:rPr>
          <w:lang w:val="en-US"/>
        </w:rPr>
        <w:t xml:space="preserve"> otherwise</w:t>
      </w:r>
      <w:r w:rsidR="00153EF7" w:rsidRPr="4AFDAE6C">
        <w:rPr>
          <w:lang w:val="en-US"/>
        </w:rPr>
        <w:t xml:space="preserve"> </w:t>
      </w:r>
      <w:r w:rsidR="00C57699" w:rsidRPr="4AFDAE6C">
        <w:rPr>
          <w:lang w:val="en-US"/>
        </w:rPr>
        <w:t>IL-6</w:t>
      </w:r>
      <w:r w:rsidR="1C323F18" w:rsidRPr="4AFDAE6C">
        <w:rPr>
          <w:lang w:val="en-US"/>
        </w:rPr>
        <w:t>-</w:t>
      </w:r>
      <w:r w:rsidR="00C57699" w:rsidRPr="4AFDAE6C">
        <w:rPr>
          <w:lang w:val="en-US"/>
        </w:rPr>
        <w:t xml:space="preserve">suppressed </w:t>
      </w:r>
      <w:r w:rsidR="00153EF7" w:rsidRPr="4AFDAE6C">
        <w:rPr>
          <w:lang w:val="en-US"/>
        </w:rPr>
        <w:t xml:space="preserve">expression of </w:t>
      </w:r>
      <w:r w:rsidR="000063FE" w:rsidRPr="4AFDAE6C">
        <w:rPr>
          <w:lang w:val="en-US"/>
        </w:rPr>
        <w:t>CYP1A2, CYP2C9, CYP2C19, and CYP3A4</w:t>
      </w:r>
      <w:r w:rsidR="00E27D38" w:rsidRPr="4AFDAE6C">
        <w:rPr>
          <w:lang w:val="en-US"/>
        </w:rPr>
        <w:t xml:space="preserve"> </w:t>
      </w:r>
      <w:r w:rsidRPr="4AFDAE6C">
        <w:rPr>
          <w:lang w:val="en-US"/>
        </w:rPr>
        <w:fldChar w:fldCharType="begin"/>
      </w:r>
      <w:r w:rsidRPr="4AFDAE6C">
        <w:rPr>
          <w:lang w:val="en-US"/>
        </w:rPr>
        <w:instrText xml:space="preserve"> ADDIN ZOTERO_ITEM CSL_CITATION {"citationID":"CI8YmpKZ","properties":{"formattedCitation":"(6,7,11)","plainCitation":"(6,7,11)","noteIndex":0},"citationItems":[{"id":1330,"uris":["http://zotero.org/users/4954704/items/PWCDEYDU"],"itemData":{"id":1330,"type":"webpage","title":"RoActemra Summary of Product Characteristics","URL":"https://www.ema.europa.eu/en/documents/product-information/roactemra-epar-product-information_en.pdf","author":[{"family":"European Medicines Agency (EMA)","given":""}],"accessed":{"date-parts":[["2020",7,31]]}}},{"id":1078,"uris":["http://zotero.org/users/4954704/items/DU53IJBT"],"itemData":{"id":1078,"type":"webpage","title":"Kevzara Summary of Product Characteristics","URL":"https://www.ema.europa.eu/en/documents/product-information/kevzara-epar-product-information_en.pdf","author":[{"family":"European Medicines Agency (EMA)","given":""}],"accessed":{"date-parts":[["2020",8,17]]}}},{"id":394,"uris":["http://zotero.org/users/4954704/items/Z8JI2CRN"],"itemData":{"id":394,"type":"article-journal","abstract":"The expression of hepatic cytochrome P450 (CYP) enzymes is altered under pathological conditions with increased levels of cytokines. In this study, we analyzed the effects of cytokines (interleukin [IL]-1b, IL-6 and tumor necrosis factor a) on the expression of CYP3A4 using newly introduced three-dimensionally cultured human hepatocarcinoma FLC-4 cells. The mRNA level of CYP3A4 was signiﬁcantly decreased by IL-1b, IL-6 and tumor necrosis factor-a. Formation of a-hydroxytriazolam catalyzed by CYP3A was decreased by IL-1b and IL-6. Pre-treatment with IL-6 enhanced the cytotoxic effects of geﬁtinib and paclitaxel. In addition, tocilizumab and IL-1 receptor antagonist restored the decreased expression of CYP3A4 mRNA by IL-6 and IL-1b, respectively. These results obtained by using three-dimensionally cultured FLC-4 cells are consistent with results obtained by using primary human hepatocytes and results of clinical studies. Therefore, three-dimensionally cultured FLC-4 cell system may be a promising cellular tool to assess the effects of cytokines on CYP3A4 expression.","container-title":"Drug Metabolism and Pharmacokinetics","DOI":"10.1016/j.dmpk.2014.09.004","ISSN":"13474367","issue":"1","journalAbbreviation":"Drug Metabolism and Pharmacokinetics","language":"en","page":"105-110","source":"DOI.org (Crossref)","title":"Effects of cytokines on CYP3A4 expression and reversal of the effects by anti-cytokine agents in the three-dimensionally cultured human hepatoma cell line FLC-4","volume":"30","author":[{"family":"Mimura","given":"Hanaka"},{"family":"Kobayashi","given":"Kaoru"},{"family":"Xu","given":"Linxiaoqing"},{"family":"Hashimoto","given":"Mari"},{"family":"Ejiri","given":"Yoko"},{"family":"Hosoda","given":"Masaya"},{"family":"Chiba","given":"Kan"}],"issued":{"date-parts":[["2015",2]]}}}],"schema":"https://github.com/citation-style-language/schema/raw/master/csl-citation.json"} </w:instrText>
      </w:r>
      <w:r w:rsidRPr="4AFDAE6C">
        <w:rPr>
          <w:lang w:val="en-US"/>
        </w:rPr>
        <w:fldChar w:fldCharType="separate"/>
      </w:r>
      <w:r w:rsidR="001578D7" w:rsidRPr="4AFDAE6C">
        <w:rPr>
          <w:noProof/>
          <w:lang w:val="en-US"/>
        </w:rPr>
        <w:t>(6,7,11)</w:t>
      </w:r>
      <w:r w:rsidRPr="4AFDAE6C">
        <w:rPr>
          <w:lang w:val="en-US"/>
        </w:rPr>
        <w:fldChar w:fldCharType="end"/>
      </w:r>
      <w:r w:rsidR="000063FE" w:rsidRPr="4AFDAE6C">
        <w:rPr>
          <w:lang w:val="en-US"/>
        </w:rPr>
        <w:t xml:space="preserve">. </w:t>
      </w:r>
      <w:r w:rsidR="00153EF7" w:rsidRPr="4AFDAE6C">
        <w:rPr>
          <w:lang w:val="en-US"/>
        </w:rPr>
        <w:t>C</w:t>
      </w:r>
      <w:r w:rsidR="00487210" w:rsidRPr="4AFDAE6C">
        <w:rPr>
          <w:lang w:val="en-US"/>
        </w:rPr>
        <w:t xml:space="preserve">linical studies have shown a </w:t>
      </w:r>
      <w:r w:rsidR="00BD58D4" w:rsidRPr="4AFDAE6C">
        <w:rPr>
          <w:lang w:val="en-US"/>
        </w:rPr>
        <w:t>&gt;50</w:t>
      </w:r>
      <w:r w:rsidR="00487210" w:rsidRPr="4AFDAE6C">
        <w:rPr>
          <w:lang w:val="en-US"/>
        </w:rPr>
        <w:t>%</w:t>
      </w:r>
      <w:r w:rsidR="00BF634E" w:rsidRPr="4AFDAE6C">
        <w:rPr>
          <w:lang w:val="en-US"/>
        </w:rPr>
        <w:t xml:space="preserve"> lower simvastatin (CYP3A4 substrate) </w:t>
      </w:r>
      <w:r w:rsidR="000C35EB" w:rsidRPr="4AFDAE6C">
        <w:rPr>
          <w:lang w:val="en-US"/>
        </w:rPr>
        <w:t>exposure</w:t>
      </w:r>
      <w:r w:rsidR="00E6163C" w:rsidRPr="4AFDAE6C">
        <w:rPr>
          <w:lang w:val="en-US"/>
        </w:rPr>
        <w:t xml:space="preserve"> one week after a single</w:t>
      </w:r>
      <w:r w:rsidR="00BD58D4" w:rsidRPr="4AFDAE6C">
        <w:rPr>
          <w:lang w:val="en-US"/>
        </w:rPr>
        <w:t xml:space="preserve"> anti-IL-6R </w:t>
      </w:r>
      <w:r w:rsidR="00E6163C" w:rsidRPr="4AFDAE6C">
        <w:rPr>
          <w:lang w:val="en-US"/>
        </w:rPr>
        <w:t>dose</w:t>
      </w:r>
      <w:r w:rsidR="00153EF7" w:rsidRPr="4AFDAE6C">
        <w:rPr>
          <w:lang w:val="en-US"/>
        </w:rPr>
        <w:t xml:space="preserve"> in patients with rheumatoid arthritis</w:t>
      </w:r>
      <w:r w:rsidR="005A096D" w:rsidRPr="4AFDAE6C">
        <w:rPr>
          <w:lang w:val="en-US"/>
        </w:rPr>
        <w:t xml:space="preserve"> </w:t>
      </w:r>
      <w:r w:rsidRPr="4AFDAE6C">
        <w:rPr>
          <w:lang w:val="en-US"/>
        </w:rPr>
        <w:fldChar w:fldCharType="begin"/>
      </w:r>
      <w:r w:rsidRPr="4AFDAE6C">
        <w:rPr>
          <w:lang w:val="en-US"/>
        </w:rPr>
        <w:instrText xml:space="preserve"> ADDIN ZOTERO_ITEM CSL_CITATION {"citationID":"A0vSY3Rs","properties":{"formattedCitation":"(12,13)","plainCitation":"(12,13)","noteIndex":0},"citationItems":[{"id":8,"uris":["http://zotero.org/users/4954704/items/Z7HFABBX"],"itemData":{"id":8,"type":"article-journal","abstract":"In rheumatoid arthritis (RA), interleukin-6 (IL-6) concentration is elevated, which may cause reduced cytochrome P450 (CYP) activity and increased exposure (peak plasma concentration and area under the plasma concentration-vs.-time curve (AUC)) to certain drugs. Tocilizumab may reverse IL-6-induced suppression of CYP3A4 activity. In this study, exposure to simvastatin was significantly reduced at 1 and 5 weeks after tocilizumab infusion in 12 patients with RA. The mean effect ratio for simvastatin AUClast was 43% (90% confidence interval (CI), 34–55%) at 1 week after tocilizumab infusion (day 15) and 61% (90% CI, 47–78%) at 5 weeks after tocilizumab infusion, as compared with baseline (day 1); both ratios were significantly lower than the bioequivalence boundary (80–125%). Mean plasma C-reactive protein (CRP) levels normalized within 1 week after tocilizumab was initiated; the time course of tocilizumab's CRP-reducing effect paralleled that of simvastatin pharmacokinetics. The study findings suggest that caution should be exercised when starting tocilizumab in RA patients who are taking simvastatin. Clinical Pharmacology &amp; Therapeutics (2011) 89 5, 735–740. doi:10.1038/clpt.2011.35","container-title":"Clinical Pharmacology &amp; Therapeutics","DOI":"10.1038/clpt.2011.35","ISSN":"1532-6535","issue":"5","language":"en","page":"735-740","source":"Wiley Online Library","title":"Disease–Drug–Drug Interaction Involving Tocilizumab and Simvastatin in Patients With Rheumatoid Arthritis","volume":"89","author":[{"family":"Schmitt","given":"C."},{"family":"Kuhn","given":"B."},{"family":"Zhang","given":"X."},{"family":"Kivitz","given":"A. J."},{"family":"Grange","given":"S."}],"issued":{"date-parts":[["2011",5]]}}},{"id":351,"uris":["http://zotero.org/users/4954704/items/THXC8IEN"],"itemData":{"id":351,"type":"article-journal","abstract":"Introduction Elevated interleukin (IL)-6 occurs in patients with active rheumatoid arthritis (RA), which has been shown to lead to a decrease in cytochrome P450 (CYP) enzyme activity and alterations in drug concentrations metabolized by CYP. IL-6 signaling blockade by IL-6 receptor (IL-6R) antagonists may reverse this effect of IL-6 and restore CYP activity. This study evaluated the pharmacokinetic proﬁle of simvastatin (a CYP3A4 substrate) before and 1 week after a single dose of sarilumab (a human monoclonal antibody [mAb] blocking the IL-6Ra) in patients with RA, to assess potential interaction.","container-title":"Clinical Pharmacokinetics","DOI":"10.1007/s40262-016-0462-8","ISSN":"0312-5963, 1179-1926","issue":"6","journalAbbreviation":"Clin Pharmacokinet","language":"en","page":"607-615","source":"DOI.org (Crossref)","title":"Disease–Drug Interaction of Sarilumab and Simvastatin in Patients with Rheumatoid Arthritis","volume":"56","author":[{"family":"Lee","given":"Eun Bong"},{"family":"Daskalakis","given":"Nikki"},{"family":"Xu","given":"Christine"},{"family":"Paccaly","given":"Anne"},{"family":"Miller","given":"Barry"},{"family":"Fleischmann","given":"Roy"},{"family":"Bodrug","given":"Inga"},{"family":"Kivitz","given":"Alan"}],"issued":{"date-parts":[["2017",6]]}}}],"schema":"https://github.com/citation-style-language/schema/raw/master/csl-citation.json"} </w:instrText>
      </w:r>
      <w:r w:rsidRPr="4AFDAE6C">
        <w:rPr>
          <w:lang w:val="en-US"/>
        </w:rPr>
        <w:fldChar w:fldCharType="separate"/>
      </w:r>
      <w:r w:rsidR="001578D7" w:rsidRPr="4AFDAE6C">
        <w:rPr>
          <w:noProof/>
          <w:lang w:val="en-US"/>
        </w:rPr>
        <w:t>(12,13)</w:t>
      </w:r>
      <w:r w:rsidRPr="4AFDAE6C">
        <w:rPr>
          <w:lang w:val="en-US"/>
        </w:rPr>
        <w:fldChar w:fldCharType="end"/>
      </w:r>
      <w:r w:rsidR="004C3515">
        <w:rPr>
          <w:lang w:val="en-US"/>
        </w:rPr>
        <w:t>, indicating a</w:t>
      </w:r>
      <w:r w:rsidR="00C528E8">
        <w:rPr>
          <w:lang w:val="en-US"/>
        </w:rPr>
        <w:t xml:space="preserve"> normalization (</w:t>
      </w:r>
      <w:r w:rsidR="004C3515">
        <w:rPr>
          <w:lang w:val="en-US"/>
        </w:rPr>
        <w:t>increase</w:t>
      </w:r>
      <w:r w:rsidR="00C528E8">
        <w:rPr>
          <w:lang w:val="en-US"/>
        </w:rPr>
        <w:t>)</w:t>
      </w:r>
      <w:r w:rsidR="004C3515">
        <w:rPr>
          <w:lang w:val="en-US"/>
        </w:rPr>
        <w:t xml:space="preserve"> in CYP3A4 activity</w:t>
      </w:r>
      <w:r w:rsidR="00153EF7" w:rsidRPr="4AFDAE6C">
        <w:rPr>
          <w:lang w:val="en-US"/>
        </w:rPr>
        <w:t xml:space="preserve">. </w:t>
      </w:r>
      <w:r w:rsidR="009B0DD7" w:rsidRPr="4AFDAE6C">
        <w:rPr>
          <w:lang w:val="en-US"/>
        </w:rPr>
        <w:t xml:space="preserve">To date, no studies have assessed the </w:t>
      </w:r>
      <w:r w:rsidR="00CF08D1" w:rsidRPr="4AFDAE6C">
        <w:rPr>
          <w:lang w:val="en-US"/>
        </w:rPr>
        <w:t xml:space="preserve">interaction-potential </w:t>
      </w:r>
      <w:r w:rsidR="00A94F3C" w:rsidRPr="4AFDAE6C">
        <w:rPr>
          <w:lang w:val="en-US"/>
        </w:rPr>
        <w:t>following multiple doses of anti-IL-6R</w:t>
      </w:r>
      <w:r w:rsidR="00CA0906" w:rsidRPr="4AFDAE6C">
        <w:rPr>
          <w:lang w:val="en-US"/>
        </w:rPr>
        <w:t>,</w:t>
      </w:r>
      <w:r w:rsidR="00A94F3C" w:rsidRPr="4AFDAE6C">
        <w:rPr>
          <w:lang w:val="en-US"/>
        </w:rPr>
        <w:t xml:space="preserve"> thus reflecting </w:t>
      </w:r>
      <w:r w:rsidR="00CA0906" w:rsidRPr="4AFDAE6C">
        <w:rPr>
          <w:lang w:val="en-US"/>
        </w:rPr>
        <w:t xml:space="preserve">a realistic course of treatment. </w:t>
      </w:r>
      <w:r w:rsidR="00B557AA" w:rsidRPr="4AFDAE6C">
        <w:rPr>
          <w:lang w:val="en-US"/>
        </w:rPr>
        <w:t>We hypothesize</w:t>
      </w:r>
      <w:r w:rsidRPr="4AFDAE6C">
        <w:rPr>
          <w:lang w:val="en-US"/>
        </w:rPr>
        <w:t>d</w:t>
      </w:r>
      <w:r w:rsidR="00B557AA" w:rsidRPr="4AFDAE6C">
        <w:rPr>
          <w:lang w:val="en-US"/>
        </w:rPr>
        <w:t xml:space="preserve"> that </w:t>
      </w:r>
      <w:r w:rsidR="00A227C2" w:rsidRPr="4AFDAE6C">
        <w:rPr>
          <w:lang w:val="en-US"/>
        </w:rPr>
        <w:t xml:space="preserve">the impact on CYP enzymes </w:t>
      </w:r>
      <w:r w:rsidR="00A64F5D" w:rsidRPr="4AFDAE6C">
        <w:rPr>
          <w:lang w:val="en-US"/>
        </w:rPr>
        <w:t>by</w:t>
      </w:r>
      <w:r w:rsidR="00A227C2" w:rsidRPr="4AFDAE6C">
        <w:rPr>
          <w:lang w:val="en-US"/>
        </w:rPr>
        <w:t xml:space="preserve"> </w:t>
      </w:r>
      <w:r w:rsidR="00CA0906" w:rsidRPr="4AFDAE6C">
        <w:rPr>
          <w:lang w:val="en-US"/>
        </w:rPr>
        <w:t xml:space="preserve">anti-IL-6R </w:t>
      </w:r>
      <w:r w:rsidR="006A0827" w:rsidRPr="4AFDAE6C">
        <w:rPr>
          <w:lang w:val="en-US"/>
        </w:rPr>
        <w:t>be</w:t>
      </w:r>
      <w:r w:rsidR="007C3E53" w:rsidRPr="4AFDAE6C">
        <w:rPr>
          <w:lang w:val="en-US"/>
        </w:rPr>
        <w:t>comes</w:t>
      </w:r>
      <w:r w:rsidR="006A0827" w:rsidRPr="4AFDAE6C">
        <w:rPr>
          <w:lang w:val="en-US"/>
        </w:rPr>
        <w:t xml:space="preserve"> more pronounced </w:t>
      </w:r>
      <w:r w:rsidRPr="4AFDAE6C">
        <w:rPr>
          <w:lang w:val="en-US"/>
        </w:rPr>
        <w:t xml:space="preserve">at </w:t>
      </w:r>
      <w:r w:rsidR="007C3E53" w:rsidRPr="4AFDAE6C">
        <w:rPr>
          <w:lang w:val="en-US"/>
        </w:rPr>
        <w:t xml:space="preserve">the </w:t>
      </w:r>
      <w:r w:rsidR="00EA1979" w:rsidRPr="4AFDAE6C">
        <w:rPr>
          <w:lang w:val="en-US"/>
        </w:rPr>
        <w:t>steady state</w:t>
      </w:r>
      <w:r w:rsidRPr="4AFDAE6C">
        <w:rPr>
          <w:lang w:val="en-US"/>
        </w:rPr>
        <w:t xml:space="preserve"> of</w:t>
      </w:r>
      <w:r w:rsidR="008E47F0" w:rsidRPr="4AFDAE6C">
        <w:rPr>
          <w:lang w:val="en-US"/>
        </w:rPr>
        <w:t xml:space="preserve"> anti-IL-6R therapy. </w:t>
      </w:r>
    </w:p>
    <w:p w14:paraId="73C2D23C" w14:textId="2C9551BB" w:rsidR="00507A4A" w:rsidRDefault="00507A4A" w:rsidP="009A2F16">
      <w:pPr>
        <w:autoSpaceDE w:val="0"/>
        <w:autoSpaceDN w:val="0"/>
        <w:adjustRightInd w:val="0"/>
        <w:spacing w:line="360" w:lineRule="auto"/>
        <w:jc w:val="both"/>
        <w:rPr>
          <w:lang w:val="en-US"/>
        </w:rPr>
      </w:pPr>
    </w:p>
    <w:p w14:paraId="776D43B4" w14:textId="69E7D2C4" w:rsidR="00507A4A" w:rsidRPr="00BE647A" w:rsidRDefault="0074320A" w:rsidP="4AFDAE6C">
      <w:pPr>
        <w:autoSpaceDE w:val="0"/>
        <w:autoSpaceDN w:val="0"/>
        <w:adjustRightInd w:val="0"/>
        <w:spacing w:line="360" w:lineRule="auto"/>
        <w:jc w:val="both"/>
        <w:rPr>
          <w:lang w:val="en-US"/>
        </w:rPr>
      </w:pPr>
      <w:r>
        <w:rPr>
          <w:rFonts w:ascii="Times" w:hAnsi="Times"/>
          <w:lang w:val="en-US"/>
        </w:rPr>
        <w:lastRenderedPageBreak/>
        <w:t>Specific phenotyping probe drugs are often utilized to assess drug-drug interactions</w:t>
      </w:r>
      <w:r w:rsidR="0069062A" w:rsidRPr="4AFDAE6C">
        <w:rPr>
          <w:rFonts w:ascii="Times" w:hAnsi="Times"/>
          <w:lang w:val="en-US"/>
        </w:rPr>
        <w:t xml:space="preserve">, sometimes in combination </w:t>
      </w:r>
      <w:r w:rsidR="001F50B1">
        <w:rPr>
          <w:rFonts w:ascii="Times" w:hAnsi="Times"/>
          <w:lang w:val="en-US"/>
        </w:rPr>
        <w:t>as</w:t>
      </w:r>
      <w:r w:rsidR="001F50B1" w:rsidRPr="4AFDAE6C">
        <w:rPr>
          <w:rFonts w:ascii="Times" w:hAnsi="Times"/>
          <w:lang w:val="en-US"/>
        </w:rPr>
        <w:t xml:space="preserve"> </w:t>
      </w:r>
      <w:r w:rsidR="00E03CCA" w:rsidRPr="4AFDAE6C">
        <w:rPr>
          <w:rFonts w:ascii="Times" w:hAnsi="Times"/>
          <w:lang w:val="en-US"/>
        </w:rPr>
        <w:t>phenotyping cocktails</w:t>
      </w:r>
      <w:r w:rsidR="008F1C95" w:rsidRPr="4AFDAE6C">
        <w:rPr>
          <w:rFonts w:ascii="Times" w:hAnsi="Times"/>
          <w:lang w:val="en-US"/>
        </w:rPr>
        <w:t xml:space="preserve"> </w:t>
      </w:r>
      <w:r w:rsidR="00E63D98" w:rsidRPr="4AFDAE6C">
        <w:rPr>
          <w:rFonts w:ascii="Times" w:hAnsi="Times"/>
          <w:lang w:val="en-US"/>
        </w:rPr>
        <w:fldChar w:fldCharType="begin"/>
      </w:r>
      <w:r w:rsidR="00E63D98" w:rsidRPr="4AFDAE6C">
        <w:rPr>
          <w:rFonts w:ascii="Times" w:hAnsi="Times"/>
          <w:lang w:val="en-US"/>
        </w:rPr>
        <w:instrText xml:space="preserve"> ADDIN ZOTERO_ITEM CSL_CITATION {"citationID":"UsR9mesu","properties":{"formattedCitation":"(14)","plainCitation":"(14)","noteIndex":0},"citationItems":[{"id":314,"uris":["http://zotero.org/users/4954704/items/9FIL6RZZ"],"itemData":{"id":314,"type":"article-journal","abstract":"BACKGROUND: Differences in drug response among patients are common. Most major drugs are effective in only 25 to 60 percent of the patients, in part due to the CYP enzymes, whose activity vary up to 50-fold between individuals for some index metabolic reactions. Several factors affect CYP activity, among which genetic polymorphisms have been studied as the major cause for long time. Age, gender, disease states, and environmental influences such as smoking, concomitant drug treatment or exposure to environmental chemicals are also important.\nMETHODS: This article reviews the available literature on multiple phenotypes assessment as an important tool to predict possible therapeutic failures or toxic reactions to conventional drug doses during patient evaluation.\nRESULTS: Probe drugs can be used in various combinations allowing for the in vivo assessment of multiple pathways of drug metabolism in a single experiment, configuring a new tool known as phenotyping \"cocktails\". There are several drug cocktails with different advantages and disadvantages. Most of them have sufficient clinical evidence and data validation to support their use in clinical setting as a surrogate for the risk of adverse reaction in the course of therapy, leading to a better balance between efficacy and safety.\nCONCLUSION: Probes characteristics and metabolic ratio measurements are important in the evaluation of phenotyping cocktails as near-future applications.","container-title":"Current Pharmaceutical Design","DOI":"10.2174/1381612823666170207100724","ISSN":"1873-4286","issue":"14","journalAbbreviation":"Curr. Pharm. Des.","language":"eng","note":"PMID: 28176665","page":"2035-2049","source":"PubMed","title":"In vivo Phenotyping Methods: Cytochrome P450 Probes with Emphasis on the Cocktail Approach","title-short":"In vivo Phenotyping Methods","volume":"23","author":[{"family":"Keller","given":"Guillermo Alberto"},{"family":"Gago","given":"María Laura Ferreirós"},{"family":"Diez","given":"Roberto Alejandro"},{"family":"Di Girolamo","given":"Guillermo"}],"issued":{"date-parts":[["2017"]]}}}],"schema":"https://github.com/citation-style-language/schema/raw/master/csl-citation.json"} </w:instrText>
      </w:r>
      <w:r w:rsidR="00E63D98" w:rsidRPr="4AFDAE6C">
        <w:rPr>
          <w:rFonts w:ascii="Times" w:hAnsi="Times"/>
          <w:lang w:val="en-US"/>
        </w:rPr>
        <w:fldChar w:fldCharType="separate"/>
      </w:r>
      <w:r w:rsidR="00B666EB" w:rsidRPr="4AFDAE6C">
        <w:rPr>
          <w:rFonts w:ascii="Times" w:hAnsi="Times"/>
          <w:noProof/>
          <w:lang w:val="en-US"/>
        </w:rPr>
        <w:t>(14)</w:t>
      </w:r>
      <w:r w:rsidR="00E63D98" w:rsidRPr="4AFDAE6C">
        <w:rPr>
          <w:rFonts w:ascii="Times" w:hAnsi="Times"/>
          <w:lang w:val="en-US"/>
        </w:rPr>
        <w:fldChar w:fldCharType="end"/>
      </w:r>
      <w:r w:rsidR="00985A27" w:rsidRPr="4AFDAE6C">
        <w:rPr>
          <w:rFonts w:ascii="Times" w:hAnsi="Times"/>
          <w:lang w:val="en-US"/>
        </w:rPr>
        <w:t xml:space="preserve">. </w:t>
      </w:r>
      <w:r w:rsidR="007C6FDD" w:rsidRPr="4AFDAE6C">
        <w:rPr>
          <w:rFonts w:ascii="Times" w:hAnsi="Times"/>
          <w:lang w:val="en-US"/>
        </w:rPr>
        <w:t>T</w:t>
      </w:r>
      <w:r w:rsidR="00897BEC" w:rsidRPr="4AFDAE6C">
        <w:rPr>
          <w:rFonts w:ascii="Times" w:hAnsi="Times"/>
          <w:lang w:val="en-US"/>
        </w:rPr>
        <w:t>he biomarker 4</w:t>
      </w:r>
      <w:r w:rsidR="00897BEC" w:rsidRPr="4AFDAE6C">
        <w:rPr>
          <w:rFonts w:ascii="Symbol" w:eastAsia="Symbol" w:hAnsi="Symbol" w:cs="Symbol"/>
          <w:lang w:val="en-US"/>
        </w:rPr>
        <w:t></w:t>
      </w:r>
      <w:r w:rsidR="00897BEC" w:rsidRPr="4AFDAE6C">
        <w:rPr>
          <w:rFonts w:ascii="Times" w:hAnsi="Times"/>
          <w:lang w:val="en-US"/>
        </w:rPr>
        <w:t xml:space="preserve">-hydroxycholesterol has been proposed as an endogenous biomarker </w:t>
      </w:r>
      <w:r w:rsidR="00F06BC0" w:rsidRPr="4AFDAE6C">
        <w:rPr>
          <w:rFonts w:ascii="Times" w:hAnsi="Times"/>
          <w:lang w:val="en-US"/>
        </w:rPr>
        <w:t>of</w:t>
      </w:r>
      <w:r w:rsidR="00897BEC" w:rsidRPr="4AFDAE6C">
        <w:rPr>
          <w:rFonts w:ascii="Times" w:hAnsi="Times"/>
          <w:lang w:val="en-US"/>
        </w:rPr>
        <w:t xml:space="preserve"> CYP3A4 activity</w:t>
      </w:r>
      <w:r w:rsidR="0021149B" w:rsidRPr="4AFDAE6C">
        <w:rPr>
          <w:rFonts w:ascii="Times" w:hAnsi="Times"/>
          <w:lang w:val="en-US"/>
        </w:rPr>
        <w:t xml:space="preserve"> </w:t>
      </w:r>
      <w:r w:rsidR="00E63D98" w:rsidRPr="4AFDAE6C">
        <w:rPr>
          <w:rFonts w:ascii="Times" w:hAnsi="Times"/>
          <w:lang w:val="en-US"/>
        </w:rPr>
        <w:fldChar w:fldCharType="begin"/>
      </w:r>
      <w:r w:rsidR="00E63D98" w:rsidRPr="4AFDAE6C">
        <w:rPr>
          <w:rFonts w:ascii="Times" w:hAnsi="Times"/>
          <w:lang w:val="en-US"/>
        </w:rPr>
        <w:instrText xml:space="preserve"> ADDIN ZOTERO_ITEM CSL_CITATION {"citationID":"k6b8LGnl","properties":{"formattedCitation":"(15)","plainCitation":"(15)","noteIndex":0},"citationItems":[{"id":933,"uris":["http://zotero.org/users/4954704/items/WIBLTQ76"],"itemData":{"id":933,"type":"article-journal","container-title":"British Journal of Clinical Pharmacology","DOI":"10.1111/j.1365-2125.2010.03773.x","ISSN":"03065251","issue":"2","language":"en","page":"183-189","source":"DOI.org (Crossref)","title":"4β-hydroxycholesterol, an endogenous marker of CYP3A4/5 activity in humans: 4β-hydroxycholesterol, an endogenous marker of CYP3A4/5 activity","title-short":"4β-hydroxycholesterol, an endogenous marker of CYP3A4/5 activity in humans","volume":"71","author":[{"family":"Diczfalusy","given":"Ulf"},{"family":"Nylén","given":"Hanna"},{"family":"Elander","given":"Pontus"},{"family":"Bertilsson","given":"Leif"}],"issued":{"date-parts":[["2011",2]]}}}],"schema":"https://github.com/citation-style-language/schema/raw/master/csl-citation.json"} </w:instrText>
      </w:r>
      <w:r w:rsidR="00E63D98" w:rsidRPr="4AFDAE6C">
        <w:rPr>
          <w:rFonts w:ascii="Times" w:hAnsi="Times"/>
          <w:lang w:val="en-US"/>
        </w:rPr>
        <w:fldChar w:fldCharType="separate"/>
      </w:r>
      <w:r w:rsidR="00B666EB" w:rsidRPr="4AFDAE6C">
        <w:rPr>
          <w:rFonts w:ascii="Times" w:hAnsi="Times"/>
          <w:noProof/>
          <w:lang w:val="en-US"/>
        </w:rPr>
        <w:t>(15)</w:t>
      </w:r>
      <w:r w:rsidR="00E63D98" w:rsidRPr="4AFDAE6C">
        <w:rPr>
          <w:rFonts w:ascii="Times" w:hAnsi="Times"/>
          <w:lang w:val="en-US"/>
        </w:rPr>
        <w:fldChar w:fldCharType="end"/>
      </w:r>
      <w:r w:rsidR="00897BEC" w:rsidRPr="4AFDAE6C">
        <w:rPr>
          <w:rFonts w:ascii="Times" w:hAnsi="Times"/>
          <w:lang w:val="en-US"/>
        </w:rPr>
        <w:t xml:space="preserve">. </w:t>
      </w:r>
      <w:r w:rsidR="00786263" w:rsidRPr="4AFDAE6C">
        <w:rPr>
          <w:rFonts w:ascii="Times" w:hAnsi="Times"/>
          <w:lang w:val="en-US"/>
        </w:rPr>
        <w:t>4</w:t>
      </w:r>
      <w:r w:rsidR="00786263" w:rsidRPr="4AFDAE6C">
        <w:rPr>
          <w:rFonts w:ascii="Symbol" w:eastAsia="Symbol" w:hAnsi="Symbol" w:cs="Symbol"/>
          <w:lang w:val="en-US"/>
        </w:rPr>
        <w:t></w:t>
      </w:r>
      <w:r w:rsidR="00786263" w:rsidRPr="4AFDAE6C">
        <w:rPr>
          <w:rFonts w:ascii="Times" w:hAnsi="Times"/>
          <w:lang w:val="en-US"/>
        </w:rPr>
        <w:t xml:space="preserve">-hydroxycholesterol is </w:t>
      </w:r>
      <w:r w:rsidR="00172593" w:rsidRPr="4AFDAE6C">
        <w:rPr>
          <w:rFonts w:ascii="Times" w:hAnsi="Times"/>
          <w:lang w:val="en-US"/>
        </w:rPr>
        <w:t>a</w:t>
      </w:r>
      <w:r w:rsidR="00786263" w:rsidRPr="4AFDAE6C">
        <w:rPr>
          <w:rFonts w:ascii="Times" w:hAnsi="Times"/>
          <w:lang w:val="en-US"/>
        </w:rPr>
        <w:t xml:space="preserve"> cholesterol metabolite formed via CYP3A4 </w:t>
      </w:r>
      <w:r w:rsidR="006436F4" w:rsidRPr="4AFDAE6C">
        <w:rPr>
          <w:rFonts w:ascii="Times" w:hAnsi="Times"/>
          <w:lang w:val="en-US"/>
        </w:rPr>
        <w:t>and changes in the concentration</w:t>
      </w:r>
      <w:r w:rsidR="1416A6FD" w:rsidRPr="4AFDAE6C">
        <w:rPr>
          <w:rFonts w:ascii="Times" w:hAnsi="Times"/>
          <w:lang w:val="en-US"/>
        </w:rPr>
        <w:t xml:space="preserve"> of 4</w:t>
      </w:r>
      <w:r w:rsidR="1416A6FD" w:rsidRPr="4AFDAE6C">
        <w:rPr>
          <w:rFonts w:ascii="Symbol" w:eastAsia="Symbol" w:hAnsi="Symbol" w:cs="Symbol"/>
          <w:lang w:val="en-US"/>
        </w:rPr>
        <w:t></w:t>
      </w:r>
      <w:r w:rsidR="1416A6FD" w:rsidRPr="4AFDAE6C">
        <w:rPr>
          <w:rFonts w:ascii="Times" w:hAnsi="Times"/>
          <w:lang w:val="en-US"/>
        </w:rPr>
        <w:t>-hydroxycholesterol</w:t>
      </w:r>
      <w:r w:rsidR="006436F4" w:rsidRPr="4AFDAE6C">
        <w:rPr>
          <w:rFonts w:ascii="Times" w:hAnsi="Times"/>
          <w:lang w:val="en-US"/>
        </w:rPr>
        <w:t xml:space="preserve"> or the </w:t>
      </w:r>
      <w:r w:rsidR="00786263" w:rsidRPr="4AFDAE6C">
        <w:rPr>
          <w:rFonts w:ascii="Times" w:hAnsi="Times"/>
          <w:lang w:val="en-US"/>
        </w:rPr>
        <w:t>4</w:t>
      </w:r>
      <w:r w:rsidR="00786263" w:rsidRPr="4AFDAE6C">
        <w:rPr>
          <w:rFonts w:ascii="Symbol" w:eastAsia="Symbol" w:hAnsi="Symbol" w:cs="Symbol"/>
          <w:lang w:val="en-US"/>
        </w:rPr>
        <w:t></w:t>
      </w:r>
      <w:r w:rsidR="00786263" w:rsidRPr="4AFDAE6C">
        <w:rPr>
          <w:rFonts w:ascii="Times" w:hAnsi="Times"/>
          <w:lang w:val="en-US"/>
        </w:rPr>
        <w:t>-hydroxycholesterol</w:t>
      </w:r>
      <w:r w:rsidR="00975F4A">
        <w:rPr>
          <w:rFonts w:ascii="Times" w:hAnsi="Times"/>
          <w:lang w:val="en-US"/>
        </w:rPr>
        <w:t>/</w:t>
      </w:r>
      <w:r w:rsidR="006436F4" w:rsidRPr="4AFDAE6C">
        <w:rPr>
          <w:rFonts w:ascii="Times" w:hAnsi="Times"/>
          <w:lang w:val="en-US"/>
        </w:rPr>
        <w:t>cholesterol</w:t>
      </w:r>
      <w:r w:rsidR="00975F4A">
        <w:rPr>
          <w:rFonts w:ascii="Times" w:hAnsi="Times"/>
          <w:lang w:val="en-US"/>
        </w:rPr>
        <w:t xml:space="preserve"> ratio</w:t>
      </w:r>
      <w:r w:rsidR="006436F4" w:rsidRPr="4AFDAE6C">
        <w:rPr>
          <w:rFonts w:ascii="Times" w:hAnsi="Times"/>
          <w:lang w:val="en-US"/>
        </w:rPr>
        <w:t xml:space="preserve"> might reflect changes in CYP3A4 </w:t>
      </w:r>
      <w:r w:rsidR="00BE647A" w:rsidRPr="4AFDAE6C">
        <w:rPr>
          <w:rFonts w:ascii="Times" w:hAnsi="Times"/>
          <w:lang w:val="en-US"/>
        </w:rPr>
        <w:t>mediated metabolism</w:t>
      </w:r>
      <w:r w:rsidR="00172593" w:rsidRPr="4AFDAE6C">
        <w:rPr>
          <w:rFonts w:ascii="Times" w:hAnsi="Times"/>
          <w:lang w:val="en-US"/>
        </w:rPr>
        <w:t xml:space="preserve"> </w:t>
      </w:r>
      <w:r w:rsidR="00E63D98" w:rsidRPr="4AFDAE6C">
        <w:rPr>
          <w:rFonts w:ascii="Times" w:hAnsi="Times"/>
          <w:lang w:val="en-US"/>
        </w:rPr>
        <w:fldChar w:fldCharType="begin"/>
      </w:r>
      <w:r w:rsidR="00E63D98" w:rsidRPr="4AFDAE6C">
        <w:rPr>
          <w:rFonts w:ascii="Times" w:hAnsi="Times"/>
          <w:lang w:val="en-US"/>
        </w:rPr>
        <w:instrText xml:space="preserve"> ADDIN ZOTERO_ITEM CSL_CITATION {"citationID":"BMg7sOeY","properties":{"formattedCitation":"(16)","plainCitation":"(16)","noteIndex":0},"citationItems":[{"id":1272,"uris":["http://zotero.org/users/4954704/items/JI8R6GYT"],"itemData":{"id":1272,"type":"article-journal","container-title":"Drug Metabolism and Disposition","DOI":"10.1124/dmd.113.052316","ISSN":"0090-9556, 1521-009X","issue":"8","journalAbbreviation":"Drug Metab Dispos","language":"en","page":"1488-1493","source":"DOI.org (Crossref)","title":"Comparison of Endogenous 4 &lt;i&gt;β&lt;/i&gt; -Hydroxycholesterol with Midazolam as Markers for CYP3A4 Induction by Rifampicin","volume":"41","author":[{"family":"Björkhem-Bergman","given":"Linda"},{"family":"Bäckström","given":"Tobias"},{"family":"Nylén","given":"Hanna"},{"family":"Rönquist-Nii","given":"Yuko"},{"family":"Bredberg","given":"Eva"},{"family":"Andersson","given":"Tommy B."},{"family":"Bertilsson","given":"Leif"},{"family":"Diczfalusy","given":"Ulf"}],"issued":{"date-parts":[["2013",8]]}}}],"schema":"https://github.com/citation-style-language/schema/raw/master/csl-citation.json"} </w:instrText>
      </w:r>
      <w:r w:rsidR="00E63D98" w:rsidRPr="4AFDAE6C">
        <w:rPr>
          <w:rFonts w:ascii="Times" w:hAnsi="Times"/>
          <w:lang w:val="en-US"/>
        </w:rPr>
        <w:fldChar w:fldCharType="separate"/>
      </w:r>
      <w:r w:rsidR="00B666EB" w:rsidRPr="4AFDAE6C">
        <w:rPr>
          <w:rFonts w:ascii="Times" w:hAnsi="Times"/>
          <w:noProof/>
          <w:lang w:val="en-US"/>
        </w:rPr>
        <w:t>(16)</w:t>
      </w:r>
      <w:r w:rsidR="00E63D98" w:rsidRPr="4AFDAE6C">
        <w:rPr>
          <w:rFonts w:ascii="Times" w:hAnsi="Times"/>
          <w:lang w:val="en-US"/>
        </w:rPr>
        <w:fldChar w:fldCharType="end"/>
      </w:r>
      <w:r w:rsidR="00BE647A" w:rsidRPr="4AFDAE6C">
        <w:rPr>
          <w:rFonts w:ascii="Times" w:hAnsi="Times"/>
          <w:lang w:val="en-US"/>
        </w:rPr>
        <w:t>. 4</w:t>
      </w:r>
      <w:r w:rsidR="00BE647A" w:rsidRPr="4AFDAE6C">
        <w:rPr>
          <w:rFonts w:ascii="Symbol" w:eastAsia="Symbol" w:hAnsi="Symbol" w:cs="Symbol"/>
          <w:lang w:val="en-US"/>
        </w:rPr>
        <w:t></w:t>
      </w:r>
      <w:r w:rsidR="00BE647A" w:rsidRPr="4AFDAE6C">
        <w:rPr>
          <w:rFonts w:ascii="Times" w:hAnsi="Times"/>
          <w:lang w:val="en-US"/>
        </w:rPr>
        <w:t xml:space="preserve">-hydroxycholesterol </w:t>
      </w:r>
      <w:r w:rsidR="00786263" w:rsidRPr="4AFDAE6C">
        <w:rPr>
          <w:rFonts w:ascii="Times" w:hAnsi="Times"/>
          <w:lang w:val="en-US"/>
        </w:rPr>
        <w:t xml:space="preserve">has an elimination half-life of 17 days, seemingly allowing the assessment of slow and long-term changes in CYP3A4 activity </w:t>
      </w:r>
      <w:r w:rsidR="00E63D98" w:rsidRPr="4AFDAE6C">
        <w:rPr>
          <w:rFonts w:ascii="Times" w:hAnsi="Times"/>
          <w:lang w:val="en-US"/>
        </w:rPr>
        <w:fldChar w:fldCharType="begin"/>
      </w:r>
      <w:r w:rsidR="00E63D98" w:rsidRPr="4AFDAE6C">
        <w:rPr>
          <w:rFonts w:ascii="Times" w:hAnsi="Times"/>
          <w:lang w:val="en-US"/>
        </w:rPr>
        <w:instrText xml:space="preserve"> ADDIN ZOTERO_ITEM CSL_CITATION {"citationID":"vkgU2R0Z","properties":{"formattedCitation":"(15)","plainCitation":"(15)","noteIndex":0},"citationItems":[{"id":933,"uris":["http://zotero.org/users/4954704/items/WIBLTQ76"],"itemData":{"id":933,"type":"article-journal","container-title":"British Journal of Clinical Pharmacology","DOI":"10.1111/j.1365-2125.2010.03773.x","ISSN":"03065251","issue":"2","language":"en","page":"183-189","source":"DOI.org (Crossref)","title":"4β-hydroxycholesterol, an endogenous marker of CYP3A4/5 activity in humans: 4β-hydroxycholesterol, an endogenous marker of CYP3A4/5 activity","title-short":"4β-hydroxycholesterol, an endogenous marker of CYP3A4/5 activity in humans","volume":"71","author":[{"family":"Diczfalusy","given":"Ulf"},{"family":"Nylén","given":"Hanna"},{"family":"Elander","given":"Pontus"},{"family":"Bertilsson","given":"Leif"}],"issued":{"date-parts":[["2011",2]]}}}],"schema":"https://github.com/citation-style-language/schema/raw/master/csl-citation.json"} </w:instrText>
      </w:r>
      <w:r w:rsidR="00E63D98" w:rsidRPr="4AFDAE6C">
        <w:rPr>
          <w:rFonts w:ascii="Times" w:hAnsi="Times"/>
          <w:lang w:val="en-US"/>
        </w:rPr>
        <w:fldChar w:fldCharType="separate"/>
      </w:r>
      <w:r w:rsidR="00B666EB" w:rsidRPr="4AFDAE6C">
        <w:rPr>
          <w:rFonts w:ascii="Times" w:hAnsi="Times"/>
          <w:noProof/>
          <w:lang w:val="en-US"/>
        </w:rPr>
        <w:t>(15)</w:t>
      </w:r>
      <w:r w:rsidR="00E63D98" w:rsidRPr="4AFDAE6C">
        <w:rPr>
          <w:rFonts w:ascii="Times" w:hAnsi="Times"/>
          <w:lang w:val="en-US"/>
        </w:rPr>
        <w:fldChar w:fldCharType="end"/>
      </w:r>
      <w:r w:rsidR="00786263" w:rsidRPr="4AFDAE6C">
        <w:rPr>
          <w:rFonts w:ascii="Times" w:hAnsi="Times"/>
          <w:lang w:val="en-US"/>
        </w:rPr>
        <w:t xml:space="preserve">. </w:t>
      </w:r>
    </w:p>
    <w:p w14:paraId="0A5F373A" w14:textId="77777777" w:rsidR="00577873" w:rsidRPr="00BE647A" w:rsidRDefault="00577873" w:rsidP="009A2F16">
      <w:pPr>
        <w:autoSpaceDE w:val="0"/>
        <w:autoSpaceDN w:val="0"/>
        <w:adjustRightInd w:val="0"/>
        <w:spacing w:line="360" w:lineRule="auto"/>
        <w:jc w:val="both"/>
        <w:rPr>
          <w:lang w:val="en-US"/>
        </w:rPr>
      </w:pPr>
    </w:p>
    <w:p w14:paraId="2A063636" w14:textId="46CC7F84" w:rsidR="00C31A5C" w:rsidRPr="007976AC" w:rsidRDefault="00577873" w:rsidP="009A2F16">
      <w:pPr>
        <w:spacing w:line="360" w:lineRule="auto"/>
        <w:jc w:val="both"/>
        <w:rPr>
          <w:rFonts w:ascii="Times" w:hAnsi="Times"/>
          <w:lang w:val="en-US"/>
        </w:rPr>
      </w:pPr>
      <w:r w:rsidRPr="007976AC">
        <w:rPr>
          <w:rFonts w:ascii="Times" w:hAnsi="Times"/>
          <w:lang w:val="en-US"/>
        </w:rPr>
        <w:t xml:space="preserve">This study aimed to </w:t>
      </w:r>
      <w:r w:rsidR="00B64EFA">
        <w:rPr>
          <w:rFonts w:ascii="Times" w:hAnsi="Times"/>
          <w:lang w:val="en-US"/>
        </w:rPr>
        <w:t xml:space="preserve">prospectively </w:t>
      </w:r>
      <w:r w:rsidRPr="007976AC">
        <w:rPr>
          <w:rFonts w:ascii="Times" w:hAnsi="Times"/>
          <w:lang w:val="en-US"/>
        </w:rPr>
        <w:t xml:space="preserve">assess the activity of six CYP enzymes in patients with </w:t>
      </w:r>
      <w:r w:rsidR="00581A37">
        <w:rPr>
          <w:rFonts w:ascii="Times" w:hAnsi="Times"/>
          <w:lang w:val="en-US"/>
        </w:rPr>
        <w:t>rheumatoid arthritis</w:t>
      </w:r>
      <w:r w:rsidRPr="007976AC">
        <w:rPr>
          <w:rFonts w:ascii="Times" w:hAnsi="Times"/>
          <w:lang w:val="en-US"/>
        </w:rPr>
        <w:t xml:space="preserve"> before and after three and 12 weeks of </w:t>
      </w:r>
      <w:r w:rsidR="00355ADD">
        <w:rPr>
          <w:rFonts w:ascii="Times" w:hAnsi="Times"/>
          <w:lang w:val="en-US"/>
        </w:rPr>
        <w:t>continuous anti-IL-6R therapy</w:t>
      </w:r>
      <w:r w:rsidRPr="007976AC">
        <w:rPr>
          <w:rFonts w:ascii="Times" w:hAnsi="Times"/>
          <w:lang w:val="en-US"/>
        </w:rPr>
        <w:t xml:space="preserve">. Furthermore, </w:t>
      </w:r>
      <w:r w:rsidR="00507A4A">
        <w:rPr>
          <w:rFonts w:ascii="Times" w:hAnsi="Times"/>
          <w:lang w:val="en-US"/>
        </w:rPr>
        <w:t xml:space="preserve">to translate these findings into clinical impact, </w:t>
      </w:r>
      <w:r w:rsidRPr="007976AC">
        <w:rPr>
          <w:rFonts w:ascii="Times" w:hAnsi="Times"/>
          <w:lang w:val="en-US"/>
        </w:rPr>
        <w:t>we aim</w:t>
      </w:r>
      <w:r w:rsidR="006E45D5">
        <w:rPr>
          <w:rFonts w:ascii="Times" w:hAnsi="Times"/>
          <w:lang w:val="en-US"/>
        </w:rPr>
        <w:t>ed</w:t>
      </w:r>
      <w:r w:rsidRPr="007976AC">
        <w:rPr>
          <w:rFonts w:ascii="Times" w:hAnsi="Times"/>
          <w:lang w:val="en-US"/>
        </w:rPr>
        <w:t xml:space="preserve"> to assess this potential </w:t>
      </w:r>
      <w:r w:rsidR="002E7DFF">
        <w:rPr>
          <w:rFonts w:ascii="Times" w:hAnsi="Times"/>
          <w:lang w:val="en-US"/>
        </w:rPr>
        <w:t>drug-disease-drug interaction</w:t>
      </w:r>
      <w:r w:rsidRPr="007976AC">
        <w:rPr>
          <w:rFonts w:ascii="Times" w:hAnsi="Times"/>
          <w:lang w:val="en-US"/>
        </w:rPr>
        <w:t xml:space="preserve"> utilizing the biomarker 4</w:t>
      </w:r>
      <w:r w:rsidR="00ED5B91">
        <w:rPr>
          <w:rFonts w:ascii="Symbol" w:eastAsia="Symbol" w:hAnsi="Symbol" w:cs="Symbol"/>
          <w:lang w:val="en-US"/>
        </w:rPr>
        <w:t></w:t>
      </w:r>
      <w:r w:rsidRPr="007976AC">
        <w:rPr>
          <w:rFonts w:ascii="Times" w:hAnsi="Times"/>
          <w:lang w:val="en-US"/>
        </w:rPr>
        <w:t xml:space="preserve">-hydroxycholesterol in a retrospective </w:t>
      </w:r>
      <w:r w:rsidR="00B623FD">
        <w:rPr>
          <w:rFonts w:ascii="Times" w:hAnsi="Times"/>
          <w:lang w:val="en-US"/>
        </w:rPr>
        <w:t>study</w:t>
      </w:r>
      <w:r w:rsidRPr="007976AC">
        <w:rPr>
          <w:rFonts w:ascii="Times" w:hAnsi="Times"/>
          <w:lang w:val="en-US"/>
        </w:rPr>
        <w:t xml:space="preserve"> of </w:t>
      </w:r>
      <w:r w:rsidR="00172593">
        <w:rPr>
          <w:rFonts w:ascii="Times" w:hAnsi="Times"/>
          <w:lang w:val="en-US"/>
        </w:rPr>
        <w:t>inci</w:t>
      </w:r>
      <w:r w:rsidR="000409F8">
        <w:rPr>
          <w:rFonts w:ascii="Times" w:hAnsi="Times"/>
          <w:lang w:val="en-US"/>
        </w:rPr>
        <w:t>dent</w:t>
      </w:r>
      <w:r w:rsidRPr="007976AC">
        <w:rPr>
          <w:rFonts w:ascii="Times" w:hAnsi="Times"/>
          <w:lang w:val="en-US"/>
        </w:rPr>
        <w:t xml:space="preserve"> tocilizumab users</w:t>
      </w:r>
      <w:r w:rsidR="009A2F16">
        <w:rPr>
          <w:rFonts w:ascii="Times" w:hAnsi="Times"/>
          <w:lang w:val="en-US"/>
        </w:rPr>
        <w:t xml:space="preserve">. </w:t>
      </w:r>
      <w:r w:rsidRPr="007976AC">
        <w:rPr>
          <w:rFonts w:ascii="Times" w:hAnsi="Times"/>
          <w:lang w:val="en-US"/>
        </w:rPr>
        <w:t xml:space="preserve"> </w:t>
      </w:r>
    </w:p>
    <w:p w14:paraId="7C6A20C5" w14:textId="0E7820FA" w:rsidR="006C405E" w:rsidRPr="007976AC" w:rsidRDefault="006C405E" w:rsidP="009A2F16">
      <w:pPr>
        <w:spacing w:line="360" w:lineRule="auto"/>
        <w:jc w:val="both"/>
        <w:rPr>
          <w:rFonts w:ascii="Times" w:hAnsi="Times"/>
          <w:lang w:val="en-US"/>
        </w:rPr>
      </w:pPr>
    </w:p>
    <w:p w14:paraId="072340F3" w14:textId="5FB4D4ED" w:rsidR="00671DC2" w:rsidRPr="00781F66" w:rsidRDefault="00DF1BC1" w:rsidP="00781F66">
      <w:pPr>
        <w:spacing w:line="360" w:lineRule="auto"/>
        <w:jc w:val="both"/>
        <w:rPr>
          <w:rFonts w:ascii="Times" w:hAnsi="Times"/>
          <w:b/>
          <w:bCs/>
          <w:lang w:val="en-US"/>
        </w:rPr>
      </w:pPr>
      <w:r w:rsidRPr="00781F66">
        <w:rPr>
          <w:rFonts w:ascii="Times" w:hAnsi="Times"/>
          <w:b/>
          <w:bCs/>
          <w:lang w:val="en-US"/>
        </w:rPr>
        <w:t>METHOD</w:t>
      </w:r>
    </w:p>
    <w:p w14:paraId="1965CD19" w14:textId="282E2EC4" w:rsidR="0070607B" w:rsidRDefault="00E92025" w:rsidP="009A2F16">
      <w:pPr>
        <w:spacing w:line="360" w:lineRule="auto"/>
        <w:jc w:val="both"/>
        <w:rPr>
          <w:rFonts w:ascii="Times" w:hAnsi="Times"/>
          <w:lang w:val="en-US"/>
        </w:rPr>
      </w:pPr>
      <w:r>
        <w:rPr>
          <w:rFonts w:ascii="Times" w:hAnsi="Times"/>
          <w:lang w:val="en-US"/>
        </w:rPr>
        <w:t xml:space="preserve">We conducted two </w:t>
      </w:r>
      <w:r w:rsidR="00494ED3">
        <w:rPr>
          <w:rFonts w:ascii="Times" w:hAnsi="Times"/>
          <w:lang w:val="en-US"/>
        </w:rPr>
        <w:t>studies</w:t>
      </w:r>
      <w:r w:rsidR="00EA6B1A">
        <w:rPr>
          <w:rFonts w:ascii="Times" w:hAnsi="Times"/>
          <w:lang w:val="en-US"/>
        </w:rPr>
        <w:t>: 1)</w:t>
      </w:r>
      <w:r w:rsidR="00494ED3">
        <w:rPr>
          <w:rFonts w:ascii="Times" w:hAnsi="Times"/>
          <w:lang w:val="en-US"/>
        </w:rPr>
        <w:t xml:space="preserve"> </w:t>
      </w:r>
      <w:r w:rsidR="00EA6B1A">
        <w:rPr>
          <w:rFonts w:ascii="Times" w:hAnsi="Times"/>
          <w:lang w:val="en-US"/>
        </w:rPr>
        <w:t>a</w:t>
      </w:r>
      <w:r w:rsidR="00494ED3">
        <w:rPr>
          <w:rFonts w:ascii="Times" w:hAnsi="Times"/>
          <w:lang w:val="en-US"/>
        </w:rPr>
        <w:t xml:space="preserve"> prospective </w:t>
      </w:r>
      <w:r w:rsidR="00AA1FAB">
        <w:rPr>
          <w:rFonts w:ascii="Times" w:hAnsi="Times"/>
          <w:lang w:val="en-US"/>
        </w:rPr>
        <w:t>clinical pharmacokinetic trial</w:t>
      </w:r>
      <w:r w:rsidR="00494ED3">
        <w:rPr>
          <w:rFonts w:ascii="Times" w:hAnsi="Times"/>
          <w:lang w:val="en-US"/>
        </w:rPr>
        <w:t xml:space="preserve"> including patients with </w:t>
      </w:r>
      <w:r w:rsidR="00D9178A">
        <w:rPr>
          <w:rFonts w:ascii="Times" w:hAnsi="Times"/>
          <w:lang w:val="en-US"/>
        </w:rPr>
        <w:t>rheumatoid</w:t>
      </w:r>
      <w:r w:rsidR="00494ED3">
        <w:rPr>
          <w:rFonts w:ascii="Times" w:hAnsi="Times"/>
          <w:lang w:val="en-US"/>
        </w:rPr>
        <w:t xml:space="preserve"> arthritis and indication for initiation of </w:t>
      </w:r>
      <w:r w:rsidR="00D1432F">
        <w:rPr>
          <w:rFonts w:ascii="Times" w:hAnsi="Times"/>
          <w:lang w:val="en-US"/>
        </w:rPr>
        <w:t>anti-</w:t>
      </w:r>
      <w:r w:rsidR="00494ED3">
        <w:rPr>
          <w:rFonts w:ascii="Times" w:hAnsi="Times"/>
          <w:lang w:val="en-US"/>
        </w:rPr>
        <w:t>IL-6R treatment</w:t>
      </w:r>
      <w:r w:rsidR="00EA6B1A">
        <w:rPr>
          <w:rFonts w:ascii="Times" w:hAnsi="Times"/>
          <w:lang w:val="en-US"/>
        </w:rPr>
        <w:t xml:space="preserve"> and 2) a retrospective study </w:t>
      </w:r>
      <w:r w:rsidR="00213EBD">
        <w:rPr>
          <w:rFonts w:ascii="Times" w:hAnsi="Times"/>
          <w:lang w:val="en-US"/>
        </w:rPr>
        <w:t xml:space="preserve">of patients with rheumatoid arthritis </w:t>
      </w:r>
      <w:r w:rsidR="006E30B2">
        <w:rPr>
          <w:rFonts w:ascii="Times" w:hAnsi="Times"/>
          <w:lang w:val="en-US"/>
        </w:rPr>
        <w:t>who provided samples for the Danish Rheumatologic Bioban</w:t>
      </w:r>
      <w:r w:rsidR="00D9178A">
        <w:rPr>
          <w:rFonts w:ascii="Times" w:hAnsi="Times"/>
          <w:lang w:val="en-US"/>
        </w:rPr>
        <w:t xml:space="preserve">k. </w:t>
      </w:r>
    </w:p>
    <w:p w14:paraId="6E73D16D" w14:textId="77777777" w:rsidR="0070607B" w:rsidRDefault="0070607B" w:rsidP="009A2F16">
      <w:pPr>
        <w:spacing w:line="360" w:lineRule="auto"/>
        <w:jc w:val="both"/>
        <w:rPr>
          <w:rFonts w:ascii="Times" w:hAnsi="Times"/>
          <w:lang w:val="en-US"/>
        </w:rPr>
      </w:pPr>
    </w:p>
    <w:p w14:paraId="57EB73EE" w14:textId="3643844C" w:rsidR="0070607B" w:rsidRDefault="002A4238" w:rsidP="009A2F16">
      <w:pPr>
        <w:spacing w:line="360" w:lineRule="auto"/>
        <w:jc w:val="both"/>
        <w:rPr>
          <w:rFonts w:ascii="Times" w:hAnsi="Times"/>
          <w:b/>
          <w:bCs/>
          <w:lang w:val="en-US"/>
        </w:rPr>
      </w:pPr>
      <w:r>
        <w:rPr>
          <w:rFonts w:ascii="Times" w:hAnsi="Times"/>
          <w:b/>
          <w:bCs/>
          <w:lang w:val="en-US"/>
        </w:rPr>
        <w:t>D</w:t>
      </w:r>
      <w:r w:rsidR="0070607B" w:rsidRPr="0070607B">
        <w:rPr>
          <w:rFonts w:ascii="Times" w:hAnsi="Times"/>
          <w:b/>
          <w:bCs/>
          <w:lang w:val="en-US"/>
        </w:rPr>
        <w:t>esign and setting</w:t>
      </w:r>
    </w:p>
    <w:p w14:paraId="59327B9B" w14:textId="57372F0D" w:rsidR="00743D76" w:rsidRDefault="00AD03F2" w:rsidP="009A2F16">
      <w:pPr>
        <w:spacing w:line="360" w:lineRule="auto"/>
        <w:jc w:val="both"/>
        <w:rPr>
          <w:rFonts w:ascii="Times" w:hAnsi="Times"/>
          <w:lang w:val="en-US"/>
        </w:rPr>
      </w:pPr>
      <w:r>
        <w:rPr>
          <w:rFonts w:ascii="Times" w:hAnsi="Times"/>
          <w:i/>
          <w:iCs/>
          <w:lang w:val="en-US"/>
        </w:rPr>
        <w:t>Clinical pharmacokinetic trial</w:t>
      </w:r>
    </w:p>
    <w:p w14:paraId="41166DC2" w14:textId="2E01C6CC" w:rsidR="00BD7D9D" w:rsidRPr="00B766DA" w:rsidRDefault="00743D76" w:rsidP="009707E4">
      <w:pPr>
        <w:spacing w:line="360" w:lineRule="auto"/>
        <w:jc w:val="both"/>
        <w:rPr>
          <w:rFonts w:ascii="Times" w:hAnsi="Times"/>
          <w:lang w:val="en-US"/>
        </w:rPr>
      </w:pPr>
      <w:r w:rsidRPr="00B766DA">
        <w:rPr>
          <w:rFonts w:ascii="Times" w:hAnsi="Times"/>
          <w:lang w:val="en-US"/>
        </w:rPr>
        <w:t xml:space="preserve">We conducted a </w:t>
      </w:r>
      <w:r w:rsidR="00AD03F2" w:rsidRPr="00B766DA">
        <w:rPr>
          <w:rFonts w:ascii="Times" w:hAnsi="Times"/>
          <w:lang w:val="en-US"/>
        </w:rPr>
        <w:t>clinical pharmacokinetic trial</w:t>
      </w:r>
      <w:r w:rsidRPr="00B766DA">
        <w:rPr>
          <w:rFonts w:ascii="Times" w:hAnsi="Times"/>
          <w:lang w:val="en-US"/>
        </w:rPr>
        <w:t xml:space="preserve"> to assess the impact of initiating </w:t>
      </w:r>
      <w:r w:rsidR="00AD03F2" w:rsidRPr="00B766DA">
        <w:rPr>
          <w:rFonts w:ascii="Times" w:hAnsi="Times"/>
          <w:lang w:val="en-US"/>
        </w:rPr>
        <w:t>anti-</w:t>
      </w:r>
      <w:r w:rsidRPr="00B766DA">
        <w:rPr>
          <w:rFonts w:ascii="Times" w:hAnsi="Times"/>
          <w:lang w:val="en-US"/>
        </w:rPr>
        <w:t xml:space="preserve">IL-6R </w:t>
      </w:r>
      <w:r w:rsidR="00AC13EA" w:rsidRPr="00B766DA">
        <w:rPr>
          <w:rFonts w:ascii="Times" w:hAnsi="Times"/>
          <w:lang w:val="en-US"/>
        </w:rPr>
        <w:t xml:space="preserve">on the activity of drug-metabolizing enzymes in patients with </w:t>
      </w:r>
      <w:r w:rsidR="00D1432F" w:rsidRPr="00B766DA">
        <w:rPr>
          <w:rFonts w:ascii="Times" w:hAnsi="Times"/>
          <w:lang w:val="en-US"/>
        </w:rPr>
        <w:t>rheumatoid arthritis</w:t>
      </w:r>
      <w:r w:rsidR="00AC13EA" w:rsidRPr="00B766DA">
        <w:rPr>
          <w:rFonts w:ascii="Times" w:hAnsi="Times"/>
          <w:lang w:val="en-US"/>
        </w:rPr>
        <w:t xml:space="preserve">. </w:t>
      </w:r>
      <w:r w:rsidR="00510F55" w:rsidRPr="00B766DA">
        <w:rPr>
          <w:rFonts w:ascii="Times" w:hAnsi="Times"/>
          <w:lang w:val="en-US"/>
        </w:rPr>
        <w:t>From May 2021 to September 2022, w</w:t>
      </w:r>
      <w:r w:rsidR="006517FE" w:rsidRPr="00B766DA">
        <w:rPr>
          <w:rFonts w:ascii="Times" w:hAnsi="Times"/>
          <w:lang w:val="en-US"/>
        </w:rPr>
        <w:t xml:space="preserve">e included patients with </w:t>
      </w:r>
      <w:r w:rsidR="00510F55" w:rsidRPr="00B766DA">
        <w:rPr>
          <w:rFonts w:ascii="Times" w:hAnsi="Times"/>
          <w:lang w:val="en-US"/>
        </w:rPr>
        <w:t xml:space="preserve">active </w:t>
      </w:r>
      <w:r w:rsidR="00D1432F" w:rsidRPr="00B766DA">
        <w:rPr>
          <w:rFonts w:ascii="Times" w:hAnsi="Times"/>
          <w:lang w:val="en-US"/>
        </w:rPr>
        <w:t>rheumatoid arthritis</w:t>
      </w:r>
      <w:r w:rsidR="00CA28C6" w:rsidRPr="00B766DA">
        <w:rPr>
          <w:rFonts w:ascii="Times" w:hAnsi="Times"/>
          <w:lang w:val="en-US"/>
        </w:rPr>
        <w:t xml:space="preserve"> </w:t>
      </w:r>
      <w:r w:rsidR="00510F55" w:rsidRPr="00B766DA">
        <w:rPr>
          <w:rFonts w:ascii="Times" w:hAnsi="Times"/>
          <w:lang w:val="en-US"/>
        </w:rPr>
        <w:t>and</w:t>
      </w:r>
      <w:r w:rsidR="00CA28C6" w:rsidRPr="00B766DA">
        <w:rPr>
          <w:rFonts w:ascii="Times" w:hAnsi="Times"/>
          <w:lang w:val="en-US"/>
        </w:rPr>
        <w:t xml:space="preserve"> </w:t>
      </w:r>
      <w:r w:rsidR="00B5187B" w:rsidRPr="00B766DA">
        <w:rPr>
          <w:rFonts w:ascii="Times" w:hAnsi="Times"/>
          <w:lang w:val="en-US"/>
        </w:rPr>
        <w:t xml:space="preserve">an </w:t>
      </w:r>
      <w:r w:rsidR="00CA28C6" w:rsidRPr="00B766DA">
        <w:rPr>
          <w:rFonts w:ascii="Times" w:hAnsi="Times"/>
          <w:lang w:val="en-US"/>
        </w:rPr>
        <w:t xml:space="preserve">indication for </w:t>
      </w:r>
      <w:r w:rsidR="00B5187B" w:rsidRPr="00B766DA">
        <w:rPr>
          <w:rFonts w:ascii="Times" w:hAnsi="Times"/>
          <w:lang w:val="en-US"/>
        </w:rPr>
        <w:t>treatment</w:t>
      </w:r>
      <w:r w:rsidR="00CA28C6" w:rsidRPr="00B766DA">
        <w:rPr>
          <w:rFonts w:ascii="Times" w:hAnsi="Times"/>
          <w:lang w:val="en-US"/>
        </w:rPr>
        <w:t xml:space="preserve"> with an </w:t>
      </w:r>
      <w:r w:rsidR="00AD03F2" w:rsidRPr="00B766DA">
        <w:rPr>
          <w:rFonts w:ascii="Times" w:hAnsi="Times"/>
          <w:lang w:val="en-US"/>
        </w:rPr>
        <w:t>anti-</w:t>
      </w:r>
      <w:r w:rsidR="00CA28C6" w:rsidRPr="00B766DA">
        <w:rPr>
          <w:rFonts w:ascii="Times" w:hAnsi="Times"/>
          <w:lang w:val="en-US"/>
        </w:rPr>
        <w:t>IL-6R</w:t>
      </w:r>
      <w:r w:rsidR="00861CFD" w:rsidRPr="00B766DA">
        <w:rPr>
          <w:rFonts w:ascii="Times" w:hAnsi="Times"/>
          <w:lang w:val="en-US"/>
        </w:rPr>
        <w:t>.</w:t>
      </w:r>
      <w:r w:rsidR="00CA28C6" w:rsidRPr="00B766DA">
        <w:rPr>
          <w:rFonts w:ascii="Times" w:hAnsi="Times"/>
          <w:lang w:val="en-US"/>
        </w:rPr>
        <w:t xml:space="preserve"> </w:t>
      </w:r>
      <w:r w:rsidR="00235226" w:rsidRPr="00B766DA">
        <w:rPr>
          <w:rFonts w:ascii="Times" w:hAnsi="Times"/>
          <w:lang w:val="en-US"/>
        </w:rPr>
        <w:t>P</w:t>
      </w:r>
      <w:r w:rsidR="00BD7D9D" w:rsidRPr="00B766DA">
        <w:rPr>
          <w:rFonts w:ascii="Times" w:hAnsi="Times"/>
          <w:lang w:val="en-US"/>
        </w:rPr>
        <w:t xml:space="preserve">otential trial </w:t>
      </w:r>
      <w:r w:rsidR="00777528" w:rsidRPr="00B766DA">
        <w:rPr>
          <w:rFonts w:ascii="Times" w:hAnsi="Times"/>
          <w:lang w:val="en-US"/>
        </w:rPr>
        <w:t xml:space="preserve">patients </w:t>
      </w:r>
      <w:r w:rsidR="00235226" w:rsidRPr="00B766DA">
        <w:rPr>
          <w:rFonts w:ascii="Times" w:hAnsi="Times"/>
          <w:lang w:val="en-US"/>
        </w:rPr>
        <w:t>were pre-screened</w:t>
      </w:r>
      <w:r w:rsidR="00AD03F2" w:rsidRPr="00B766DA">
        <w:rPr>
          <w:rFonts w:ascii="Times" w:hAnsi="Times"/>
          <w:lang w:val="en-US"/>
        </w:rPr>
        <w:t>,</w:t>
      </w:r>
      <w:r w:rsidR="00BD7D9D" w:rsidRPr="00B766DA">
        <w:rPr>
          <w:rFonts w:ascii="Times" w:hAnsi="Times"/>
          <w:lang w:val="en-US"/>
        </w:rPr>
        <w:t xml:space="preserve"> and </w:t>
      </w:r>
      <w:r w:rsidR="00785992" w:rsidRPr="00B766DA">
        <w:rPr>
          <w:rFonts w:ascii="Times" w:hAnsi="Times"/>
          <w:lang w:val="en-US"/>
        </w:rPr>
        <w:t>those</w:t>
      </w:r>
      <w:r w:rsidR="00BD7D9D" w:rsidRPr="00B766DA">
        <w:rPr>
          <w:rFonts w:ascii="Times" w:hAnsi="Times"/>
          <w:lang w:val="en-US"/>
        </w:rPr>
        <w:t xml:space="preserve"> who fulfilled the in- and exclusion criteria were asked to participate. Most criteria were based on restrictions and warnings in the summary of product characteristics</w:t>
      </w:r>
      <w:r w:rsidR="006678A8" w:rsidRPr="00B766DA">
        <w:rPr>
          <w:rFonts w:ascii="Times" w:hAnsi="Times"/>
          <w:lang w:val="en-US"/>
        </w:rPr>
        <w:t xml:space="preserve"> (SmPC)</w:t>
      </w:r>
      <w:r w:rsidR="00BD7D9D" w:rsidRPr="00B766DA">
        <w:rPr>
          <w:rFonts w:ascii="Times" w:hAnsi="Times"/>
          <w:lang w:val="en-US"/>
        </w:rPr>
        <w:t xml:space="preserve">. The patients should be </w:t>
      </w:r>
      <w:r w:rsidR="00075914">
        <w:rPr>
          <w:rFonts w:ascii="Times" w:hAnsi="Times"/>
          <w:lang w:val="en-US"/>
        </w:rPr>
        <w:t xml:space="preserve">18-75 years old </w:t>
      </w:r>
      <w:r w:rsidR="00BD7D9D" w:rsidRPr="00B766DA">
        <w:rPr>
          <w:rFonts w:ascii="Times" w:hAnsi="Times"/>
          <w:lang w:val="en-US"/>
        </w:rPr>
        <w:t xml:space="preserve">and have active </w:t>
      </w:r>
      <w:r w:rsidR="00D1432F" w:rsidRPr="00B766DA">
        <w:rPr>
          <w:rFonts w:ascii="Times" w:hAnsi="Times"/>
          <w:lang w:val="en-US"/>
        </w:rPr>
        <w:t>rheumatoid arthritis</w:t>
      </w:r>
      <w:r w:rsidR="00BD7D9D" w:rsidRPr="00B766DA">
        <w:rPr>
          <w:rFonts w:ascii="Times" w:hAnsi="Times"/>
          <w:lang w:val="en-US"/>
        </w:rPr>
        <w:t xml:space="preserve">. </w:t>
      </w:r>
      <w:r w:rsidR="00355ADD" w:rsidRPr="00B766DA">
        <w:rPr>
          <w:rFonts w:ascii="Times" w:hAnsi="Times"/>
          <w:lang w:val="en-US"/>
        </w:rPr>
        <w:t>Estimated glomerular filtration rate (</w:t>
      </w:r>
      <w:r w:rsidR="00BD7D9D" w:rsidRPr="00B766DA">
        <w:rPr>
          <w:rFonts w:ascii="Times" w:hAnsi="Times"/>
          <w:lang w:val="en-US"/>
        </w:rPr>
        <w:t>eGFR</w:t>
      </w:r>
      <w:r w:rsidR="00355ADD" w:rsidRPr="00B766DA">
        <w:rPr>
          <w:rFonts w:ascii="Times" w:hAnsi="Times"/>
          <w:lang w:val="en-US"/>
        </w:rPr>
        <w:t>)</w:t>
      </w:r>
      <w:r w:rsidR="00BD7D9D" w:rsidRPr="00B766DA">
        <w:rPr>
          <w:rFonts w:ascii="Times" w:hAnsi="Times"/>
          <w:lang w:val="en-US"/>
        </w:rPr>
        <w:t xml:space="preserve">, absolute neutrophil count (ANC), platelet count, and </w:t>
      </w:r>
      <w:r w:rsidR="009707E4" w:rsidRPr="00B766DA">
        <w:rPr>
          <w:rFonts w:ascii="Times" w:hAnsi="Times"/>
          <w:lang w:val="en-US"/>
        </w:rPr>
        <w:t>alanine transaminase (</w:t>
      </w:r>
      <w:r w:rsidR="00BD7D9D" w:rsidRPr="00B766DA">
        <w:rPr>
          <w:rFonts w:ascii="Times" w:hAnsi="Times"/>
          <w:lang w:val="en-US"/>
        </w:rPr>
        <w:t>ALAT</w:t>
      </w:r>
      <w:r w:rsidR="009707E4" w:rsidRPr="00B766DA">
        <w:rPr>
          <w:rFonts w:ascii="Times" w:hAnsi="Times"/>
          <w:lang w:val="en-US"/>
        </w:rPr>
        <w:t>)</w:t>
      </w:r>
      <w:r w:rsidR="00BD7D9D" w:rsidRPr="00B766DA">
        <w:rPr>
          <w:rFonts w:ascii="Times" w:hAnsi="Times"/>
          <w:lang w:val="en-US"/>
        </w:rPr>
        <w:t xml:space="preserve"> should be normal or </w:t>
      </w:r>
      <w:r w:rsidR="00D426DD">
        <w:rPr>
          <w:rFonts w:ascii="Times" w:hAnsi="Times"/>
          <w:lang w:val="en-US"/>
        </w:rPr>
        <w:t>&lt;</w:t>
      </w:r>
      <w:r w:rsidR="00FD49CB">
        <w:rPr>
          <w:rFonts w:ascii="Times" w:hAnsi="Times"/>
          <w:lang w:val="en-US"/>
        </w:rPr>
        <w:t xml:space="preserve">3 x upper limit of normal, </w:t>
      </w:r>
      <w:r w:rsidR="00BD7D9D" w:rsidRPr="00B766DA">
        <w:rPr>
          <w:rFonts w:ascii="Times" w:hAnsi="Times"/>
          <w:lang w:val="en-US"/>
        </w:rPr>
        <w:t>in concordance with the SmPC. Test for hepatitis and tuberculos</w:t>
      </w:r>
      <w:r w:rsidR="00777528" w:rsidRPr="00B766DA">
        <w:rPr>
          <w:rFonts w:ascii="Times" w:hAnsi="Times"/>
          <w:lang w:val="en-US"/>
        </w:rPr>
        <w:t>is</w:t>
      </w:r>
      <w:r w:rsidR="00BD7D9D" w:rsidRPr="00B766DA">
        <w:rPr>
          <w:rFonts w:ascii="Times" w:hAnsi="Times"/>
          <w:lang w:val="en-US"/>
        </w:rPr>
        <w:t xml:space="preserve"> should be negative. Patients with severe infections, diverticulitis, or malignancies were excluded. Intake of medication</w:t>
      </w:r>
      <w:r w:rsidR="00D71AE5">
        <w:rPr>
          <w:rFonts w:ascii="Times" w:hAnsi="Times"/>
          <w:lang w:val="en-US"/>
        </w:rPr>
        <w:t xml:space="preserve"> or herbal medicines</w:t>
      </w:r>
      <w:r w:rsidR="00BD7D9D" w:rsidRPr="00B766DA">
        <w:rPr>
          <w:rFonts w:ascii="Times" w:hAnsi="Times"/>
          <w:lang w:val="en-US"/>
        </w:rPr>
        <w:t xml:space="preserve"> </w:t>
      </w:r>
      <w:r w:rsidR="00C2270A">
        <w:rPr>
          <w:rFonts w:ascii="Times" w:hAnsi="Times"/>
          <w:lang w:val="en-US"/>
        </w:rPr>
        <w:t xml:space="preserve">potentially interacting with the administered probe drugs </w:t>
      </w:r>
      <w:r w:rsidR="003B3DA1">
        <w:rPr>
          <w:rFonts w:ascii="Times" w:hAnsi="Times"/>
          <w:lang w:val="en-US"/>
        </w:rPr>
        <w:t>was</w:t>
      </w:r>
      <w:r w:rsidR="00C2270A">
        <w:rPr>
          <w:rFonts w:ascii="Times" w:hAnsi="Times"/>
          <w:lang w:val="en-US"/>
        </w:rPr>
        <w:t xml:space="preserve"> prohibited</w:t>
      </w:r>
      <w:r w:rsidR="00BD7D9D" w:rsidRPr="00B766DA">
        <w:rPr>
          <w:rFonts w:ascii="Times" w:hAnsi="Times"/>
          <w:lang w:val="en-US"/>
        </w:rPr>
        <w:t>.</w:t>
      </w:r>
      <w:r w:rsidR="003C3D58">
        <w:rPr>
          <w:rFonts w:ascii="Times" w:hAnsi="Times"/>
          <w:lang w:val="en-US"/>
        </w:rPr>
        <w:t xml:space="preserve"> </w:t>
      </w:r>
      <w:r w:rsidR="008C6368" w:rsidRPr="00B766DA">
        <w:rPr>
          <w:rFonts w:ascii="Times" w:hAnsi="Times"/>
          <w:lang w:val="en-US"/>
        </w:rPr>
        <w:lastRenderedPageBreak/>
        <w:t>Concurrent conventional disease-modifying antirheumatic drugs (DMARDs) and concomitant glucocorticoid therapy were allowed at the discretion of the treating rheumatologist</w:t>
      </w:r>
      <w:r w:rsidR="00BD7D9D" w:rsidRPr="00B766DA">
        <w:rPr>
          <w:rFonts w:ascii="Times" w:hAnsi="Times"/>
          <w:lang w:val="en-US"/>
        </w:rPr>
        <w:t xml:space="preserve">.    </w:t>
      </w:r>
    </w:p>
    <w:p w14:paraId="0C1DCCB9" w14:textId="77777777" w:rsidR="00365737" w:rsidRDefault="00365737" w:rsidP="009A2F16">
      <w:pPr>
        <w:spacing w:line="360" w:lineRule="auto"/>
        <w:jc w:val="both"/>
        <w:rPr>
          <w:rFonts w:ascii="Times" w:hAnsi="Times"/>
          <w:lang w:val="en-US"/>
        </w:rPr>
      </w:pPr>
    </w:p>
    <w:p w14:paraId="2298BFE9" w14:textId="584A8362" w:rsidR="00353618" w:rsidRDefault="000547D8" w:rsidP="009A2F16">
      <w:pPr>
        <w:spacing w:line="360" w:lineRule="auto"/>
        <w:jc w:val="both"/>
        <w:rPr>
          <w:rFonts w:ascii="Times" w:hAnsi="Times"/>
          <w:lang w:val="en-US"/>
        </w:rPr>
      </w:pPr>
      <w:r>
        <w:rPr>
          <w:rFonts w:ascii="Times" w:hAnsi="Times"/>
          <w:lang w:val="en-US"/>
        </w:rPr>
        <w:t xml:space="preserve">In this trial, </w:t>
      </w:r>
      <w:r w:rsidR="00414021">
        <w:rPr>
          <w:rFonts w:ascii="Times" w:hAnsi="Times"/>
          <w:lang w:val="en-US"/>
        </w:rPr>
        <w:t>subcutaneous (</w:t>
      </w:r>
      <w:proofErr w:type="spellStart"/>
      <w:r w:rsidR="00414021">
        <w:rPr>
          <w:rFonts w:ascii="Times" w:hAnsi="Times"/>
          <w:lang w:val="en-US"/>
        </w:rPr>
        <w:t>s.c.</w:t>
      </w:r>
      <w:proofErr w:type="spellEnd"/>
      <w:r w:rsidR="00414021">
        <w:rPr>
          <w:rFonts w:ascii="Times" w:hAnsi="Times"/>
          <w:lang w:val="en-US"/>
        </w:rPr>
        <w:t xml:space="preserve">) </w:t>
      </w:r>
      <w:r w:rsidR="00B40001">
        <w:rPr>
          <w:rFonts w:ascii="Times" w:hAnsi="Times"/>
          <w:lang w:val="en-US"/>
        </w:rPr>
        <w:t xml:space="preserve">tocilizumab </w:t>
      </w:r>
      <w:r w:rsidR="00894D99">
        <w:rPr>
          <w:rFonts w:ascii="Times" w:hAnsi="Times"/>
          <w:lang w:val="en-US"/>
        </w:rPr>
        <w:t>or</w:t>
      </w:r>
      <w:r w:rsidR="00B40001">
        <w:rPr>
          <w:rFonts w:ascii="Times" w:hAnsi="Times"/>
          <w:lang w:val="en-US"/>
        </w:rPr>
        <w:t xml:space="preserve"> sarilumab were </w:t>
      </w:r>
      <w:r w:rsidR="005E23B8">
        <w:rPr>
          <w:rFonts w:ascii="Times" w:hAnsi="Times"/>
          <w:lang w:val="en-US"/>
        </w:rPr>
        <w:t>eligible</w:t>
      </w:r>
      <w:r w:rsidR="00B40001">
        <w:rPr>
          <w:rFonts w:ascii="Times" w:hAnsi="Times"/>
          <w:lang w:val="en-US"/>
        </w:rPr>
        <w:t xml:space="preserve"> interventions</w:t>
      </w:r>
      <w:r w:rsidR="009C6264">
        <w:rPr>
          <w:rFonts w:ascii="Times" w:hAnsi="Times"/>
          <w:lang w:val="en-US"/>
        </w:rPr>
        <w:t>,</w:t>
      </w:r>
      <w:r w:rsidR="00B40001">
        <w:rPr>
          <w:rFonts w:ascii="Times" w:hAnsi="Times"/>
          <w:lang w:val="en-US"/>
        </w:rPr>
        <w:t xml:space="preserve"> and the therapy-of-choice was </w:t>
      </w:r>
      <w:r w:rsidR="00E90C27">
        <w:rPr>
          <w:rFonts w:ascii="Times" w:hAnsi="Times"/>
          <w:lang w:val="en-US"/>
        </w:rPr>
        <w:t>individual</w:t>
      </w:r>
      <w:r w:rsidR="00894D99">
        <w:rPr>
          <w:rFonts w:ascii="Times" w:hAnsi="Times"/>
          <w:lang w:val="en-US"/>
        </w:rPr>
        <w:t>ized</w:t>
      </w:r>
      <w:r w:rsidR="00E90C27">
        <w:rPr>
          <w:rFonts w:ascii="Times" w:hAnsi="Times"/>
          <w:lang w:val="en-US"/>
        </w:rPr>
        <w:t>.</w:t>
      </w:r>
      <w:r w:rsidR="00B40001">
        <w:rPr>
          <w:rFonts w:ascii="Times" w:hAnsi="Times"/>
          <w:lang w:val="en-US"/>
        </w:rPr>
        <w:t xml:space="preserve"> </w:t>
      </w:r>
      <w:r w:rsidR="00ED440D">
        <w:rPr>
          <w:rFonts w:ascii="Times" w:hAnsi="Times"/>
          <w:lang w:val="en-US"/>
        </w:rPr>
        <w:t>Patients receiving t</w:t>
      </w:r>
      <w:r w:rsidR="002C34C1">
        <w:rPr>
          <w:rFonts w:ascii="Times" w:hAnsi="Times"/>
          <w:lang w:val="en-US"/>
        </w:rPr>
        <w:t>ocilizumab</w:t>
      </w:r>
      <w:r w:rsidR="00ED440D">
        <w:rPr>
          <w:rFonts w:ascii="Times" w:hAnsi="Times"/>
          <w:lang w:val="en-US"/>
        </w:rPr>
        <w:t>,</w:t>
      </w:r>
      <w:r w:rsidR="002C34C1">
        <w:rPr>
          <w:rFonts w:ascii="Times" w:hAnsi="Times"/>
          <w:lang w:val="en-US"/>
        </w:rPr>
        <w:t xml:space="preserve"> </w:t>
      </w:r>
      <w:r w:rsidR="004B28FA">
        <w:rPr>
          <w:rFonts w:ascii="Times" w:hAnsi="Times"/>
          <w:lang w:val="en-US"/>
        </w:rPr>
        <w:t>self-</w:t>
      </w:r>
      <w:r w:rsidR="002C34C1">
        <w:rPr>
          <w:rFonts w:ascii="Times" w:hAnsi="Times"/>
          <w:lang w:val="en-US"/>
        </w:rPr>
        <w:t xml:space="preserve">administered 162 mg </w:t>
      </w:r>
      <w:proofErr w:type="spellStart"/>
      <w:r w:rsidR="00ED440D">
        <w:rPr>
          <w:rFonts w:ascii="Times" w:hAnsi="Times"/>
          <w:lang w:val="en-US"/>
        </w:rPr>
        <w:t>s.c.</w:t>
      </w:r>
      <w:proofErr w:type="spellEnd"/>
      <w:r w:rsidR="00ED440D">
        <w:rPr>
          <w:rFonts w:ascii="Times" w:hAnsi="Times"/>
          <w:lang w:val="en-US"/>
        </w:rPr>
        <w:t xml:space="preserve"> every week</w:t>
      </w:r>
      <w:r w:rsidR="00437E9E">
        <w:rPr>
          <w:rFonts w:ascii="Times" w:hAnsi="Times"/>
          <w:lang w:val="en-US"/>
        </w:rPr>
        <w:t>,</w:t>
      </w:r>
      <w:r w:rsidR="00ED440D">
        <w:rPr>
          <w:rFonts w:ascii="Times" w:hAnsi="Times"/>
          <w:lang w:val="en-US"/>
        </w:rPr>
        <w:t xml:space="preserve"> and patients receiving </w:t>
      </w:r>
      <w:r w:rsidR="00442F55">
        <w:rPr>
          <w:rFonts w:ascii="Times" w:hAnsi="Times"/>
          <w:lang w:val="en-US"/>
        </w:rPr>
        <w:t xml:space="preserve">sarilumab </w:t>
      </w:r>
      <w:r w:rsidR="004B28FA">
        <w:rPr>
          <w:rFonts w:ascii="Times" w:hAnsi="Times"/>
          <w:lang w:val="en-US"/>
        </w:rPr>
        <w:t>self-</w:t>
      </w:r>
      <w:r w:rsidR="00442F55">
        <w:rPr>
          <w:rFonts w:ascii="Times" w:hAnsi="Times"/>
          <w:lang w:val="en-US"/>
        </w:rPr>
        <w:t xml:space="preserve">administered 200 mg </w:t>
      </w:r>
      <w:proofErr w:type="spellStart"/>
      <w:r w:rsidR="00414021">
        <w:rPr>
          <w:rFonts w:ascii="Times" w:hAnsi="Times"/>
          <w:lang w:val="en-US"/>
        </w:rPr>
        <w:t>s.c.</w:t>
      </w:r>
      <w:proofErr w:type="spellEnd"/>
      <w:r w:rsidR="00414021">
        <w:rPr>
          <w:rFonts w:ascii="Times" w:hAnsi="Times"/>
          <w:lang w:val="en-US"/>
        </w:rPr>
        <w:t xml:space="preserve"> </w:t>
      </w:r>
      <w:r w:rsidR="00442F55">
        <w:rPr>
          <w:rFonts w:ascii="Times" w:hAnsi="Times"/>
          <w:lang w:val="en-US"/>
        </w:rPr>
        <w:t xml:space="preserve">every </w:t>
      </w:r>
      <w:r w:rsidR="00080812">
        <w:rPr>
          <w:rFonts w:ascii="Times" w:hAnsi="Times"/>
          <w:lang w:val="en-US"/>
        </w:rPr>
        <w:t>other</w:t>
      </w:r>
      <w:r w:rsidR="00442F55">
        <w:rPr>
          <w:rFonts w:ascii="Times" w:hAnsi="Times"/>
          <w:lang w:val="en-US"/>
        </w:rPr>
        <w:t xml:space="preserve"> </w:t>
      </w:r>
      <w:r w:rsidR="00C46813">
        <w:rPr>
          <w:rFonts w:ascii="Times" w:hAnsi="Times"/>
          <w:lang w:val="en-US"/>
        </w:rPr>
        <w:t>week</w:t>
      </w:r>
      <w:r w:rsidR="00442F55">
        <w:rPr>
          <w:rFonts w:ascii="Times" w:hAnsi="Times"/>
          <w:lang w:val="en-US"/>
        </w:rPr>
        <w:t xml:space="preserve">. </w:t>
      </w:r>
      <w:r w:rsidR="002B0072">
        <w:rPr>
          <w:rFonts w:ascii="Times" w:hAnsi="Times"/>
          <w:lang w:val="en-US"/>
        </w:rPr>
        <w:t>Patients recorded the time of administration</w:t>
      </w:r>
      <w:r w:rsidR="005948A0">
        <w:rPr>
          <w:rFonts w:ascii="Times" w:hAnsi="Times"/>
          <w:lang w:val="en-US"/>
        </w:rPr>
        <w:t xml:space="preserve"> to ensure compliance.</w:t>
      </w:r>
      <w:r w:rsidR="00B27BB4">
        <w:rPr>
          <w:rFonts w:ascii="Times" w:hAnsi="Times"/>
          <w:lang w:val="en-US"/>
        </w:rPr>
        <w:t xml:space="preserve"> </w:t>
      </w:r>
      <w:r w:rsidR="00C736A3">
        <w:rPr>
          <w:rFonts w:ascii="Times" w:hAnsi="Times"/>
          <w:lang w:val="en-US"/>
        </w:rPr>
        <w:t xml:space="preserve">Clinical data </w:t>
      </w:r>
      <w:r w:rsidR="001D3135">
        <w:rPr>
          <w:rFonts w:ascii="Times" w:hAnsi="Times"/>
          <w:lang w:val="en-US"/>
        </w:rPr>
        <w:t>were</w:t>
      </w:r>
      <w:r w:rsidR="00C736A3">
        <w:rPr>
          <w:rFonts w:ascii="Times" w:hAnsi="Times"/>
          <w:lang w:val="en-US"/>
        </w:rPr>
        <w:t xml:space="preserve"> obtained from medical records</w:t>
      </w:r>
      <w:r w:rsidR="00EA1979">
        <w:rPr>
          <w:rFonts w:ascii="Times" w:hAnsi="Times"/>
          <w:lang w:val="en-US"/>
        </w:rPr>
        <w:t>,</w:t>
      </w:r>
      <w:r w:rsidR="00C736A3">
        <w:rPr>
          <w:rFonts w:ascii="Times" w:hAnsi="Times"/>
          <w:lang w:val="en-US"/>
        </w:rPr>
        <w:t xml:space="preserve"> and </w:t>
      </w:r>
      <w:r w:rsidR="001D3135">
        <w:rPr>
          <w:rFonts w:ascii="Times" w:hAnsi="Times"/>
          <w:lang w:val="en-US"/>
        </w:rPr>
        <w:t>follow-up</w:t>
      </w:r>
      <w:r w:rsidR="00C736A3">
        <w:rPr>
          <w:rFonts w:ascii="Times" w:hAnsi="Times"/>
          <w:lang w:val="en-US"/>
        </w:rPr>
        <w:t xml:space="preserve"> was concluded </w:t>
      </w:r>
      <w:r w:rsidR="00EA1979">
        <w:rPr>
          <w:rFonts w:ascii="Times" w:hAnsi="Times"/>
          <w:lang w:val="en-US"/>
        </w:rPr>
        <w:t>three</w:t>
      </w:r>
      <w:r w:rsidR="00C736A3">
        <w:rPr>
          <w:rFonts w:ascii="Times" w:hAnsi="Times"/>
          <w:lang w:val="en-US"/>
        </w:rPr>
        <w:t xml:space="preserve"> months after </w:t>
      </w:r>
      <w:r w:rsidR="00D51EEE">
        <w:rPr>
          <w:rFonts w:ascii="Times" w:hAnsi="Times"/>
          <w:lang w:val="en-US"/>
        </w:rPr>
        <w:t xml:space="preserve">the last </w:t>
      </w:r>
      <w:r w:rsidR="003E0868">
        <w:rPr>
          <w:rFonts w:ascii="Times" w:hAnsi="Times"/>
          <w:lang w:val="en-US"/>
        </w:rPr>
        <w:t>trial day</w:t>
      </w:r>
      <w:r w:rsidR="00D51EEE">
        <w:rPr>
          <w:rFonts w:ascii="Times" w:hAnsi="Times"/>
          <w:lang w:val="en-US"/>
        </w:rPr>
        <w:t xml:space="preserve"> (</w:t>
      </w:r>
      <w:r w:rsidR="00050BA8">
        <w:rPr>
          <w:rFonts w:ascii="Times" w:hAnsi="Times"/>
          <w:lang w:val="en-US"/>
        </w:rPr>
        <w:t>12 weeks</w:t>
      </w:r>
      <w:r w:rsidR="00D51EEE">
        <w:rPr>
          <w:rFonts w:ascii="Times" w:hAnsi="Times"/>
          <w:lang w:val="en-US"/>
        </w:rPr>
        <w:t>)</w:t>
      </w:r>
      <w:r w:rsidR="001D3135">
        <w:rPr>
          <w:rFonts w:ascii="Times" w:hAnsi="Times"/>
          <w:lang w:val="en-US"/>
        </w:rPr>
        <w:t>.</w:t>
      </w:r>
    </w:p>
    <w:p w14:paraId="32F02FF1" w14:textId="77777777" w:rsidR="00365737" w:rsidRDefault="00365737" w:rsidP="009A2F16">
      <w:pPr>
        <w:spacing w:line="360" w:lineRule="auto"/>
        <w:jc w:val="both"/>
        <w:rPr>
          <w:rFonts w:ascii="Times" w:hAnsi="Times"/>
          <w:lang w:val="en-US"/>
        </w:rPr>
      </w:pPr>
    </w:p>
    <w:p w14:paraId="6DF055D5" w14:textId="4889DA04" w:rsidR="004A0369" w:rsidRPr="00E03CC7" w:rsidRDefault="004A0369" w:rsidP="00E03CC7">
      <w:pPr>
        <w:spacing w:line="360" w:lineRule="auto"/>
        <w:jc w:val="both"/>
        <w:rPr>
          <w:rFonts w:ascii="Times" w:hAnsi="Times"/>
          <w:lang w:val="en-US"/>
        </w:rPr>
      </w:pPr>
      <w:r w:rsidRPr="00E03CC7">
        <w:rPr>
          <w:rFonts w:ascii="Times" w:hAnsi="Times"/>
          <w:lang w:val="en-US"/>
        </w:rPr>
        <w:t xml:space="preserve">The </w:t>
      </w:r>
      <w:r w:rsidR="00053897" w:rsidRPr="00E03CC7">
        <w:rPr>
          <w:rFonts w:ascii="Times" w:hAnsi="Times"/>
          <w:lang w:val="en-US"/>
        </w:rPr>
        <w:t>trial</w:t>
      </w:r>
      <w:r w:rsidRPr="00E03CC7">
        <w:rPr>
          <w:rFonts w:ascii="Times" w:hAnsi="Times"/>
          <w:lang w:val="en-US"/>
        </w:rPr>
        <w:t xml:space="preserve"> was designed as a self-controlled </w:t>
      </w:r>
      <w:r w:rsidR="00C31181" w:rsidRPr="00E03CC7">
        <w:rPr>
          <w:rFonts w:ascii="Times" w:hAnsi="Times"/>
          <w:lang w:val="en-US"/>
        </w:rPr>
        <w:t>trial</w:t>
      </w:r>
      <w:r w:rsidRPr="00E03CC7">
        <w:rPr>
          <w:rFonts w:ascii="Times" w:hAnsi="Times"/>
          <w:lang w:val="en-US"/>
        </w:rPr>
        <w:t xml:space="preserve">, and each patient </w:t>
      </w:r>
      <w:r w:rsidR="00105472" w:rsidRPr="00E03CC7">
        <w:rPr>
          <w:rFonts w:ascii="Times" w:hAnsi="Times"/>
          <w:lang w:val="en-US"/>
        </w:rPr>
        <w:t xml:space="preserve">acted as their own control. </w:t>
      </w:r>
      <w:r w:rsidR="00DA672E" w:rsidRPr="00E03CC7">
        <w:rPr>
          <w:rFonts w:ascii="Times" w:hAnsi="Times"/>
          <w:lang w:val="en-US"/>
        </w:rPr>
        <w:t>The initiation of an anti-IL-6R was defined as day 0</w:t>
      </w:r>
      <w:r w:rsidR="0001485B" w:rsidRPr="00E03CC7">
        <w:rPr>
          <w:rFonts w:ascii="Times" w:hAnsi="Times"/>
          <w:lang w:val="en-US"/>
        </w:rPr>
        <w:t>.</w:t>
      </w:r>
      <w:r w:rsidR="00DA672E" w:rsidRPr="00E03CC7">
        <w:rPr>
          <w:rFonts w:ascii="Times" w:hAnsi="Times"/>
          <w:lang w:val="en-US"/>
        </w:rPr>
        <w:t xml:space="preserve"> </w:t>
      </w:r>
      <w:r w:rsidR="0001485B" w:rsidRPr="00E03CC7">
        <w:rPr>
          <w:rFonts w:ascii="Times" w:hAnsi="Times"/>
          <w:lang w:val="en-US"/>
        </w:rPr>
        <w:t>T</w:t>
      </w:r>
      <w:r w:rsidR="00DA672E" w:rsidRPr="00E03CC7">
        <w:rPr>
          <w:rFonts w:ascii="Times" w:hAnsi="Times"/>
          <w:lang w:val="en-US"/>
        </w:rPr>
        <w:t xml:space="preserve">he </w:t>
      </w:r>
      <w:r w:rsidR="00BD7D9D" w:rsidRPr="00E03CC7">
        <w:rPr>
          <w:rFonts w:ascii="Times" w:hAnsi="Times"/>
          <w:lang w:val="en-US"/>
        </w:rPr>
        <w:t xml:space="preserve">patients </w:t>
      </w:r>
      <w:r w:rsidR="009F3101" w:rsidRPr="00E03CC7">
        <w:rPr>
          <w:rFonts w:ascii="Times" w:hAnsi="Times"/>
          <w:lang w:val="en-US"/>
        </w:rPr>
        <w:t>attended</w:t>
      </w:r>
      <w:r w:rsidR="00BD7D9D" w:rsidRPr="00E03CC7">
        <w:rPr>
          <w:rFonts w:ascii="Times" w:hAnsi="Times"/>
          <w:lang w:val="en-US"/>
        </w:rPr>
        <w:t xml:space="preserve"> three trial days; b</w:t>
      </w:r>
      <w:r w:rsidR="002414FD" w:rsidRPr="00E03CC7">
        <w:rPr>
          <w:rFonts w:ascii="Times" w:hAnsi="Times"/>
          <w:lang w:val="en-US"/>
        </w:rPr>
        <w:t xml:space="preserve">efore initiation </w:t>
      </w:r>
      <w:r w:rsidR="00F93552" w:rsidRPr="00E03CC7">
        <w:rPr>
          <w:rFonts w:ascii="Times" w:hAnsi="Times"/>
          <w:lang w:val="en-US"/>
        </w:rPr>
        <w:t>of the</w:t>
      </w:r>
      <w:r w:rsidR="002414FD" w:rsidRPr="00E03CC7">
        <w:rPr>
          <w:rFonts w:ascii="Times" w:hAnsi="Times"/>
          <w:lang w:val="en-US"/>
        </w:rPr>
        <w:t xml:space="preserve"> </w:t>
      </w:r>
      <w:r w:rsidR="009F3101" w:rsidRPr="00E03CC7">
        <w:rPr>
          <w:rFonts w:ascii="Times" w:hAnsi="Times"/>
          <w:lang w:val="en-US"/>
        </w:rPr>
        <w:t>anti-</w:t>
      </w:r>
      <w:r w:rsidR="002414FD" w:rsidRPr="00E03CC7">
        <w:rPr>
          <w:rFonts w:ascii="Times" w:hAnsi="Times"/>
          <w:lang w:val="en-US"/>
        </w:rPr>
        <w:t>IL-6R therapy</w:t>
      </w:r>
      <w:r w:rsidR="00F93552" w:rsidRPr="00E03CC7">
        <w:rPr>
          <w:rFonts w:ascii="Times" w:hAnsi="Times"/>
          <w:lang w:val="en-US"/>
        </w:rPr>
        <w:t xml:space="preserve"> (</w:t>
      </w:r>
      <w:r w:rsidR="00300BFA">
        <w:rPr>
          <w:rFonts w:ascii="Times" w:hAnsi="Times"/>
          <w:lang w:val="en-US"/>
        </w:rPr>
        <w:t>b</w:t>
      </w:r>
      <w:r w:rsidR="009F3101" w:rsidRPr="00E03CC7">
        <w:rPr>
          <w:rFonts w:ascii="Times" w:hAnsi="Times"/>
          <w:lang w:val="en-US"/>
        </w:rPr>
        <w:t>aseline</w:t>
      </w:r>
      <w:r w:rsidR="00300BFA">
        <w:rPr>
          <w:rFonts w:ascii="Times" w:hAnsi="Times"/>
          <w:lang w:val="en-US"/>
        </w:rPr>
        <w:t>;</w:t>
      </w:r>
      <w:r w:rsidR="00BD7D9D" w:rsidRPr="00E03CC7">
        <w:rPr>
          <w:rFonts w:ascii="Times" w:hAnsi="Times"/>
          <w:lang w:val="en-US"/>
        </w:rPr>
        <w:t xml:space="preserve"> </w:t>
      </w:r>
      <w:r w:rsidR="007F4408" w:rsidRPr="00E03CC7">
        <w:rPr>
          <w:rFonts w:ascii="Times" w:hAnsi="Times"/>
          <w:lang w:val="en-US"/>
        </w:rPr>
        <w:t>day</w:t>
      </w:r>
      <w:r w:rsidR="00365737" w:rsidRPr="00E03CC7">
        <w:rPr>
          <w:rFonts w:ascii="Times" w:hAnsi="Times"/>
          <w:lang w:val="en-US"/>
        </w:rPr>
        <w:t xml:space="preserve"> </w:t>
      </w:r>
      <w:r w:rsidR="007F4408" w:rsidRPr="00E03CC7">
        <w:rPr>
          <w:rFonts w:ascii="Times" w:hAnsi="Times"/>
          <w:lang w:val="en-US"/>
        </w:rPr>
        <w:t>-7 ±5 days)</w:t>
      </w:r>
      <w:r w:rsidR="00BD7D9D" w:rsidRPr="00E03CC7">
        <w:rPr>
          <w:rFonts w:ascii="Times" w:hAnsi="Times"/>
          <w:lang w:val="en-US"/>
        </w:rPr>
        <w:t xml:space="preserve">, after </w:t>
      </w:r>
      <w:r w:rsidR="00EA1979" w:rsidRPr="00E03CC7">
        <w:rPr>
          <w:rFonts w:ascii="Times" w:hAnsi="Times"/>
          <w:lang w:val="en-US"/>
        </w:rPr>
        <w:t>three</w:t>
      </w:r>
      <w:r w:rsidR="00BD7D9D" w:rsidRPr="00E03CC7">
        <w:rPr>
          <w:rFonts w:ascii="Times" w:hAnsi="Times"/>
          <w:lang w:val="en-US"/>
        </w:rPr>
        <w:t xml:space="preserve"> weeks of </w:t>
      </w:r>
      <w:r w:rsidR="0001485B" w:rsidRPr="00E03CC7">
        <w:rPr>
          <w:rFonts w:ascii="Times" w:hAnsi="Times"/>
          <w:lang w:val="en-US"/>
        </w:rPr>
        <w:t>anti-</w:t>
      </w:r>
      <w:r w:rsidR="00BD7D9D" w:rsidRPr="00E03CC7">
        <w:rPr>
          <w:rFonts w:ascii="Times" w:hAnsi="Times"/>
          <w:lang w:val="en-US"/>
        </w:rPr>
        <w:t>IL-6R</w:t>
      </w:r>
      <w:r w:rsidR="007E0CC7" w:rsidRPr="00E03CC7">
        <w:rPr>
          <w:rFonts w:ascii="Times" w:hAnsi="Times"/>
          <w:lang w:val="en-US"/>
        </w:rPr>
        <w:t xml:space="preserve"> therapy</w:t>
      </w:r>
      <w:r w:rsidR="00BD7D9D" w:rsidRPr="00E03CC7">
        <w:rPr>
          <w:rFonts w:ascii="Times" w:hAnsi="Times"/>
          <w:lang w:val="en-US"/>
        </w:rPr>
        <w:t xml:space="preserve"> (day 21</w:t>
      </w:r>
      <w:r w:rsidR="00365737" w:rsidRPr="00E03CC7">
        <w:rPr>
          <w:rFonts w:ascii="Times" w:hAnsi="Times"/>
          <w:lang w:val="en-US"/>
        </w:rPr>
        <w:t xml:space="preserve"> </w:t>
      </w:r>
      <w:r w:rsidR="00BD7D9D" w:rsidRPr="00E03CC7">
        <w:rPr>
          <w:rFonts w:ascii="Times" w:hAnsi="Times"/>
          <w:lang w:val="en-US"/>
        </w:rPr>
        <w:t>±10 days)</w:t>
      </w:r>
      <w:r w:rsidR="007E0CC7" w:rsidRPr="00E03CC7">
        <w:rPr>
          <w:rFonts w:ascii="Times" w:hAnsi="Times"/>
          <w:lang w:val="en-US"/>
        </w:rPr>
        <w:t xml:space="preserve">, and after 12 weeks of </w:t>
      </w:r>
      <w:r w:rsidR="00264809" w:rsidRPr="00E03CC7">
        <w:rPr>
          <w:rFonts w:ascii="Times" w:hAnsi="Times"/>
          <w:lang w:val="en-US"/>
        </w:rPr>
        <w:t>anti-</w:t>
      </w:r>
      <w:r w:rsidR="007E0CC7" w:rsidRPr="00E03CC7">
        <w:rPr>
          <w:rFonts w:ascii="Times" w:hAnsi="Times"/>
          <w:lang w:val="en-US"/>
        </w:rPr>
        <w:t>IL-6R therapy (</w:t>
      </w:r>
      <w:r w:rsidR="003E0868" w:rsidRPr="00E03CC7">
        <w:rPr>
          <w:rFonts w:ascii="Times" w:hAnsi="Times"/>
          <w:lang w:val="en-US"/>
        </w:rPr>
        <w:t>d</w:t>
      </w:r>
      <w:r w:rsidR="00365737" w:rsidRPr="00E03CC7">
        <w:rPr>
          <w:rFonts w:ascii="Times" w:hAnsi="Times"/>
          <w:lang w:val="en-US"/>
        </w:rPr>
        <w:t>ay 84 ±10 days)</w:t>
      </w:r>
      <w:r w:rsidR="007F4408" w:rsidRPr="00E03CC7">
        <w:rPr>
          <w:rFonts w:ascii="Times" w:hAnsi="Times"/>
          <w:lang w:val="en-US"/>
        </w:rPr>
        <w:t xml:space="preserve">. </w:t>
      </w:r>
      <w:r w:rsidR="00C90CAA" w:rsidRPr="00E03CC7">
        <w:rPr>
          <w:rFonts w:ascii="Times" w:hAnsi="Times"/>
          <w:lang w:val="en-US"/>
        </w:rPr>
        <w:t xml:space="preserve">Patients were restricted from consuming bitter orange, grapefruit, alcohol, caffeine, and theobromine 48 hours before each </w:t>
      </w:r>
      <w:r w:rsidR="003E0868" w:rsidRPr="00E03CC7">
        <w:rPr>
          <w:rFonts w:ascii="Times" w:hAnsi="Times"/>
          <w:lang w:val="en-US"/>
        </w:rPr>
        <w:t>trial day</w:t>
      </w:r>
      <w:r w:rsidR="00C90CAA" w:rsidRPr="00E03CC7">
        <w:rPr>
          <w:rFonts w:ascii="Times" w:hAnsi="Times"/>
          <w:lang w:val="en-US"/>
        </w:rPr>
        <w:t xml:space="preserve">. </w:t>
      </w:r>
      <w:r w:rsidR="00520318" w:rsidRPr="00E03CC7">
        <w:rPr>
          <w:rFonts w:ascii="Times" w:hAnsi="Times"/>
          <w:lang w:val="en-US"/>
        </w:rPr>
        <w:t>Following an overnight fast</w:t>
      </w:r>
      <w:r w:rsidR="00382619" w:rsidRPr="00E03CC7">
        <w:rPr>
          <w:rFonts w:ascii="Times" w:hAnsi="Times"/>
          <w:lang w:val="en-US"/>
        </w:rPr>
        <w:t>, p</w:t>
      </w:r>
      <w:r w:rsidR="007F4408" w:rsidRPr="00E03CC7">
        <w:rPr>
          <w:rFonts w:ascii="Times" w:hAnsi="Times"/>
          <w:lang w:val="en-US"/>
        </w:rPr>
        <w:t>atients ingested the Basel cocktail</w:t>
      </w:r>
      <w:r w:rsidR="00B97049" w:rsidRPr="00E03CC7">
        <w:rPr>
          <w:rFonts w:ascii="Times" w:hAnsi="Times"/>
          <w:lang w:val="en-US"/>
        </w:rPr>
        <w:t xml:space="preserve"> </w:t>
      </w:r>
      <w:r w:rsidR="00B97049" w:rsidRPr="00E03CC7">
        <w:rPr>
          <w:rFonts w:ascii="Times" w:hAnsi="Times"/>
          <w:lang w:val="en-US"/>
        </w:rPr>
        <w:fldChar w:fldCharType="begin"/>
      </w:r>
      <w:r w:rsidR="00296450">
        <w:rPr>
          <w:rFonts w:ascii="Times" w:hAnsi="Times"/>
          <w:lang w:val="en-US"/>
        </w:rPr>
        <w:instrText xml:space="preserve"> ADDIN ZOTERO_ITEM CSL_CITATION {"citationID":"INsyg9Cl","properties":{"formattedCitation":"(17,18)","plainCitation":"(17,18)","noteIndex":0},"citationItems":[{"id":327,"uris":["http://zotero.org/users/4954704/items/88CFJD6F"],"itemData":{"id":327,"type":"article-journal","abstract":"Background and Objective Phenotyping cocktails use a combination of cytochrome P450 (CYP)-speciﬁc probe drugs to simultaneously assess the activity of different CYP isoforms. To improve the clinical applicability of CYP phenotyping, the main objectives of this study were to develop a new cocktail based on probe drugs that are widely used in clinical practice and to test whether alternative sampling methods such as collection of dried blood spots (DBS) or saliva could be used to simplify the sampling process.","container-title":"Clinical Pharmacokinetics","DOI":"10.1007/s40262-013-0115-0","ISSN":"0312-5963, 1179-1926","issue":"3","journalAbbreviation":"Clin Pharmacokinet","language":"en","page":"271-282","source":"DOI.org (Crossref)","title":"The Basel Cocktail for Simultaneous Phenotyping of Human Cytochrome P450 Isoforms in Plasma, Saliva and Dried Blood Spots","volume":"53","author":[{"family":"Donzelli","given":"Massimiliano"},{"family":"Derungs","given":"Adrian"},{"family":"Serratore","given":"Maria-Giovanna"},{"family":"Noppen","given":"Christoph"},{"family":"Nezic","given":"Lana"},{"family":"Krähenbühl","given":"Stephan"},{"family":"Haschke","given":"Manuel"}],"issued":{"date-parts":[["2014",3]]}}},{"id":329,"uris":["http://zotero.org/users/4954704/items/3YBTN7V3"],"itemData":{"id":329,"type":"article-journal","abstract":"Background and Objective Activity of human cytochrome P450 enzymes (CYPs) shows high inter-and intraindividual variability, which is determined by genetic and non-genetic factors. Using a combination of CYP-speciﬁc probe drugs, phenotyping cocktails allow simultaneous assessment of the activity of different CYP isoforms. The objective of this study was to characterize the phenotyping metrics of the Basel cocktail in healthy male subjects with induced and inhibited CYP activity.","container-title":"Clinical Pharmacokinetics","DOI":"10.1007/s40262-015-0294-y","ISSN":"0312-5963, 1179-1926","issue":"1","journalAbbreviation":"Clin Pharmacokinet","language":"en","page":"79-91","source":"DOI.org (Crossref)","title":"Effects of Cytochrome P450 Inhibition and Induction on the Phenotyping Metrics of the Basel Cocktail: A Randomized Crossover Study","title-short":"Effects of Cytochrome P450 Inhibition and Induction on the Phenotyping Metrics of the Basel Cocktail","volume":"55","author":[{"family":"Derungs","given":"Adrian"},{"family":"Donzelli","given":"Massimiliano"},{"family":"Berger","given":"Benjamin"},{"family":"Noppen","given":"Christoph"},{"family":"Krähenbühl","given":"Stephan"},{"family":"Haschke","given":"Manuel"}],"issued":{"date-parts":[["2016",1]]}}}],"schema":"https://github.com/citation-style-language/schema/raw/master/csl-citation.json"} </w:instrText>
      </w:r>
      <w:r w:rsidR="00B97049" w:rsidRPr="00E03CC7">
        <w:rPr>
          <w:rFonts w:ascii="Times" w:hAnsi="Times"/>
          <w:lang w:val="en-US"/>
        </w:rPr>
        <w:fldChar w:fldCharType="separate"/>
      </w:r>
      <w:r w:rsidR="00296450">
        <w:rPr>
          <w:rFonts w:ascii="Times" w:hAnsi="Times"/>
          <w:noProof/>
          <w:lang w:val="en-US"/>
        </w:rPr>
        <w:t>(17,18)</w:t>
      </w:r>
      <w:r w:rsidR="00B97049" w:rsidRPr="00E03CC7">
        <w:rPr>
          <w:rFonts w:ascii="Times" w:hAnsi="Times"/>
          <w:lang w:val="en-US"/>
        </w:rPr>
        <w:fldChar w:fldCharType="end"/>
      </w:r>
      <w:r w:rsidR="007F4408" w:rsidRPr="00E03CC7">
        <w:rPr>
          <w:rFonts w:ascii="Times" w:hAnsi="Times"/>
          <w:lang w:val="en-US"/>
        </w:rPr>
        <w:t xml:space="preserve">, consisting of </w:t>
      </w:r>
      <w:r w:rsidR="00B97049" w:rsidRPr="00E03CC7">
        <w:rPr>
          <w:rFonts w:ascii="Times" w:hAnsi="Times"/>
          <w:lang w:val="en-US"/>
        </w:rPr>
        <w:t>100 mg caffeine (</w:t>
      </w:r>
      <w:proofErr w:type="spellStart"/>
      <w:r w:rsidR="00B97049" w:rsidRPr="00E03CC7">
        <w:rPr>
          <w:rFonts w:ascii="Times" w:hAnsi="Times"/>
          <w:lang w:val="en-US"/>
        </w:rPr>
        <w:t>Cofi</w:t>
      </w:r>
      <w:proofErr w:type="spellEnd"/>
      <w:r w:rsidR="00B97049" w:rsidRPr="00E03CC7">
        <w:rPr>
          <w:rFonts w:ascii="Times" w:hAnsi="Times"/>
          <w:lang w:val="en-US"/>
        </w:rPr>
        <w:t xml:space="preserve">-Tabs (dietary supplement), </w:t>
      </w:r>
      <w:proofErr w:type="spellStart"/>
      <w:r w:rsidR="00B97049" w:rsidRPr="00E03CC7">
        <w:rPr>
          <w:rFonts w:ascii="Times" w:hAnsi="Times"/>
          <w:lang w:val="en-US"/>
        </w:rPr>
        <w:t>Vitabalans</w:t>
      </w:r>
      <w:proofErr w:type="spellEnd"/>
      <w:r w:rsidR="00B97049" w:rsidRPr="00E03CC7">
        <w:rPr>
          <w:rFonts w:ascii="Times" w:hAnsi="Times"/>
          <w:lang w:val="en-US"/>
        </w:rPr>
        <w:t>, Finland)), 50 mg efavirenz (</w:t>
      </w:r>
      <w:proofErr w:type="spellStart"/>
      <w:r w:rsidR="00B97049" w:rsidRPr="00E03CC7">
        <w:rPr>
          <w:rFonts w:ascii="Times" w:hAnsi="Times"/>
          <w:lang w:val="en-US"/>
        </w:rPr>
        <w:t>Stocrin</w:t>
      </w:r>
      <w:proofErr w:type="spellEnd"/>
      <w:r w:rsidR="00B97049" w:rsidRPr="00E03CC7">
        <w:rPr>
          <w:rFonts w:ascii="Times" w:hAnsi="Times"/>
          <w:lang w:val="en-US"/>
        </w:rPr>
        <w:t>®, MSD, Denmark), 12.5 mg losartan (Losartan “Medical Valley,” Medical Valley, Sweden), 10 mg omeprazole (Omeprazole “Medical Valley,” Medical Valley, Sweden), 12.5 mg metoprolol (</w:t>
      </w:r>
      <w:proofErr w:type="spellStart"/>
      <w:r w:rsidR="00B97049" w:rsidRPr="00E03CC7">
        <w:rPr>
          <w:rFonts w:ascii="Times" w:hAnsi="Times"/>
          <w:lang w:val="en-US"/>
        </w:rPr>
        <w:t>Metoprololsuccinat</w:t>
      </w:r>
      <w:proofErr w:type="spellEnd"/>
      <w:r w:rsidR="00B97049" w:rsidRPr="00E03CC7">
        <w:rPr>
          <w:rFonts w:ascii="Times" w:hAnsi="Times"/>
          <w:lang w:val="en-US"/>
        </w:rPr>
        <w:t xml:space="preserve"> “</w:t>
      </w:r>
      <w:proofErr w:type="spellStart"/>
      <w:r w:rsidR="00B97049" w:rsidRPr="00E03CC7">
        <w:rPr>
          <w:rFonts w:ascii="Times" w:hAnsi="Times"/>
          <w:lang w:val="en-US"/>
        </w:rPr>
        <w:t>Hexal</w:t>
      </w:r>
      <w:proofErr w:type="spellEnd"/>
      <w:r w:rsidR="00B97049" w:rsidRPr="00E03CC7">
        <w:rPr>
          <w:rFonts w:ascii="Times" w:hAnsi="Times"/>
          <w:lang w:val="en-US"/>
        </w:rPr>
        <w:t xml:space="preserve">,” Sandoz, Denmark), and 2 mg midazolam (oral solution, </w:t>
      </w:r>
      <w:proofErr w:type="spellStart"/>
      <w:r w:rsidR="00B97049" w:rsidRPr="00E03CC7">
        <w:rPr>
          <w:rFonts w:ascii="Times" w:hAnsi="Times"/>
          <w:lang w:val="en-US"/>
        </w:rPr>
        <w:t>Ozalin</w:t>
      </w:r>
      <w:proofErr w:type="spellEnd"/>
      <w:r w:rsidR="00B97049" w:rsidRPr="00E03CC7">
        <w:rPr>
          <w:rFonts w:ascii="Times" w:hAnsi="Times"/>
          <w:lang w:val="en-US"/>
        </w:rPr>
        <w:t xml:space="preserve">, </w:t>
      </w:r>
      <w:proofErr w:type="spellStart"/>
      <w:r w:rsidR="00B97049" w:rsidRPr="00E03CC7">
        <w:rPr>
          <w:rFonts w:ascii="Times" w:hAnsi="Times"/>
          <w:lang w:val="en-US"/>
        </w:rPr>
        <w:t>Primex</w:t>
      </w:r>
      <w:proofErr w:type="spellEnd"/>
      <w:r w:rsidR="00B97049" w:rsidRPr="00E03CC7">
        <w:rPr>
          <w:rFonts w:ascii="Times" w:hAnsi="Times"/>
          <w:lang w:val="en-US"/>
        </w:rPr>
        <w:t xml:space="preserve"> Pharmaceuticals, Finland))</w:t>
      </w:r>
      <w:r w:rsidR="00382619" w:rsidRPr="00E03CC7">
        <w:rPr>
          <w:rFonts w:ascii="Times" w:hAnsi="Times"/>
          <w:lang w:val="en-US"/>
        </w:rPr>
        <w:t xml:space="preserve">. </w:t>
      </w:r>
      <w:r w:rsidR="002B4571" w:rsidRPr="00E03CC7">
        <w:rPr>
          <w:rFonts w:ascii="Times" w:hAnsi="Times"/>
          <w:lang w:val="en-US"/>
        </w:rPr>
        <w:t xml:space="preserve">Blood </w:t>
      </w:r>
      <w:r w:rsidR="0085238C" w:rsidRPr="00E03CC7">
        <w:rPr>
          <w:rFonts w:ascii="Times" w:hAnsi="Times"/>
          <w:lang w:val="en-US"/>
        </w:rPr>
        <w:t xml:space="preserve">samples </w:t>
      </w:r>
      <w:r w:rsidR="00BA3658" w:rsidRPr="00E03CC7">
        <w:rPr>
          <w:rFonts w:ascii="Times" w:hAnsi="Times"/>
          <w:lang w:val="en-US"/>
        </w:rPr>
        <w:t>were drawn through</w:t>
      </w:r>
      <w:r w:rsidR="00643483" w:rsidRPr="00E03CC7">
        <w:rPr>
          <w:rFonts w:ascii="Times" w:hAnsi="Times"/>
          <w:lang w:val="en-US"/>
        </w:rPr>
        <w:t xml:space="preserve"> </w:t>
      </w:r>
      <w:r w:rsidR="00432DE4" w:rsidRPr="00E03CC7">
        <w:rPr>
          <w:rFonts w:ascii="Times" w:hAnsi="Times"/>
          <w:lang w:val="en-US"/>
        </w:rPr>
        <w:t>an</w:t>
      </w:r>
      <w:r w:rsidR="002B4571" w:rsidRPr="00E03CC7">
        <w:rPr>
          <w:rFonts w:ascii="Times" w:hAnsi="Times"/>
          <w:lang w:val="en-US"/>
        </w:rPr>
        <w:t xml:space="preserve"> intravenous catheter</w:t>
      </w:r>
      <w:r w:rsidR="0003245E" w:rsidRPr="00E03CC7">
        <w:rPr>
          <w:rFonts w:ascii="Times" w:hAnsi="Times"/>
          <w:lang w:val="en-US"/>
        </w:rPr>
        <w:t xml:space="preserve"> at</w:t>
      </w:r>
      <w:r w:rsidR="005A03E4" w:rsidRPr="00E03CC7">
        <w:rPr>
          <w:rFonts w:ascii="Times" w:hAnsi="Times"/>
          <w:lang w:val="en-US"/>
        </w:rPr>
        <w:t xml:space="preserve"> </w:t>
      </w:r>
      <w:r w:rsidR="00C31181" w:rsidRPr="00E03CC7">
        <w:rPr>
          <w:rFonts w:ascii="Times" w:hAnsi="Times"/>
          <w:lang w:val="en-US"/>
        </w:rPr>
        <w:t xml:space="preserve">times </w:t>
      </w:r>
      <w:r w:rsidR="0003245E" w:rsidRPr="00E03CC7">
        <w:rPr>
          <w:rFonts w:ascii="Times" w:hAnsi="Times"/>
          <w:lang w:val="en-US"/>
        </w:rPr>
        <w:t>0 (</w:t>
      </w:r>
      <w:r w:rsidR="00C31181" w:rsidRPr="00E03CC7">
        <w:rPr>
          <w:rFonts w:ascii="Times" w:hAnsi="Times"/>
          <w:lang w:val="en-US"/>
        </w:rPr>
        <w:t>before administration of the Basel cocktail</w:t>
      </w:r>
      <w:r w:rsidR="0003245E" w:rsidRPr="00E03CC7">
        <w:rPr>
          <w:rFonts w:ascii="Times" w:hAnsi="Times"/>
          <w:lang w:val="en-US"/>
        </w:rPr>
        <w:t xml:space="preserve">), 0.25, 0.5, 0.75, </w:t>
      </w:r>
      <w:r w:rsidR="00432DE4" w:rsidRPr="00E03CC7">
        <w:rPr>
          <w:rFonts w:ascii="Times" w:hAnsi="Times"/>
          <w:lang w:val="en-US"/>
        </w:rPr>
        <w:t xml:space="preserve">1, 2, 3, 4, and 6 hours. </w:t>
      </w:r>
      <w:r w:rsidR="00DF0660" w:rsidRPr="00E03CC7">
        <w:rPr>
          <w:rFonts w:ascii="Times" w:hAnsi="Times"/>
          <w:lang w:val="en-US"/>
        </w:rPr>
        <w:t>Blood was</w:t>
      </w:r>
      <w:r w:rsidR="00BA3658" w:rsidRPr="00E03CC7">
        <w:rPr>
          <w:rFonts w:ascii="Times" w:hAnsi="Times"/>
          <w:lang w:val="en-US"/>
        </w:rPr>
        <w:t xml:space="preserve"> collected in serum-separating tubes</w:t>
      </w:r>
      <w:r w:rsidR="00F57AD6" w:rsidRPr="00E03CC7">
        <w:rPr>
          <w:rFonts w:ascii="Times" w:hAnsi="Times"/>
          <w:lang w:val="en-US"/>
        </w:rPr>
        <w:t xml:space="preserve">; samples for plasma were </w:t>
      </w:r>
      <w:r w:rsidR="00C54CD1" w:rsidRPr="00E03CC7">
        <w:rPr>
          <w:rFonts w:ascii="Times" w:hAnsi="Times"/>
          <w:lang w:val="en-US"/>
        </w:rPr>
        <w:t xml:space="preserve">collected in </w:t>
      </w:r>
      <w:r w:rsidR="00F57AD6" w:rsidRPr="00E03CC7">
        <w:rPr>
          <w:rFonts w:ascii="Times" w:hAnsi="Times"/>
          <w:lang w:val="en-US"/>
        </w:rPr>
        <w:t>K2-EDTA</w:t>
      </w:r>
      <w:r w:rsidR="00C54CD1" w:rsidRPr="00E03CC7">
        <w:rPr>
          <w:rFonts w:ascii="Times" w:hAnsi="Times"/>
          <w:lang w:val="en-US"/>
        </w:rPr>
        <w:t xml:space="preserve"> tubes and</w:t>
      </w:r>
      <w:r w:rsidR="00F57AD6" w:rsidRPr="00E03CC7">
        <w:rPr>
          <w:rFonts w:ascii="Times" w:hAnsi="Times"/>
          <w:lang w:val="en-US"/>
        </w:rPr>
        <w:t xml:space="preserve"> centrifuged at 2500 g for 10 minutes</w:t>
      </w:r>
      <w:r w:rsidR="00C54CD1" w:rsidRPr="00E03CC7">
        <w:rPr>
          <w:rFonts w:ascii="Times" w:hAnsi="Times"/>
          <w:lang w:val="en-US"/>
        </w:rPr>
        <w:t xml:space="preserve">. Samples for serum were collected in serum-separating tubes </w:t>
      </w:r>
      <w:r w:rsidR="00D53664" w:rsidRPr="00E03CC7">
        <w:rPr>
          <w:rFonts w:ascii="Times" w:hAnsi="Times"/>
          <w:lang w:val="en-US"/>
        </w:rPr>
        <w:t xml:space="preserve">and </w:t>
      </w:r>
      <w:r w:rsidR="00BC00FD" w:rsidRPr="00E03CC7">
        <w:rPr>
          <w:rFonts w:ascii="Times" w:hAnsi="Times"/>
          <w:lang w:val="en-US"/>
        </w:rPr>
        <w:t xml:space="preserve">were coagulated for 30 </w:t>
      </w:r>
      <w:r w:rsidR="00D53664" w:rsidRPr="00E03CC7">
        <w:rPr>
          <w:rFonts w:ascii="Times" w:hAnsi="Times"/>
          <w:lang w:val="en-US"/>
        </w:rPr>
        <w:t>minutes</w:t>
      </w:r>
      <w:r w:rsidR="006678A8" w:rsidRPr="00E03CC7">
        <w:rPr>
          <w:rFonts w:ascii="Times" w:hAnsi="Times"/>
          <w:lang w:val="en-US"/>
        </w:rPr>
        <w:t>,</w:t>
      </w:r>
      <w:r w:rsidR="00BC00FD" w:rsidRPr="00E03CC7">
        <w:rPr>
          <w:rFonts w:ascii="Times" w:hAnsi="Times"/>
          <w:lang w:val="en-US"/>
        </w:rPr>
        <w:t xml:space="preserve"> after which they were centrifuged at 2</w:t>
      </w:r>
      <w:r w:rsidR="00D53664" w:rsidRPr="00E03CC7">
        <w:rPr>
          <w:rFonts w:ascii="Times" w:hAnsi="Times"/>
          <w:lang w:val="en-US"/>
        </w:rPr>
        <w:t>0</w:t>
      </w:r>
      <w:r w:rsidR="00BC00FD" w:rsidRPr="00E03CC7">
        <w:rPr>
          <w:rFonts w:ascii="Times" w:hAnsi="Times"/>
          <w:lang w:val="en-US"/>
        </w:rPr>
        <w:t>00 g</w:t>
      </w:r>
      <w:r w:rsidR="00D53664" w:rsidRPr="00E03CC7">
        <w:rPr>
          <w:rFonts w:ascii="Times" w:hAnsi="Times"/>
          <w:lang w:val="en-US"/>
        </w:rPr>
        <w:t xml:space="preserve"> for 10 minutes.</w:t>
      </w:r>
      <w:r w:rsidR="00BA3658" w:rsidRPr="00E03CC7">
        <w:rPr>
          <w:rFonts w:ascii="Times" w:hAnsi="Times"/>
          <w:lang w:val="en-US"/>
        </w:rPr>
        <w:t xml:space="preserve"> </w:t>
      </w:r>
      <w:r w:rsidR="00432DE4" w:rsidRPr="00E03CC7">
        <w:rPr>
          <w:rFonts w:ascii="Times" w:hAnsi="Times"/>
          <w:lang w:val="en-US"/>
        </w:rPr>
        <w:t>Urine was collected at 0-6 hours.</w:t>
      </w:r>
      <w:r w:rsidR="00D53664" w:rsidRPr="00E03CC7">
        <w:rPr>
          <w:rFonts w:ascii="Times" w:hAnsi="Times"/>
          <w:lang w:val="en-US"/>
        </w:rPr>
        <w:t xml:space="preserve"> Plasma, serum, and urine were </w:t>
      </w:r>
      <w:r w:rsidR="00C85802" w:rsidRPr="00E03CC7">
        <w:rPr>
          <w:rFonts w:ascii="Times" w:hAnsi="Times"/>
          <w:lang w:val="en-US"/>
        </w:rPr>
        <w:t>transferred to cryo</w:t>
      </w:r>
      <w:r w:rsidR="006678A8" w:rsidRPr="00E03CC7">
        <w:rPr>
          <w:rFonts w:ascii="Times" w:hAnsi="Times"/>
          <w:lang w:val="en-US"/>
        </w:rPr>
        <w:t>-</w:t>
      </w:r>
      <w:r w:rsidR="00C85802" w:rsidRPr="00E03CC7">
        <w:rPr>
          <w:rFonts w:ascii="Times" w:hAnsi="Times"/>
          <w:lang w:val="en-US"/>
        </w:rPr>
        <w:t>tubes and stored at -20</w:t>
      </w:r>
      <w:r w:rsidR="002A4238" w:rsidRPr="00E03CC7">
        <w:rPr>
          <w:rFonts w:ascii="Times" w:hAnsi="Times"/>
          <w:lang w:val="en-US"/>
        </w:rPr>
        <w:t>°C</w:t>
      </w:r>
      <w:r w:rsidR="00C85802" w:rsidRPr="00E03CC7">
        <w:rPr>
          <w:rFonts w:ascii="Times" w:hAnsi="Times"/>
          <w:lang w:val="en-US"/>
        </w:rPr>
        <w:t xml:space="preserve"> </w:t>
      </w:r>
      <w:r w:rsidR="00DA6EC8" w:rsidRPr="00E03CC7">
        <w:rPr>
          <w:rFonts w:ascii="Times" w:hAnsi="Times"/>
          <w:lang w:val="en-US"/>
        </w:rPr>
        <w:t>for in-house</w:t>
      </w:r>
      <w:r w:rsidR="00CA175B" w:rsidRPr="00E03CC7">
        <w:rPr>
          <w:rFonts w:ascii="Times" w:hAnsi="Times"/>
          <w:lang w:val="en-US"/>
        </w:rPr>
        <w:t xml:space="preserve"> analysis</w:t>
      </w:r>
      <w:r w:rsidR="00491427">
        <w:rPr>
          <w:rFonts w:ascii="Times" w:hAnsi="Times"/>
          <w:lang w:val="en-US"/>
        </w:rPr>
        <w:t xml:space="preserve"> and </w:t>
      </w:r>
      <w:r w:rsidR="00CA175B" w:rsidRPr="00E03CC7">
        <w:rPr>
          <w:rFonts w:ascii="Times" w:hAnsi="Times"/>
          <w:lang w:val="en-US"/>
        </w:rPr>
        <w:t>-80</w:t>
      </w:r>
      <w:r w:rsidR="00E03CC7" w:rsidRPr="00E03CC7">
        <w:rPr>
          <w:rFonts w:ascii="Times" w:hAnsi="Times"/>
          <w:lang w:val="en-US"/>
        </w:rPr>
        <w:t>°C</w:t>
      </w:r>
      <w:r w:rsidR="00CA175B" w:rsidRPr="00E03CC7">
        <w:rPr>
          <w:rFonts w:ascii="Times" w:hAnsi="Times"/>
          <w:lang w:val="en-US"/>
        </w:rPr>
        <w:t xml:space="preserve"> for long</w:t>
      </w:r>
      <w:r w:rsidR="00DA6EC8" w:rsidRPr="00E03CC7">
        <w:rPr>
          <w:rFonts w:ascii="Times" w:hAnsi="Times"/>
          <w:lang w:val="en-US"/>
        </w:rPr>
        <w:t>-</w:t>
      </w:r>
      <w:r w:rsidR="00CA175B" w:rsidRPr="00E03CC7">
        <w:rPr>
          <w:rFonts w:ascii="Times" w:hAnsi="Times"/>
          <w:lang w:val="en-US"/>
        </w:rPr>
        <w:t>term storage of samples</w:t>
      </w:r>
      <w:r w:rsidR="00E03CC7" w:rsidRPr="00E03CC7">
        <w:rPr>
          <w:rFonts w:ascii="Times" w:hAnsi="Times"/>
          <w:lang w:val="en-US"/>
        </w:rPr>
        <w:t xml:space="preserve"> </w:t>
      </w:r>
      <w:r w:rsidR="0079258D">
        <w:rPr>
          <w:rFonts w:ascii="Times" w:hAnsi="Times"/>
          <w:lang w:val="en-US"/>
        </w:rPr>
        <w:t xml:space="preserve">to be analyzed </w:t>
      </w:r>
      <w:r w:rsidR="00E03CC7" w:rsidRPr="00E03CC7">
        <w:rPr>
          <w:rFonts w:ascii="Times" w:hAnsi="Times"/>
          <w:lang w:val="en-US"/>
        </w:rPr>
        <w:t xml:space="preserve">externally. </w:t>
      </w:r>
    </w:p>
    <w:p w14:paraId="5D03F0DE" w14:textId="7B3C6171" w:rsidR="00CF62BD" w:rsidRDefault="00CF62BD" w:rsidP="009A2F16">
      <w:pPr>
        <w:spacing w:line="360" w:lineRule="auto"/>
        <w:jc w:val="both"/>
        <w:rPr>
          <w:rFonts w:ascii="Times" w:hAnsi="Times"/>
          <w:lang w:val="en-US"/>
        </w:rPr>
      </w:pPr>
    </w:p>
    <w:p w14:paraId="5673225D" w14:textId="7B14DE96" w:rsidR="00CF62BD" w:rsidRDefault="0049723E" w:rsidP="009A2F16">
      <w:pPr>
        <w:spacing w:line="360" w:lineRule="auto"/>
        <w:jc w:val="both"/>
        <w:rPr>
          <w:rFonts w:ascii="Times" w:hAnsi="Times"/>
          <w:i/>
          <w:iCs/>
          <w:lang w:val="en-US"/>
        </w:rPr>
      </w:pPr>
      <w:r>
        <w:rPr>
          <w:rFonts w:ascii="Times" w:hAnsi="Times"/>
          <w:i/>
          <w:iCs/>
          <w:lang w:val="en-US"/>
        </w:rPr>
        <w:t>Retrospective study</w:t>
      </w:r>
    </w:p>
    <w:p w14:paraId="123F04DF" w14:textId="2976CC27" w:rsidR="00B501CA" w:rsidRDefault="00933899" w:rsidP="009A2F16">
      <w:pPr>
        <w:spacing w:line="360" w:lineRule="auto"/>
        <w:jc w:val="both"/>
        <w:rPr>
          <w:rFonts w:ascii="Times" w:hAnsi="Times"/>
          <w:lang w:val="en-US"/>
        </w:rPr>
      </w:pPr>
      <w:r w:rsidRPr="4AFDAE6C">
        <w:rPr>
          <w:rFonts w:ascii="Times" w:hAnsi="Times"/>
          <w:lang w:val="en-US"/>
        </w:rPr>
        <w:t xml:space="preserve">We conducted a retrospective </w:t>
      </w:r>
      <w:r w:rsidR="00D14EAA" w:rsidRPr="4AFDAE6C">
        <w:rPr>
          <w:rFonts w:ascii="Times" w:hAnsi="Times"/>
          <w:lang w:val="en-US"/>
        </w:rPr>
        <w:t xml:space="preserve">self-controlled </w:t>
      </w:r>
      <w:r w:rsidRPr="4AFDAE6C">
        <w:rPr>
          <w:rFonts w:ascii="Times" w:hAnsi="Times"/>
          <w:lang w:val="en-US"/>
        </w:rPr>
        <w:t xml:space="preserve">study to assess the activity of </w:t>
      </w:r>
      <w:r w:rsidR="00B35B93" w:rsidRPr="4AFDAE6C">
        <w:rPr>
          <w:rFonts w:ascii="Times" w:hAnsi="Times"/>
          <w:lang w:val="en-US"/>
        </w:rPr>
        <w:t>CYP3A4 measured by the biomarker 4</w:t>
      </w:r>
      <w:r w:rsidR="00C262DE" w:rsidRPr="4AFDAE6C">
        <w:rPr>
          <w:rFonts w:ascii="Symbol" w:eastAsia="Symbol" w:hAnsi="Symbol" w:cs="Symbol"/>
          <w:lang w:val="en-US"/>
        </w:rPr>
        <w:t></w:t>
      </w:r>
      <w:r w:rsidR="00B35B93" w:rsidRPr="4AFDAE6C">
        <w:rPr>
          <w:rFonts w:ascii="Times" w:hAnsi="Times"/>
          <w:lang w:val="en-US"/>
        </w:rPr>
        <w:t xml:space="preserve">-hydroxycholesterol in patients with </w:t>
      </w:r>
      <w:r w:rsidR="00D1432F" w:rsidRPr="4AFDAE6C">
        <w:rPr>
          <w:rFonts w:ascii="Times" w:hAnsi="Times"/>
          <w:lang w:val="en-US"/>
        </w:rPr>
        <w:t xml:space="preserve">rheumatoid arthritis </w:t>
      </w:r>
      <w:r w:rsidR="00B35B93" w:rsidRPr="4AFDAE6C">
        <w:rPr>
          <w:rFonts w:ascii="Times" w:hAnsi="Times"/>
          <w:lang w:val="en-US"/>
        </w:rPr>
        <w:t xml:space="preserve">before and after </w:t>
      </w:r>
      <w:r w:rsidR="00B16C6E" w:rsidRPr="4AFDAE6C">
        <w:rPr>
          <w:rFonts w:ascii="Times" w:hAnsi="Times"/>
          <w:lang w:val="en-US"/>
        </w:rPr>
        <w:t>initiating</w:t>
      </w:r>
      <w:r w:rsidR="00B35B93" w:rsidRPr="4AFDAE6C">
        <w:rPr>
          <w:rFonts w:ascii="Times" w:hAnsi="Times"/>
          <w:lang w:val="en-US"/>
        </w:rPr>
        <w:t xml:space="preserve"> the </w:t>
      </w:r>
      <w:r w:rsidR="00B16C6E" w:rsidRPr="4AFDAE6C">
        <w:rPr>
          <w:rFonts w:ascii="Times" w:hAnsi="Times"/>
          <w:lang w:val="en-US"/>
        </w:rPr>
        <w:t>anti-</w:t>
      </w:r>
      <w:r w:rsidR="00B35B93" w:rsidRPr="4AFDAE6C">
        <w:rPr>
          <w:rFonts w:ascii="Times" w:hAnsi="Times"/>
          <w:lang w:val="en-US"/>
        </w:rPr>
        <w:t xml:space="preserve">IL-6R tocilizumab. </w:t>
      </w:r>
      <w:r w:rsidR="00BE1CF1" w:rsidRPr="4AFDAE6C">
        <w:rPr>
          <w:rFonts w:ascii="Times" w:hAnsi="Times"/>
          <w:lang w:val="en-US"/>
        </w:rPr>
        <w:t>P</w:t>
      </w:r>
      <w:r w:rsidR="002C17AA" w:rsidRPr="4AFDAE6C">
        <w:rPr>
          <w:rFonts w:ascii="Times" w:hAnsi="Times"/>
          <w:lang w:val="en-US"/>
        </w:rPr>
        <w:t>atients with rheumatologic diseases treated at Danish hospitals or private rheumatologic clinics are registered in DANBIO</w:t>
      </w:r>
      <w:r w:rsidR="004E029D" w:rsidRPr="4AFDAE6C">
        <w:rPr>
          <w:rFonts w:ascii="Times" w:hAnsi="Times"/>
          <w:lang w:val="en-US"/>
        </w:rPr>
        <w:t xml:space="preserve"> </w:t>
      </w:r>
      <w:r w:rsidRPr="4AFDAE6C">
        <w:rPr>
          <w:rFonts w:ascii="Times" w:hAnsi="Times"/>
          <w:lang w:val="en-US"/>
        </w:rPr>
        <w:fldChar w:fldCharType="begin"/>
      </w:r>
      <w:r w:rsidR="00D27273">
        <w:rPr>
          <w:rFonts w:ascii="Times" w:hAnsi="Times"/>
          <w:lang w:val="en-US"/>
        </w:rPr>
        <w:instrText xml:space="preserve"> ADDIN ZOTERO_ITEM CSL_CITATION {"citationID":"PCucGFUt","properties":{"formattedCitation":"(19)","plainCitation":"(19)","noteIndex":0},"citationItems":[{"id":"MdP0TMIz/oEfkOS9D","uris":["http://zotero.org/users/4954704/items/9XF9YX3V"],"itemData":{"id":1083,"type":"article-journal","abstract":"Introduction: DANBIO is a research register and a data source for rheumatologic diseases (rheumatoid arthritis [RA], axial spondyloarthritis, and psoriatic arthritis) for monitoring clinical quality at the national, regional, and hospital levels. Study population: The register includes patients with rheumatologic diseases who are treated at a hospital or a private rheumatologic clinic. Registration is mandatory for all patients with RA regardless of treatment and also for patients with other diagnoses if treated with biological disease-modifying antirheumatic drugs. Since 2006, the registration has been done electronically, including patient-reported outcome measures registered electronically by the patients with the use of touch screens. Main variables: Core variables such as diagnosis, year of diagnosis, age, and sex are registered at the beginning. Data entered at later visits included the following: patient-reported outcomes for disease activity, pain, fatigue, functional status, and physician-reported objective measures of disease activity, treatment, C-reactive protein, and, when indicated, imaging. For subgroups of patients, the variables such as quality of life, sociodemographic factors, lifestyle, and comorbidity are also registered. Descriptive data: The DANBIO cohort comprised </w:instrText>
      </w:r>
      <w:r w:rsidR="00D27273">
        <w:rPr>
          <w:rFonts w:ascii="Cambria Math" w:hAnsi="Cambria Math" w:cs="Cambria Math"/>
          <w:lang w:val="en-US"/>
        </w:rPr>
        <w:instrText>∼</w:instrText>
      </w:r>
      <w:r w:rsidR="00D27273">
        <w:rPr>
          <w:rFonts w:ascii="Times" w:hAnsi="Times"/>
          <w:lang w:val="en-US"/>
        </w:rPr>
        <w:instrText xml:space="preserve">26,000 patients with RA, 3,200 patients with axial spondyloarthritis, and 6,200 patients with psoriatic arthritis in 2015. DANBIO has high nationwide coverage and completeness on key data variables. More than 60 original papers as well as annual reports of clinical quality (since 2005) have been published. Conclusion: DANBIO is a powerful register for research in rheumatologic diseases and furthermore serves as a Clinical Quality Register with the aim of monitoring treatment quality in patients with RA in Denmark.","container-title":"Clinical Epidemiology","DOI":"10.2147/CLEP.S99490","ISSN":"1179-1349","journalAbbreviation":"CLEP","language":"en","page":"737-742","source":"DOI.org (Crossref)","title":"The Danish nationwide clinical register for patients with rheumatoid arthritis: DANBIO","title-short":"The Danish nationwide clinical register for patients with rheumatoid arthritis","volume":"Volume 8","author":[{"family":"Ibfelt","given":"Else Helene"},{"family":"Jensen","given":"Dorte"},{"family":"Hetland","given":"Merete Lund"}],"issued":{"date-parts":[["2016",10]]}}}],"schema":"https://github.com/citation-style-language/schema/raw/master/csl-citation.json"} </w:instrText>
      </w:r>
      <w:r w:rsidRPr="4AFDAE6C">
        <w:rPr>
          <w:rFonts w:ascii="Times" w:hAnsi="Times"/>
          <w:lang w:val="en-US"/>
        </w:rPr>
        <w:fldChar w:fldCharType="separate"/>
      </w:r>
      <w:r w:rsidR="00296450">
        <w:rPr>
          <w:rFonts w:ascii="Times" w:hAnsi="Times"/>
          <w:noProof/>
          <w:lang w:val="en-US"/>
        </w:rPr>
        <w:t>(19)</w:t>
      </w:r>
      <w:r w:rsidRPr="4AFDAE6C">
        <w:rPr>
          <w:rFonts w:ascii="Times" w:hAnsi="Times"/>
          <w:lang w:val="en-US"/>
        </w:rPr>
        <w:fldChar w:fldCharType="end"/>
      </w:r>
      <w:r w:rsidR="002C17AA" w:rsidRPr="4AFDAE6C">
        <w:rPr>
          <w:rFonts w:ascii="Times" w:hAnsi="Times"/>
          <w:lang w:val="en-US"/>
        </w:rPr>
        <w:t xml:space="preserve">. Information on patient demographics, </w:t>
      </w:r>
      <w:r w:rsidR="002C17AA" w:rsidRPr="4AFDAE6C">
        <w:rPr>
          <w:rFonts w:ascii="Times" w:hAnsi="Times"/>
          <w:lang w:val="en-US"/>
        </w:rPr>
        <w:lastRenderedPageBreak/>
        <w:t xml:space="preserve">treatment, patient-reported and clinical outcomes, and comorbidity and lifestyle factors are registered in DANBIO. Within DANBIO, we identified patients with </w:t>
      </w:r>
      <w:r w:rsidR="00D1432F" w:rsidRPr="4AFDAE6C">
        <w:rPr>
          <w:rFonts w:ascii="Times" w:hAnsi="Times"/>
          <w:lang w:val="en-US"/>
        </w:rPr>
        <w:t>rheumatoid ar</w:t>
      </w:r>
      <w:r w:rsidR="00B53A66" w:rsidRPr="4AFDAE6C">
        <w:rPr>
          <w:rFonts w:ascii="Times" w:hAnsi="Times"/>
          <w:lang w:val="en-US"/>
        </w:rPr>
        <w:t>thritis</w:t>
      </w:r>
      <w:r w:rsidR="00D1432F" w:rsidRPr="4AFDAE6C">
        <w:rPr>
          <w:rFonts w:ascii="Times" w:hAnsi="Times"/>
          <w:lang w:val="en-US"/>
        </w:rPr>
        <w:t xml:space="preserve"> </w:t>
      </w:r>
      <w:r w:rsidR="002C17AA" w:rsidRPr="4AFDAE6C">
        <w:rPr>
          <w:rFonts w:ascii="Times" w:hAnsi="Times"/>
          <w:lang w:val="en-US"/>
        </w:rPr>
        <w:t xml:space="preserve">at Danish Hospital for Rheumatic Diseases, Sønderborg. In the </w:t>
      </w:r>
      <w:r w:rsidR="00C8420A">
        <w:rPr>
          <w:rFonts w:ascii="Times" w:hAnsi="Times"/>
          <w:lang w:val="en-US"/>
        </w:rPr>
        <w:t>tocilizumab group</w:t>
      </w:r>
      <w:r w:rsidR="002C17AA" w:rsidRPr="4AFDAE6C">
        <w:rPr>
          <w:rFonts w:ascii="Times" w:hAnsi="Times"/>
          <w:lang w:val="en-US"/>
        </w:rPr>
        <w:t>, we included patients registered to initiate tocilizumab in the period between 201</w:t>
      </w:r>
      <w:r w:rsidR="00310CB8" w:rsidRPr="4AFDAE6C">
        <w:rPr>
          <w:rFonts w:ascii="Times" w:hAnsi="Times"/>
          <w:lang w:val="en-US"/>
        </w:rPr>
        <w:t>6</w:t>
      </w:r>
      <w:r w:rsidR="002C17AA" w:rsidRPr="4AFDAE6C">
        <w:rPr>
          <w:rFonts w:ascii="Times" w:hAnsi="Times"/>
          <w:lang w:val="en-US"/>
        </w:rPr>
        <w:t xml:space="preserve"> to </w:t>
      </w:r>
      <w:r w:rsidR="00310CB8" w:rsidRPr="4AFDAE6C">
        <w:rPr>
          <w:rFonts w:ascii="Times" w:hAnsi="Times"/>
          <w:lang w:val="en-US"/>
        </w:rPr>
        <w:t>2021</w:t>
      </w:r>
      <w:r w:rsidR="002C17AA" w:rsidRPr="4AFDAE6C">
        <w:rPr>
          <w:rFonts w:ascii="Times" w:hAnsi="Times"/>
          <w:lang w:val="en-US"/>
        </w:rPr>
        <w:t xml:space="preserve">. </w:t>
      </w:r>
      <w:r w:rsidR="00F55FCB" w:rsidRPr="4AFDAE6C">
        <w:rPr>
          <w:rFonts w:ascii="Times" w:hAnsi="Times"/>
          <w:lang w:val="en-US"/>
        </w:rPr>
        <w:t xml:space="preserve">As controls, we </w:t>
      </w:r>
      <w:r w:rsidR="002C17AA" w:rsidRPr="4AFDAE6C">
        <w:rPr>
          <w:rFonts w:ascii="Times" w:hAnsi="Times"/>
          <w:lang w:val="en-US"/>
        </w:rPr>
        <w:t>identified</w:t>
      </w:r>
      <w:r w:rsidR="00F55FCB" w:rsidRPr="4AFDAE6C">
        <w:rPr>
          <w:rFonts w:ascii="Times" w:hAnsi="Times"/>
          <w:lang w:val="en-US"/>
        </w:rPr>
        <w:t xml:space="preserve"> a cohort of patients with </w:t>
      </w:r>
      <w:r w:rsidR="00B53A66" w:rsidRPr="4AFDAE6C">
        <w:rPr>
          <w:rFonts w:ascii="Times" w:hAnsi="Times"/>
          <w:lang w:val="en-US"/>
        </w:rPr>
        <w:t xml:space="preserve">rheumatoid arthritis </w:t>
      </w:r>
      <w:r w:rsidR="00F55FCB" w:rsidRPr="4AFDAE6C">
        <w:rPr>
          <w:rFonts w:ascii="Times" w:hAnsi="Times"/>
          <w:lang w:val="en-US"/>
        </w:rPr>
        <w:t xml:space="preserve">initiating the </w:t>
      </w:r>
      <w:r w:rsidR="00264809" w:rsidRPr="4AFDAE6C">
        <w:rPr>
          <w:rFonts w:ascii="Times" w:hAnsi="Times"/>
          <w:lang w:val="en-US"/>
        </w:rPr>
        <w:t>tumor necrosis factor</w:t>
      </w:r>
      <w:r w:rsidR="000A05C6" w:rsidRPr="4AFDAE6C">
        <w:rPr>
          <w:rFonts w:ascii="Times" w:hAnsi="Times"/>
          <w:lang w:val="en-US"/>
        </w:rPr>
        <w:t xml:space="preserve"> alfa</w:t>
      </w:r>
      <w:r w:rsidR="00264809" w:rsidRPr="4AFDAE6C">
        <w:rPr>
          <w:rFonts w:ascii="Times" w:hAnsi="Times"/>
          <w:lang w:val="en-US"/>
        </w:rPr>
        <w:t xml:space="preserve"> (</w:t>
      </w:r>
      <w:r w:rsidR="00F55FCB" w:rsidRPr="4AFDAE6C">
        <w:rPr>
          <w:rFonts w:ascii="Times" w:hAnsi="Times"/>
          <w:lang w:val="en-US"/>
        </w:rPr>
        <w:t>TNF</w:t>
      </w:r>
      <w:r w:rsidR="000A05C6" w:rsidRPr="4AFDAE6C">
        <w:rPr>
          <w:rFonts w:ascii="Times" w:hAnsi="Times"/>
          <w:lang w:val="en-US"/>
        </w:rPr>
        <w:t>-</w:t>
      </w:r>
      <w:r w:rsidR="000A05C6" w:rsidRPr="4AFDAE6C">
        <w:rPr>
          <w:rFonts w:ascii="Symbol" w:eastAsia="Symbol" w:hAnsi="Symbol" w:cs="Symbol"/>
          <w:lang w:val="en-US"/>
        </w:rPr>
        <w:t></w:t>
      </w:r>
      <w:r w:rsidR="000A05C6" w:rsidRPr="4AFDAE6C">
        <w:rPr>
          <w:rFonts w:ascii="Times" w:hAnsi="Times"/>
          <w:lang w:val="en-US"/>
        </w:rPr>
        <w:t>) i</w:t>
      </w:r>
      <w:r w:rsidR="00F55FCB" w:rsidRPr="4AFDAE6C">
        <w:rPr>
          <w:rFonts w:ascii="Times" w:hAnsi="Times"/>
          <w:lang w:val="en-US"/>
        </w:rPr>
        <w:t>nhibitor adalimumab</w:t>
      </w:r>
      <w:r w:rsidR="002C17AA" w:rsidRPr="4AFDAE6C">
        <w:rPr>
          <w:rFonts w:ascii="Times" w:hAnsi="Times"/>
          <w:lang w:val="en-US"/>
        </w:rPr>
        <w:t xml:space="preserve"> in the same period</w:t>
      </w:r>
      <w:r w:rsidR="00F55FCB" w:rsidRPr="4AFDAE6C">
        <w:rPr>
          <w:rFonts w:ascii="Times" w:hAnsi="Times"/>
          <w:lang w:val="en-US"/>
        </w:rPr>
        <w:t xml:space="preserve">. </w:t>
      </w:r>
      <w:r w:rsidR="00EC21A8" w:rsidRPr="4AFDAE6C">
        <w:rPr>
          <w:rFonts w:ascii="Times" w:hAnsi="Times"/>
          <w:lang w:val="en-US"/>
        </w:rPr>
        <w:t>Biological samples</w:t>
      </w:r>
      <w:r w:rsidR="004C495B" w:rsidRPr="4AFDAE6C">
        <w:rPr>
          <w:rFonts w:ascii="Times" w:hAnsi="Times"/>
          <w:lang w:val="en-US"/>
        </w:rPr>
        <w:t xml:space="preserve"> (serum)</w:t>
      </w:r>
      <w:r w:rsidR="00EC21A8" w:rsidRPr="4AFDAE6C">
        <w:rPr>
          <w:rFonts w:ascii="Times" w:hAnsi="Times"/>
          <w:lang w:val="en-US"/>
        </w:rPr>
        <w:t xml:space="preserve"> from patients in the tocilizumab- and adalimumab-group were retrieved at time points immediately before initiation of treatment and after </w:t>
      </w:r>
      <w:r w:rsidR="00EA1979" w:rsidRPr="4AFDAE6C">
        <w:rPr>
          <w:rFonts w:ascii="Times" w:hAnsi="Times"/>
          <w:lang w:val="en-US"/>
        </w:rPr>
        <w:t>three</w:t>
      </w:r>
      <w:r w:rsidR="00EC21A8" w:rsidRPr="4AFDAE6C">
        <w:rPr>
          <w:rFonts w:ascii="Times" w:hAnsi="Times"/>
          <w:lang w:val="en-US"/>
        </w:rPr>
        <w:t xml:space="preserve"> and </w:t>
      </w:r>
      <w:r w:rsidR="00EA1979" w:rsidRPr="4AFDAE6C">
        <w:rPr>
          <w:rFonts w:ascii="Times" w:hAnsi="Times"/>
          <w:lang w:val="en-US"/>
        </w:rPr>
        <w:t>six</w:t>
      </w:r>
      <w:r w:rsidR="00EC21A8" w:rsidRPr="4AFDAE6C">
        <w:rPr>
          <w:rFonts w:ascii="Times" w:hAnsi="Times"/>
          <w:lang w:val="en-US"/>
        </w:rPr>
        <w:t xml:space="preserve"> months of treatment</w:t>
      </w:r>
      <w:r w:rsidR="0049044B" w:rsidRPr="4AFDAE6C">
        <w:rPr>
          <w:rFonts w:ascii="Times" w:hAnsi="Times"/>
          <w:lang w:val="en-US"/>
        </w:rPr>
        <w:t xml:space="preserve"> according to biobank protocol</w:t>
      </w:r>
      <w:r w:rsidR="00EC21A8" w:rsidRPr="4AFDAE6C">
        <w:rPr>
          <w:rFonts w:ascii="Times" w:hAnsi="Times"/>
          <w:lang w:val="en-US"/>
        </w:rPr>
        <w:t xml:space="preserve">. At least one sample </w:t>
      </w:r>
      <w:r w:rsidR="0076392B" w:rsidRPr="4AFDAE6C">
        <w:rPr>
          <w:rFonts w:ascii="Times" w:hAnsi="Times"/>
          <w:lang w:val="en-US"/>
        </w:rPr>
        <w:t>was required during follow-up (three or six months)</w:t>
      </w:r>
      <w:r w:rsidR="00EC21A8" w:rsidRPr="4AFDAE6C">
        <w:rPr>
          <w:rFonts w:ascii="Times" w:hAnsi="Times"/>
          <w:lang w:val="en-US"/>
        </w:rPr>
        <w:t>. S</w:t>
      </w:r>
      <w:r w:rsidR="003B2539" w:rsidRPr="4AFDAE6C">
        <w:rPr>
          <w:rFonts w:ascii="Times" w:hAnsi="Times"/>
          <w:lang w:val="en-US"/>
        </w:rPr>
        <w:t xml:space="preserve">amples </w:t>
      </w:r>
      <w:r w:rsidR="00FE20DA" w:rsidRPr="4AFDAE6C">
        <w:rPr>
          <w:rFonts w:ascii="Times" w:hAnsi="Times"/>
          <w:lang w:val="en-US"/>
        </w:rPr>
        <w:t xml:space="preserve">were obtained from the </w:t>
      </w:r>
      <w:r w:rsidR="00734C30" w:rsidRPr="4AFDAE6C">
        <w:rPr>
          <w:rFonts w:ascii="Times" w:hAnsi="Times"/>
          <w:lang w:val="en-US"/>
        </w:rPr>
        <w:t>Danish Rheumatologic Biobank</w:t>
      </w:r>
      <w:r w:rsidR="00412C26" w:rsidRPr="4AFDAE6C">
        <w:rPr>
          <w:rFonts w:ascii="Times" w:hAnsi="Times"/>
          <w:lang w:val="en-US"/>
        </w:rPr>
        <w:t xml:space="preserve"> </w:t>
      </w:r>
      <w:r w:rsidRPr="4AFDAE6C">
        <w:rPr>
          <w:rFonts w:ascii="Times" w:hAnsi="Times"/>
          <w:lang w:val="en-US"/>
        </w:rPr>
        <w:fldChar w:fldCharType="begin"/>
      </w:r>
      <w:r w:rsidR="00296450">
        <w:rPr>
          <w:rFonts w:ascii="Times" w:hAnsi="Times"/>
          <w:lang w:val="en-US"/>
        </w:rPr>
        <w:instrText xml:space="preserve"> ADDIN ZOTERO_ITEM CSL_CITATION {"citationID":"pblda5FE","properties":{"formattedCitation":"(20)","plainCitation":"(20)","noteIndex":0},"citationItems":[{"id":1085,"uris":["http://zotero.org/users/4954704/items/4FKL372B"],"itemData":{"id":1085,"type":"article-journal","container-title":"Annals of the Rheumatic Diseases","DOI":"10.1136/annrheumdis-2016-eular.2666","ISSN":"0003-4967, 1468-2060","issue":"Suppl 2","journalAbbreviation":"Ann Rheum Dis","language":"en","page":"1262.1-1262","source":"DOI.org (Crossref)","title":"The Nationwide Danish Rheumatologic Biobank – Paving The Road To Personalized Treatment of Patients with Inflammatory Rheumatic Diseases","volume":"75","author":[{"family":"Kringelbach","given":"T."},{"family":"Glintborg","given":"B."},{"family":"Johansen","given":"J."},{"family":"Høgdall","given":"E."},{"family":"Hetland","given":"M.L."}],"issued":{"date-parts":[["2016",6]]}}}],"schema":"https://github.com/citation-style-language/schema/raw/master/csl-citation.json"} </w:instrText>
      </w:r>
      <w:r w:rsidRPr="4AFDAE6C">
        <w:rPr>
          <w:rFonts w:ascii="Times" w:hAnsi="Times"/>
          <w:lang w:val="en-US"/>
        </w:rPr>
        <w:fldChar w:fldCharType="separate"/>
      </w:r>
      <w:r w:rsidR="00296450">
        <w:rPr>
          <w:rFonts w:ascii="Times" w:hAnsi="Times"/>
          <w:noProof/>
          <w:lang w:val="en-US"/>
        </w:rPr>
        <w:t>(20)</w:t>
      </w:r>
      <w:r w:rsidRPr="4AFDAE6C">
        <w:rPr>
          <w:rFonts w:ascii="Times" w:hAnsi="Times"/>
          <w:lang w:val="en-US"/>
        </w:rPr>
        <w:fldChar w:fldCharType="end"/>
      </w:r>
      <w:r w:rsidR="00B24C5A" w:rsidRPr="4AFDAE6C">
        <w:rPr>
          <w:rFonts w:ascii="Times" w:hAnsi="Times"/>
          <w:lang w:val="en-US"/>
        </w:rPr>
        <w:t xml:space="preserve"> </w:t>
      </w:r>
      <w:r w:rsidR="000635B4" w:rsidRPr="4AFDAE6C">
        <w:rPr>
          <w:rFonts w:ascii="Times" w:hAnsi="Times"/>
          <w:lang w:val="en-US"/>
        </w:rPr>
        <w:t xml:space="preserve"> hosted by the Bio- and Genome</w:t>
      </w:r>
      <w:r w:rsidR="00B6115D" w:rsidRPr="4AFDAE6C">
        <w:rPr>
          <w:rFonts w:ascii="Times" w:hAnsi="Times"/>
          <w:lang w:val="en-US"/>
        </w:rPr>
        <w:t xml:space="preserve"> </w:t>
      </w:r>
      <w:r w:rsidR="00EB29DF" w:rsidRPr="4AFDAE6C">
        <w:rPr>
          <w:rFonts w:ascii="Times" w:hAnsi="Times"/>
          <w:lang w:val="en-US"/>
        </w:rPr>
        <w:t>Bank</w:t>
      </w:r>
      <w:r w:rsidR="00B6115D" w:rsidRPr="4AFDAE6C">
        <w:rPr>
          <w:rFonts w:ascii="Times" w:hAnsi="Times"/>
          <w:lang w:val="en-US"/>
        </w:rPr>
        <w:t xml:space="preserve"> Denmark</w:t>
      </w:r>
      <w:r w:rsidR="00734C30" w:rsidRPr="4AFDAE6C">
        <w:rPr>
          <w:rFonts w:ascii="Times" w:hAnsi="Times"/>
          <w:lang w:val="en-US"/>
        </w:rPr>
        <w:t>. In the biobank, samples are collected prospectively from patients with</w:t>
      </w:r>
      <w:r w:rsidR="008F2556" w:rsidRPr="4AFDAE6C">
        <w:rPr>
          <w:rFonts w:ascii="Times" w:hAnsi="Times"/>
          <w:lang w:val="en-US"/>
        </w:rPr>
        <w:t xml:space="preserve"> </w:t>
      </w:r>
      <w:r w:rsidR="00734C30" w:rsidRPr="4AFDAE6C">
        <w:rPr>
          <w:rFonts w:ascii="Times" w:hAnsi="Times"/>
          <w:lang w:val="en-US"/>
        </w:rPr>
        <w:t>rheumatic disease</w:t>
      </w:r>
      <w:r w:rsidR="00453AE7" w:rsidRPr="4AFDAE6C">
        <w:rPr>
          <w:rFonts w:ascii="Times" w:hAnsi="Times"/>
          <w:lang w:val="en-US"/>
        </w:rPr>
        <w:t xml:space="preserve"> before and during treatment</w:t>
      </w:r>
      <w:r w:rsidR="00503AB1" w:rsidRPr="4AFDAE6C">
        <w:rPr>
          <w:rFonts w:ascii="Times" w:hAnsi="Times"/>
          <w:lang w:val="en-US"/>
        </w:rPr>
        <w:t xml:space="preserve"> </w:t>
      </w:r>
      <w:r w:rsidRPr="4AFDAE6C">
        <w:rPr>
          <w:rFonts w:ascii="Times" w:hAnsi="Times"/>
          <w:lang w:val="en-US"/>
        </w:rPr>
        <w:fldChar w:fldCharType="begin"/>
      </w:r>
      <w:r w:rsidR="00296450">
        <w:rPr>
          <w:rFonts w:ascii="Times" w:hAnsi="Times"/>
          <w:lang w:val="en-US"/>
        </w:rPr>
        <w:instrText xml:space="preserve"> ADDIN ZOTERO_ITEM CSL_CITATION {"citationID":"jRrWAFTo","properties":{"formattedCitation":"(21)","plainCitation":"(21)","noteIndex":0},"citationItems":[{"id":1240,"uris":["http://zotero.org/users/4954704/items/3C8INZL4"],"itemData":{"id":1240,"type":"article-journal","abstract":"Introduction\n              The introduction of biological disease-modifying antirheumatic drugs (bDMARDs) has improved the treatment of inflammatory rheumatic diseases dramatically. However, bDMARD treatment failure occurs in 30%–40% of patients due to lack of effect or adverse events, and the tools to predict treatment outcomes in individual patients are currently limited. The objective of the present study is to identify diagnostic, prognostic and predictive biomarkers, which can be used to (1) diagnose inflammatory rheumatic diseases early in the disease course with high sensitivity and specificity, (2) improve prognostication or (3) predict and monitor treatment effectiveness and tolerability for the individual patient.\n            \n            \n              Methods and analysis\n              The present study is an observational and translational open cohort study with prospective collection of clinical data and biological materials (primarily blood) in patients with inflammatory rheumatic diseases treated in routine care. Patients contribute with one cross-sectional blood sample and/or are enrolled for longitudinal follow-up on initiation of a new DMARD (blood sampling after 0, 3, 6, 12, 24, 36, 48, 60 months of treatment). Other biological materials will be collected when accessible and relevant. Demographics, disease characteristics, comorbidities and lifestyle factors are registered at inclusion; DMARD treatment and outcomes are collected repeatedly during follow-up. Currently (July 2017), &gt;5000 samples from approximately 3000 patients have been collected. Data will be analysed using appropriate statistical analyses.\n            \n            \n              Ethics and dissemination\n              The protocol is approved by the Danish Ethics Committee and the Danish Data Protection Agency. Participants give written and oral informed consent. Biomarkers will be evaluated and published according to the Reporting Recommendations for Tumour Marker (REMARK) prognostic studies, Strengthening the Reporting of Observational Studies in Epidemiology (STROBE) and the Standards for Reporting of Diagnostic Accuracy (STARD) guidelines. Results will be published in peer-reviewed scientific journals and presented at international conferences.\n            \n            \n              Trial registration number\n              NCT03214263.","container-title":"BMJ Open","DOI":"10.1136/bmjopen-2017-019325","ISSN":"2044-6055, 2044-6055","issue":"2","journalAbbreviation":"BMJ Open","language":"en","page":"e019325","source":"DOI.org (Crossref)","title":"Identification of new biomarkers to promote personalised treatment of patients with inflammatory rheumatic disease: protocol for an open cohort study","title-short":"Identification of new biomarkers to promote personalised treatment of patients with inflammatory rheumatic disease","volume":"8","author":[{"family":"Kringelbach","given":"Tina Marie"},{"family":"Glintborg","given":"Bente"},{"family":"Hogdall","given":"Estrid V"},{"family":"Johansen","given":"Julia Sidenius"},{"family":"Hetland","given":"Merete Lund"}],"issued":{"date-parts":[["2018",2]]}}}],"schema":"https://github.com/citation-style-language/schema/raw/master/csl-citation.json"} </w:instrText>
      </w:r>
      <w:r w:rsidRPr="4AFDAE6C">
        <w:rPr>
          <w:rFonts w:ascii="Times" w:hAnsi="Times"/>
          <w:lang w:val="en-US"/>
        </w:rPr>
        <w:fldChar w:fldCharType="separate"/>
      </w:r>
      <w:r w:rsidR="00296450">
        <w:rPr>
          <w:rFonts w:ascii="Times" w:hAnsi="Times"/>
          <w:noProof/>
          <w:lang w:val="en-US"/>
        </w:rPr>
        <w:t>(21)</w:t>
      </w:r>
      <w:r w:rsidRPr="4AFDAE6C">
        <w:rPr>
          <w:rFonts w:ascii="Times" w:hAnsi="Times"/>
          <w:lang w:val="en-US"/>
        </w:rPr>
        <w:fldChar w:fldCharType="end"/>
      </w:r>
      <w:r w:rsidR="008F2556" w:rsidRPr="4AFDAE6C">
        <w:rPr>
          <w:rFonts w:ascii="Times" w:hAnsi="Times"/>
          <w:lang w:val="en-US"/>
        </w:rPr>
        <w:t>.</w:t>
      </w:r>
      <w:r w:rsidR="003017AA" w:rsidRPr="4AFDAE6C">
        <w:rPr>
          <w:rFonts w:ascii="Times" w:hAnsi="Times"/>
          <w:lang w:val="en-US"/>
        </w:rPr>
        <w:t xml:space="preserve"> </w:t>
      </w:r>
    </w:p>
    <w:p w14:paraId="2B045D17" w14:textId="77777777" w:rsidR="00B501CA" w:rsidRDefault="00B501CA" w:rsidP="009A2F16">
      <w:pPr>
        <w:spacing w:line="360" w:lineRule="auto"/>
        <w:jc w:val="both"/>
        <w:rPr>
          <w:rFonts w:ascii="Times" w:hAnsi="Times"/>
          <w:lang w:val="en-US"/>
        </w:rPr>
      </w:pPr>
    </w:p>
    <w:p w14:paraId="005AD6E9" w14:textId="6AAC0AAA" w:rsidR="005455F8" w:rsidRDefault="005455F8" w:rsidP="009A2F16">
      <w:pPr>
        <w:spacing w:line="360" w:lineRule="auto"/>
        <w:jc w:val="both"/>
        <w:rPr>
          <w:rFonts w:ascii="Times" w:hAnsi="Times"/>
          <w:b/>
          <w:bCs/>
          <w:lang w:val="en-US"/>
        </w:rPr>
      </w:pPr>
      <w:r w:rsidRPr="005455F8">
        <w:rPr>
          <w:rFonts w:ascii="Times" w:hAnsi="Times"/>
          <w:b/>
          <w:bCs/>
          <w:lang w:val="en-US"/>
        </w:rPr>
        <w:t xml:space="preserve">Patient </w:t>
      </w:r>
      <w:r w:rsidR="008658AA">
        <w:rPr>
          <w:rFonts w:ascii="Times" w:hAnsi="Times"/>
          <w:b/>
          <w:bCs/>
          <w:lang w:val="en-US"/>
        </w:rPr>
        <w:t>research partners</w:t>
      </w:r>
    </w:p>
    <w:p w14:paraId="10F1C8B0" w14:textId="6EA21924" w:rsidR="007D0D5C" w:rsidRPr="00623A90" w:rsidRDefault="00E00A75" w:rsidP="00623A90">
      <w:pPr>
        <w:spacing w:line="360" w:lineRule="auto"/>
        <w:jc w:val="both"/>
        <w:rPr>
          <w:rFonts w:ascii="Times" w:hAnsi="Times"/>
          <w:lang w:val="en-US"/>
        </w:rPr>
      </w:pPr>
      <w:r w:rsidRPr="003165C2">
        <w:rPr>
          <w:rFonts w:ascii="Times" w:hAnsi="Times"/>
          <w:lang w:val="en-US"/>
        </w:rPr>
        <w:t xml:space="preserve">Patients from the user council </w:t>
      </w:r>
      <w:r w:rsidR="003165C2" w:rsidRPr="003165C2">
        <w:rPr>
          <w:rFonts w:ascii="Times" w:hAnsi="Times"/>
          <w:lang w:val="en-US"/>
        </w:rPr>
        <w:t>of</w:t>
      </w:r>
      <w:r w:rsidRPr="003165C2">
        <w:rPr>
          <w:rFonts w:ascii="Times" w:hAnsi="Times"/>
          <w:lang w:val="en-US"/>
        </w:rPr>
        <w:t xml:space="preserve"> </w:t>
      </w:r>
      <w:r w:rsidR="003165C2" w:rsidRPr="003165C2">
        <w:rPr>
          <w:rFonts w:ascii="Times" w:hAnsi="Times"/>
          <w:lang w:val="en-US"/>
        </w:rPr>
        <w:t xml:space="preserve">the </w:t>
      </w:r>
      <w:r w:rsidR="00673F87" w:rsidRPr="003165C2">
        <w:rPr>
          <w:rFonts w:ascii="Times" w:hAnsi="Times"/>
          <w:lang w:val="en-US"/>
        </w:rPr>
        <w:t>Danish Hospital for Rheumatic Diseases</w:t>
      </w:r>
      <w:r w:rsidR="003165C2" w:rsidRPr="003165C2">
        <w:rPr>
          <w:rFonts w:ascii="Times" w:hAnsi="Times"/>
          <w:lang w:val="en-US"/>
        </w:rPr>
        <w:t>, Sønderborg,</w:t>
      </w:r>
      <w:r w:rsidR="00673F87" w:rsidRPr="003165C2">
        <w:rPr>
          <w:rFonts w:ascii="Times" w:hAnsi="Times"/>
          <w:lang w:val="en-US"/>
        </w:rPr>
        <w:t xml:space="preserve"> have been involved in the </w:t>
      </w:r>
      <w:r w:rsidR="003E73B7">
        <w:rPr>
          <w:rFonts w:ascii="Times" w:hAnsi="Times"/>
          <w:lang w:val="en-US"/>
        </w:rPr>
        <w:t>conception of the</w:t>
      </w:r>
      <w:r w:rsidR="00673F87" w:rsidRPr="003165C2">
        <w:rPr>
          <w:rFonts w:ascii="Times" w:hAnsi="Times"/>
          <w:lang w:val="en-US"/>
        </w:rPr>
        <w:t xml:space="preserve"> study</w:t>
      </w:r>
      <w:r w:rsidR="00E51836">
        <w:rPr>
          <w:rFonts w:ascii="Times" w:hAnsi="Times"/>
          <w:lang w:val="en-US"/>
        </w:rPr>
        <w:t xml:space="preserve">. </w:t>
      </w:r>
      <w:r w:rsidR="004E0F8E">
        <w:rPr>
          <w:rFonts w:ascii="Times" w:hAnsi="Times"/>
          <w:lang w:val="en-US"/>
        </w:rPr>
        <w:t>The patient</w:t>
      </w:r>
      <w:r w:rsidR="008658AA">
        <w:rPr>
          <w:rFonts w:ascii="Times" w:hAnsi="Times"/>
          <w:lang w:val="en-US"/>
        </w:rPr>
        <w:t>s</w:t>
      </w:r>
      <w:r w:rsidR="004E0F8E">
        <w:rPr>
          <w:rFonts w:ascii="Times" w:hAnsi="Times"/>
          <w:lang w:val="en-US"/>
        </w:rPr>
        <w:t xml:space="preserve"> and their perspectives</w:t>
      </w:r>
      <w:r w:rsidR="00E51836">
        <w:rPr>
          <w:rFonts w:ascii="Times" w:hAnsi="Times"/>
          <w:lang w:val="en-US"/>
        </w:rPr>
        <w:t xml:space="preserve"> have </w:t>
      </w:r>
      <w:r w:rsidR="0076392B">
        <w:rPr>
          <w:rFonts w:ascii="Times" w:hAnsi="Times"/>
          <w:lang w:val="en-US"/>
        </w:rPr>
        <w:t>been a part of developing</w:t>
      </w:r>
      <w:r w:rsidR="003165C2" w:rsidRPr="003165C2">
        <w:rPr>
          <w:rFonts w:ascii="Times" w:hAnsi="Times"/>
          <w:lang w:val="en-US"/>
        </w:rPr>
        <w:t xml:space="preserve"> the patient information brochures. </w:t>
      </w:r>
    </w:p>
    <w:p w14:paraId="4DBB0ADE" w14:textId="77777777" w:rsidR="007D0D5C" w:rsidRDefault="007D0D5C" w:rsidP="009A2F16">
      <w:pPr>
        <w:spacing w:line="360" w:lineRule="auto"/>
        <w:jc w:val="both"/>
        <w:rPr>
          <w:rFonts w:ascii="Times" w:hAnsi="Times"/>
          <w:lang w:val="en-US"/>
        </w:rPr>
      </w:pPr>
    </w:p>
    <w:p w14:paraId="40AC5382" w14:textId="6510E6A5" w:rsidR="00FD046E" w:rsidRDefault="007D0D5C" w:rsidP="009A2F16">
      <w:pPr>
        <w:spacing w:line="360" w:lineRule="auto"/>
        <w:jc w:val="both"/>
        <w:rPr>
          <w:rFonts w:ascii="Times" w:hAnsi="Times"/>
          <w:b/>
          <w:bCs/>
          <w:lang w:val="en-US"/>
        </w:rPr>
      </w:pPr>
      <w:r w:rsidRPr="00FD046E">
        <w:rPr>
          <w:rFonts w:ascii="Times" w:hAnsi="Times"/>
          <w:b/>
          <w:bCs/>
          <w:lang w:val="en-US"/>
        </w:rPr>
        <w:t>Analy</w:t>
      </w:r>
      <w:r w:rsidR="00FD046E" w:rsidRPr="00FD046E">
        <w:rPr>
          <w:rFonts w:ascii="Times" w:hAnsi="Times"/>
          <w:b/>
          <w:bCs/>
          <w:lang w:val="en-US"/>
        </w:rPr>
        <w:t>tical methods</w:t>
      </w:r>
    </w:p>
    <w:p w14:paraId="71B7B5AF" w14:textId="7F523509" w:rsidR="00740BBA" w:rsidRDefault="00FD046E" w:rsidP="009A2F16">
      <w:pPr>
        <w:spacing w:line="360" w:lineRule="auto"/>
        <w:jc w:val="both"/>
        <w:rPr>
          <w:rFonts w:ascii="Times" w:hAnsi="Times"/>
          <w:lang w:val="en-US"/>
        </w:rPr>
      </w:pPr>
      <w:r w:rsidRPr="00FD046E">
        <w:rPr>
          <w:rFonts w:ascii="Times" w:hAnsi="Times"/>
          <w:lang w:val="en-US"/>
        </w:rPr>
        <w:t xml:space="preserve">All </w:t>
      </w:r>
      <w:r w:rsidR="00740BBA">
        <w:rPr>
          <w:rFonts w:ascii="Times" w:hAnsi="Times"/>
          <w:lang w:val="en-US"/>
        </w:rPr>
        <w:t>analyses</w:t>
      </w:r>
      <w:r w:rsidRPr="00FD046E">
        <w:rPr>
          <w:rFonts w:ascii="Times" w:hAnsi="Times"/>
          <w:lang w:val="en-US"/>
        </w:rPr>
        <w:t xml:space="preserve"> were </w:t>
      </w:r>
      <w:r w:rsidR="00740BBA">
        <w:rPr>
          <w:rFonts w:ascii="Times" w:hAnsi="Times"/>
          <w:lang w:val="en-US"/>
        </w:rPr>
        <w:t>conducted</w:t>
      </w:r>
      <w:r w:rsidRPr="00FD046E">
        <w:rPr>
          <w:rFonts w:ascii="Times" w:hAnsi="Times"/>
          <w:lang w:val="en-US"/>
        </w:rPr>
        <w:t xml:space="preserve"> </w:t>
      </w:r>
      <w:r w:rsidR="00A81720">
        <w:rPr>
          <w:rFonts w:ascii="Times" w:hAnsi="Times"/>
          <w:lang w:val="en-US"/>
        </w:rPr>
        <w:t>after</w:t>
      </w:r>
      <w:r w:rsidRPr="00FD046E">
        <w:rPr>
          <w:rFonts w:ascii="Times" w:hAnsi="Times"/>
          <w:lang w:val="en-US"/>
        </w:rPr>
        <w:t xml:space="preserve"> the studies</w:t>
      </w:r>
      <w:r w:rsidR="00104072">
        <w:rPr>
          <w:rFonts w:ascii="Times" w:hAnsi="Times"/>
          <w:lang w:val="en-US"/>
        </w:rPr>
        <w:t xml:space="preserve"> and were blinded from clinical data</w:t>
      </w:r>
      <w:r w:rsidRPr="00FD046E">
        <w:rPr>
          <w:rFonts w:ascii="Times" w:hAnsi="Times"/>
          <w:lang w:val="en-US"/>
        </w:rPr>
        <w:t xml:space="preserve">. </w:t>
      </w:r>
    </w:p>
    <w:p w14:paraId="1E93F313" w14:textId="2B6893F5" w:rsidR="00365737" w:rsidRDefault="009E0F01" w:rsidP="009A2F16">
      <w:pPr>
        <w:spacing w:line="360" w:lineRule="auto"/>
        <w:jc w:val="both"/>
        <w:rPr>
          <w:rFonts w:ascii="Times" w:hAnsi="Times"/>
          <w:lang w:val="en-US"/>
        </w:rPr>
      </w:pPr>
      <w:r>
        <w:rPr>
          <w:rFonts w:ascii="Times" w:hAnsi="Times"/>
          <w:lang w:val="en-US"/>
        </w:rPr>
        <w:t xml:space="preserve">In the </w:t>
      </w:r>
      <w:r w:rsidR="0052683A">
        <w:rPr>
          <w:rFonts w:ascii="Times" w:hAnsi="Times"/>
          <w:lang w:val="en-US"/>
        </w:rPr>
        <w:t>clinical pharmacokinetic trial</w:t>
      </w:r>
      <w:r>
        <w:rPr>
          <w:rFonts w:ascii="Times" w:hAnsi="Times"/>
          <w:lang w:val="en-US"/>
        </w:rPr>
        <w:t>, drugs and metabolites were analyzed in plasma and urine</w:t>
      </w:r>
      <w:r w:rsidR="0052683A">
        <w:rPr>
          <w:rFonts w:ascii="Times" w:hAnsi="Times"/>
          <w:lang w:val="en-US"/>
        </w:rPr>
        <w:t xml:space="preserve"> at </w:t>
      </w:r>
      <w:r w:rsidR="007D52E9">
        <w:rPr>
          <w:rFonts w:ascii="Times" w:hAnsi="Times"/>
          <w:lang w:val="en-US"/>
        </w:rPr>
        <w:t>the Department of Public Health, University of Southern Denmark</w:t>
      </w:r>
      <w:r w:rsidR="0070738B">
        <w:rPr>
          <w:rFonts w:ascii="Times" w:hAnsi="Times"/>
          <w:lang w:val="en-US"/>
        </w:rPr>
        <w:t xml:space="preserve">. We quantified </w:t>
      </w:r>
      <w:r w:rsidR="0070738B" w:rsidRPr="006D673F">
        <w:rPr>
          <w:rFonts w:ascii="Times" w:hAnsi="Times"/>
          <w:lang w:val="en-US"/>
        </w:rPr>
        <w:t>caffeine, paraxanthine, efavirenz, 8-hydroxyefavirenz, losartan, E3174</w:t>
      </w:r>
      <w:r w:rsidR="0070738B">
        <w:rPr>
          <w:rFonts w:ascii="Times" w:hAnsi="Times"/>
          <w:lang w:val="en-US"/>
        </w:rPr>
        <w:t>,</w:t>
      </w:r>
      <w:r w:rsidR="0070738B" w:rsidRPr="006D673F">
        <w:rPr>
          <w:rFonts w:ascii="Times" w:hAnsi="Times"/>
          <w:lang w:val="en-US"/>
        </w:rPr>
        <w:t xml:space="preserve"> metoprolol, </w:t>
      </w:r>
      <w:proofErr w:type="spellStart"/>
      <w:r w:rsidR="0070738B" w:rsidRPr="006D673F">
        <w:rPr>
          <w:rFonts w:ascii="Times" w:hAnsi="Times"/>
          <w:lang w:val="en-US"/>
        </w:rPr>
        <w:t>hydroxymetoprolol</w:t>
      </w:r>
      <w:proofErr w:type="spellEnd"/>
      <w:r w:rsidR="0070738B" w:rsidRPr="006D673F">
        <w:rPr>
          <w:rFonts w:ascii="Times" w:hAnsi="Times"/>
          <w:lang w:val="en-US"/>
        </w:rPr>
        <w:t>, midazolam, and α-</w:t>
      </w:r>
      <w:proofErr w:type="spellStart"/>
      <w:r w:rsidR="0070738B" w:rsidRPr="006D673F">
        <w:rPr>
          <w:rFonts w:ascii="Times" w:hAnsi="Times"/>
          <w:lang w:val="en-US"/>
        </w:rPr>
        <w:t>hydroxymidazolam</w:t>
      </w:r>
      <w:proofErr w:type="spellEnd"/>
      <w:r w:rsidR="0070738B">
        <w:rPr>
          <w:rFonts w:ascii="Times" w:hAnsi="Times"/>
          <w:lang w:val="en-US"/>
        </w:rPr>
        <w:t xml:space="preserve"> using </w:t>
      </w:r>
      <w:r w:rsidR="00421A24" w:rsidRPr="006D673F">
        <w:rPr>
          <w:rFonts w:ascii="Times" w:hAnsi="Times"/>
          <w:lang w:val="en-US"/>
        </w:rPr>
        <w:t>high-performance liquid chromatography (LC) and high-resolution mass spectrometry (HR-MS)</w:t>
      </w:r>
      <w:r w:rsidR="0070738B" w:rsidRPr="006D673F">
        <w:rPr>
          <w:rFonts w:ascii="Times" w:hAnsi="Times"/>
          <w:lang w:val="en-US"/>
        </w:rPr>
        <w:t>.</w:t>
      </w:r>
      <w:r w:rsidR="00421A24">
        <w:rPr>
          <w:rFonts w:ascii="Times" w:hAnsi="Times"/>
          <w:lang w:val="en-US"/>
        </w:rPr>
        <w:t xml:space="preserve"> The method is previously described in detail </w:t>
      </w:r>
      <w:r w:rsidR="00A63A2F">
        <w:rPr>
          <w:rFonts w:ascii="Times" w:hAnsi="Times"/>
          <w:lang w:val="en-US"/>
        </w:rPr>
        <w:fldChar w:fldCharType="begin"/>
      </w:r>
      <w:r w:rsidR="00137A8C">
        <w:rPr>
          <w:rFonts w:ascii="Times" w:hAnsi="Times"/>
          <w:lang w:val="en-US"/>
        </w:rPr>
        <w:instrText xml:space="preserve"> ADDIN ZOTERO_ITEM CSL_CITATION {"citationID":"KNve03Ma","properties":{"formattedCitation":"(22)","plainCitation":"(22)","noteIndex":0},"citationItems":[{"id":1370,"uris":["http://zotero.org/users/4954704/items/WEKVWWK2"],"itemData":{"id":1370,"type":"article-journal","container-title":"British Journal of Clinical Pharmacology","DOI":"10.1111/bcp.15725","ISSN":"0306-5251","issue":"8","journalAbbreviation":"British Journal of Clinical Pharmacology","note":"publisher: Wiley","page":"2529-2541","title":"Initiation of glucose‐lowering drugs reduces the anticoagulant effect of warfarin—But not through altered drug metabolism in patients with type 2 diabetes","volume":"89","author":[{"family":"Dunvald","given":"Ann‐Cathrine Dalgård"},{"family":"Nielsen","given":"Flemming"},{"family":"Olsen","given":"Dorte Aalund"},{"family":"Ernst","given":"Martin Thomsen"},{"family":"Donnelly","given":"Louise"},{"family":"Soto‐Pedre","given":"Enrique"},{"family":"Kristiansen","given":"Maja Refshauge"},{"family":"Nielsen","given":"Jens Steen"},{"family":"Persson","given":"Frederik"},{"family":"Højlund","given":"Kurt"},{"family":"Madsen","given":"Jonna Skov"},{"family":"Søndergaard","given":"Jens"},{"family":"Pearson","given":"Ewan"},{"family":"Pottegård","given":"Anton"},{"family":"Stage","given":"Tore Bjerregaard"}],"issued":{"date-parts":[["2023"]]}}}],"schema":"https://github.com/citation-style-language/schema/raw/master/csl-citation.json"} </w:instrText>
      </w:r>
      <w:r w:rsidR="00A63A2F">
        <w:rPr>
          <w:rFonts w:ascii="Times" w:hAnsi="Times"/>
          <w:lang w:val="en-US"/>
        </w:rPr>
        <w:fldChar w:fldCharType="separate"/>
      </w:r>
      <w:r w:rsidR="00137A8C">
        <w:rPr>
          <w:rFonts w:ascii="Times" w:hAnsi="Times"/>
          <w:noProof/>
          <w:lang w:val="en-US"/>
        </w:rPr>
        <w:t>(22)</w:t>
      </w:r>
      <w:r w:rsidR="00A63A2F">
        <w:rPr>
          <w:rFonts w:ascii="Times" w:hAnsi="Times"/>
          <w:lang w:val="en-US"/>
        </w:rPr>
        <w:fldChar w:fldCharType="end"/>
      </w:r>
      <w:r w:rsidR="00210ECC">
        <w:rPr>
          <w:rFonts w:ascii="Times" w:hAnsi="Times"/>
          <w:lang w:val="en-US"/>
        </w:rPr>
        <w:t xml:space="preserve"> and follows</w:t>
      </w:r>
      <w:r w:rsidR="00073434">
        <w:rPr>
          <w:rFonts w:ascii="Times" w:hAnsi="Times"/>
          <w:lang w:val="en-US"/>
        </w:rPr>
        <w:t xml:space="preserve"> a previously utilized </w:t>
      </w:r>
      <w:r w:rsidR="0028574B">
        <w:rPr>
          <w:rFonts w:ascii="Times" w:hAnsi="Times"/>
          <w:lang w:val="en-US"/>
        </w:rPr>
        <w:t>approach</w:t>
      </w:r>
      <w:r w:rsidR="00073434">
        <w:rPr>
          <w:rFonts w:ascii="Times" w:hAnsi="Times"/>
          <w:lang w:val="en-US"/>
        </w:rPr>
        <w:t xml:space="preserve"> with minor modifications </w:t>
      </w:r>
      <w:r w:rsidR="00DA7D57">
        <w:rPr>
          <w:rFonts w:ascii="Times" w:hAnsi="Times"/>
          <w:lang w:val="en-US"/>
        </w:rPr>
        <w:fldChar w:fldCharType="begin"/>
      </w:r>
      <w:r w:rsidR="00296450">
        <w:rPr>
          <w:rFonts w:ascii="Times" w:hAnsi="Times"/>
          <w:lang w:val="en-US"/>
        </w:rPr>
        <w:instrText xml:space="preserve"> ADDIN ZOTERO_ITEM CSL_CITATION {"citationID":"o2osB38K","properties":{"formattedCitation":"(17,23\\uc0\\u8211{}25)","plainCitation":"(17,23–25)","noteIndex":0},"citationItems":[{"id":327,"uris":["http://zotero.org/users/4954704/items/88CFJD6F"],"itemData":{"id":327,"type":"article-journal","abstract":"Background and Objective Phenotyping cocktails use a combination of cytochrome P450 (CYP)-speciﬁc probe drugs to simultaneously assess the activity of different CYP isoforms. To improve the clinical applicability of CYP phenotyping, the main objectives of this study were to develop a new cocktail based on probe drugs that are widely used in clinical practice and to test whether alternative sampling methods such as collection of dried blood spots (DBS) or saliva could be used to simplify the sampling process.","container-title":"Clinical Pharmacokinetics","DOI":"10.1007/s40262-013-0115-0","ISSN":"0312-5963, 1179-1926","issue":"3","journalAbbreviation":"Clin Pharmacokinet","language":"en","page":"271-282","source":"DOI.org (Crossref)","title":"The Basel Cocktail for Simultaneous Phenotyping of Human Cytochrome P450 Isoforms in Plasma, Saliva and Dried Blood Spots","volume":"53","author":[{"family":"Donzelli","given":"Massimiliano"},{"family":"Derungs","given":"Adrian"},{"family":"Serratore","given":"Maria-Giovanna"},{"family":"Noppen","given":"Christoph"},{"family":"Nezic","given":"Lana"},{"family":"Krähenbühl","given":"Stephan"},{"family":"Haschke","given":"Manuel"}],"issued":{"date-parts":[["2014",3]]}}},{"id":107,"uris":["http://zotero.org/users/4954704/items/ZWPR6C8B"],"itemData":{"id":107,"type":"article-journal","abstract":"Aim The aim of this study was to study potential cytochrome P450 (CYP) induction by dicloxacillin. Methods We performed an open-label, randomized, two-phase, five-drug clinical pharmacokinetic cocktail crossover study in 12 healthy men with and without pretreatment with 1 g dicloxacillin three times daily for 10 days. Plasma and urine were collected over 24 h and the concentration of all five drugs and their primary metabolites was determined using a liquid chromatography coupled to triple quadrupole mass spectrometry method. Cryopreserved primary human hepatocytes were exposed to dicloxacillin for 48 h and changes in gene expression and the activity of CYP3A4, CYP2C9, CYP2B6 and CYP1A2 were investigated. The activation of nuclear receptors by dicloxacillin was assessed using luciferase assays. Results A total of 10 days of treatment with dicloxacillin resulted in a clinically and statistically significant reduction in the area under the plasma concentration–time curve from 0 to 24 h for omeprazole (CYP2C19) geometric mean ratio [GMR] [95% confidence interval (CI)]: 0.33 [0.24, 0.45], tolbutamide (CYP2C9) [GMR (95% CI): 0.73 (0.65, 0.81)] and midazolam (CYP3A4) [GMR (95% CI): 0.54 (0.41, 0.72)]. Additionally, other relevant pharmacokinetic parameters were affected, indicating the induction of CYP2C- and CYP3A4-mediated metabolism by dicloxacillin. Investigations in primary hepatocytes showed a statistically significant dose-dependent increase in CYP expression and activity by dicloxacillin, caused by activation of the pregnane X receptor. Conclusions Dicloxacillin is an inducer of CYP2C- and CYP3A-mediated drug metabolism, and we recommend caution when prescribing dicloxacillin to users of drugs with a narrow therapeutic window.","container-title":"British Journal of Clinical Pharmacology","DOI":"10.1111/bcp.13467","ISSN":"1365-2125","issue":"3","language":"en","page":"510-519","source":"Wiley Online Library","title":"Dicloxacillin induces CYP2C19, CYP2C9 and CYP3A4 in vivo and in vitro","volume":"84","author":[{"family":"Stage","given":"Tore Bjerregaard"},{"family":"Graff","given":"Magnus"},{"family":"Wong","given":"Susan"},{"family":"Rasmussen","given":"Louise Ladebo"},{"family":"Nielsen","given":"Flemming"},{"family":"Pottegård","given":"Anton"},{"family":"Brøsen","given":"Kim"},{"family":"Kroetz","given":"Deanna L."},{"family":"Khojasteh","given":"S. Cyrus"},{"family":"Damkier","given":"Per"}],"issued":{"date-parts":[["2018",3]]}}},{"id":1222,"uris":["http://zotero.org/users/4954704/items/3HN558C9"],"itemData":{"id":1222,"type":"article-journal","container-title":"Analytical and Bioanalytical Chemistry","DOI":"10.1007/s00216-016-9994-x","ISSN":"1618-2642, 1618-2650","issue":"1","journalAbbreviation":"Anal Bioanal Chem","language":"en","page":"251-268","source":"DOI.org (Crossref)","title":"A liquid chromatography-tandem mass spectrometry analysis of nine cytochrome P450 probe drugs and their corresponding metabolites in human serum and urine","volume":"409","author":[{"family":"Puris","given":"Elena"},{"family":"Pasanen","given":"Markku"},{"family":"Gynther","given":"Mikko"},{"family":"Häkkinen","given":"Merja R."},{"family":"Pihlajamäki","given":"Jussi"},{"family":"Keränen","given":"Tapani"},{"family":"Honkakoski","given":"Paavo"},{"family":"Raunio","given":"Hannu"},{"family":"Petsalo","given":"Aleksanteri"}],"issued":{"date-parts":[["2017",1]]}}},{"id":1224,"uris":["http://zotero.org/users/4954704/items/4VLVC7BI"],"itemData":{"id":1224,"type":"article-journal","container-title":"Biological and Pharmaceutical Bulletin","DOI":"10.1248/bpb.b13-00401","ISSN":"0918-6158, 1347-5215","issue":"1","journalAbbreviation":"Biological &amp; Pharmaceutical Bulletin","language":"en","page":"18-25","source":"DOI.org (Crossref)","title":"Simultaneous LC-MS/MS Analysis of the Plasma Concentrations of a Cocktail of 5 Cytochrome P450 Substrate Drugs and Their Metabolites","volume":"37","author":[{"family":"Tanaka","given":"Shimako"},{"family":"Uchida","given":"Shinya"},{"family":"Inui","given":"Naoki"},{"family":"Takeuchi","given":"Kazuhiko"},{"family":"Watanabe","given":"Hiroshi"},{"family":"Namiki","given":"Noriyuki"}],"issued":{"date-parts":[["2014"]]}}}],"schema":"https://github.com/citation-style-language/schema/raw/master/csl-citation.json"} </w:instrText>
      </w:r>
      <w:r w:rsidR="00DA7D57">
        <w:rPr>
          <w:rFonts w:ascii="Times" w:hAnsi="Times"/>
          <w:lang w:val="en-US"/>
        </w:rPr>
        <w:fldChar w:fldCharType="separate"/>
      </w:r>
      <w:r w:rsidR="00296450" w:rsidRPr="004213EE">
        <w:rPr>
          <w:rFonts w:ascii="Times" w:hAnsi="Times"/>
          <w:lang w:val="en-US"/>
        </w:rPr>
        <w:t>(17,23–25)</w:t>
      </w:r>
      <w:r w:rsidR="00DA7D57">
        <w:rPr>
          <w:rFonts w:ascii="Times" w:hAnsi="Times"/>
          <w:lang w:val="en-US"/>
        </w:rPr>
        <w:fldChar w:fldCharType="end"/>
      </w:r>
      <w:r w:rsidR="004C2F92">
        <w:rPr>
          <w:rFonts w:ascii="Times" w:hAnsi="Times"/>
          <w:lang w:val="en-US"/>
        </w:rPr>
        <w:t>.</w:t>
      </w:r>
      <w:r w:rsidR="00EC12CF">
        <w:rPr>
          <w:rFonts w:ascii="Times" w:hAnsi="Times"/>
          <w:lang w:val="en-US"/>
        </w:rPr>
        <w:t xml:space="preserve"> </w:t>
      </w:r>
      <w:r w:rsidR="00CE5944">
        <w:rPr>
          <w:rFonts w:ascii="Times" w:hAnsi="Times"/>
          <w:lang w:val="en-US"/>
        </w:rPr>
        <w:t>We used q</w:t>
      </w:r>
      <w:r w:rsidR="002A18BF">
        <w:rPr>
          <w:rFonts w:ascii="Times" w:hAnsi="Times"/>
          <w:lang w:val="en-US"/>
        </w:rPr>
        <w:t xml:space="preserve">uality control (QC) samples, blanks, and calibration curves in the </w:t>
      </w:r>
      <w:r w:rsidR="00AF215D">
        <w:rPr>
          <w:rFonts w:ascii="Times" w:hAnsi="Times"/>
          <w:lang w:val="en-US"/>
        </w:rPr>
        <w:t>batch to assess precision and accuracy</w:t>
      </w:r>
      <w:r w:rsidR="00F75F70">
        <w:rPr>
          <w:rFonts w:ascii="Times" w:hAnsi="Times"/>
          <w:lang w:val="en-US"/>
        </w:rPr>
        <w:t xml:space="preserve">. The within-day and </w:t>
      </w:r>
      <w:r w:rsidR="00210ECC">
        <w:rPr>
          <w:rFonts w:ascii="Times" w:hAnsi="Times"/>
          <w:lang w:val="en-US"/>
        </w:rPr>
        <w:t>between</w:t>
      </w:r>
      <w:r w:rsidR="00F75F70">
        <w:rPr>
          <w:rFonts w:ascii="Times" w:hAnsi="Times"/>
          <w:lang w:val="en-US"/>
        </w:rPr>
        <w:t>-day precision</w:t>
      </w:r>
      <w:r w:rsidR="00210ECC">
        <w:rPr>
          <w:rFonts w:ascii="Times" w:hAnsi="Times"/>
          <w:lang w:val="en-US"/>
        </w:rPr>
        <w:t xml:space="preserve"> and accuracy were &lt;15% for all compounds. </w:t>
      </w:r>
      <w:r w:rsidR="0001284D">
        <w:rPr>
          <w:rFonts w:ascii="Times" w:hAnsi="Times"/>
          <w:lang w:val="en-US"/>
        </w:rPr>
        <w:t>The l</w:t>
      </w:r>
      <w:r w:rsidR="00DB52D8">
        <w:rPr>
          <w:rFonts w:ascii="Times" w:hAnsi="Times"/>
          <w:lang w:val="en-US"/>
        </w:rPr>
        <w:t>ower</w:t>
      </w:r>
      <w:r w:rsidR="0001284D">
        <w:rPr>
          <w:rFonts w:ascii="Times" w:hAnsi="Times"/>
          <w:lang w:val="en-US"/>
        </w:rPr>
        <w:t xml:space="preserve"> limit of </w:t>
      </w:r>
      <w:r w:rsidR="006E3C89">
        <w:rPr>
          <w:rFonts w:ascii="Times" w:hAnsi="Times"/>
          <w:lang w:val="en-US"/>
        </w:rPr>
        <w:t>quantification (</w:t>
      </w:r>
      <w:r w:rsidR="0028140F">
        <w:rPr>
          <w:rFonts w:ascii="Times" w:hAnsi="Times"/>
          <w:lang w:val="en-US"/>
        </w:rPr>
        <w:t>L</w:t>
      </w:r>
      <w:r w:rsidR="006E3C89">
        <w:rPr>
          <w:rFonts w:ascii="Times" w:hAnsi="Times"/>
          <w:lang w:val="en-US"/>
        </w:rPr>
        <w:t>LOQ)</w:t>
      </w:r>
      <w:r w:rsidR="00DB52D8">
        <w:rPr>
          <w:rFonts w:ascii="Times" w:hAnsi="Times"/>
          <w:lang w:val="en-US"/>
        </w:rPr>
        <w:t xml:space="preserve"> and upper limit of quantification (ULOQ)</w:t>
      </w:r>
      <w:r w:rsidR="006E3C89">
        <w:rPr>
          <w:rFonts w:ascii="Times" w:hAnsi="Times"/>
          <w:lang w:val="en-US"/>
        </w:rPr>
        <w:t xml:space="preserve"> ranged from 0.5 to 5 </w:t>
      </w:r>
      <w:r w:rsidR="00577BC8">
        <w:rPr>
          <w:rFonts w:ascii="Times" w:hAnsi="Times"/>
          <w:lang w:val="en-US"/>
        </w:rPr>
        <w:t>ng/mL</w:t>
      </w:r>
      <w:r w:rsidR="007554AF">
        <w:rPr>
          <w:rFonts w:ascii="Times" w:hAnsi="Times"/>
          <w:lang w:val="en-US"/>
        </w:rPr>
        <w:t xml:space="preserve"> to 500 to 2000 ng/mL</w:t>
      </w:r>
      <w:r w:rsidR="00577BC8">
        <w:rPr>
          <w:rFonts w:ascii="Times" w:hAnsi="Times"/>
          <w:lang w:val="en-US"/>
        </w:rPr>
        <w:t xml:space="preserve">, respectively, for the individual compounds. </w:t>
      </w:r>
    </w:p>
    <w:p w14:paraId="4CC8ABFB" w14:textId="77777777" w:rsidR="00365737" w:rsidRDefault="00365737" w:rsidP="009A2F16">
      <w:pPr>
        <w:spacing w:line="360" w:lineRule="auto"/>
        <w:jc w:val="both"/>
        <w:rPr>
          <w:rFonts w:ascii="Times" w:hAnsi="Times"/>
          <w:lang w:val="en-US"/>
        </w:rPr>
      </w:pPr>
    </w:p>
    <w:p w14:paraId="12F6F31E" w14:textId="6600D91F" w:rsidR="00577BC8" w:rsidRDefault="00365737" w:rsidP="009A2F16">
      <w:pPr>
        <w:spacing w:line="360" w:lineRule="auto"/>
        <w:jc w:val="both"/>
        <w:rPr>
          <w:rFonts w:ascii="Times" w:hAnsi="Times"/>
          <w:lang w:val="en-US"/>
        </w:rPr>
      </w:pPr>
      <w:r w:rsidRPr="4AFDAE6C">
        <w:rPr>
          <w:rFonts w:ascii="Times" w:hAnsi="Times"/>
          <w:lang w:val="en-US"/>
        </w:rPr>
        <w:t xml:space="preserve">In the </w:t>
      </w:r>
      <w:r w:rsidR="00740BBA" w:rsidRPr="4AFDAE6C">
        <w:rPr>
          <w:rFonts w:ascii="Times" w:hAnsi="Times"/>
          <w:lang w:val="en-US"/>
        </w:rPr>
        <w:t>clinical pharmacokinetic trial</w:t>
      </w:r>
      <w:r w:rsidRPr="4AFDAE6C">
        <w:rPr>
          <w:rFonts w:ascii="Times" w:hAnsi="Times"/>
          <w:lang w:val="en-US"/>
        </w:rPr>
        <w:t xml:space="preserve">, patients were genotyped </w:t>
      </w:r>
      <w:r w:rsidR="00783A0E" w:rsidRPr="4AFDAE6C">
        <w:rPr>
          <w:rFonts w:ascii="Times" w:hAnsi="Times"/>
          <w:lang w:val="en-US"/>
        </w:rPr>
        <w:t xml:space="preserve">to identify the most common </w:t>
      </w:r>
      <w:r w:rsidR="004F0429" w:rsidRPr="4AFDAE6C">
        <w:rPr>
          <w:rFonts w:ascii="Times" w:hAnsi="Times"/>
          <w:i/>
          <w:iCs/>
          <w:lang w:val="en-US"/>
        </w:rPr>
        <w:t>CYP2C9</w:t>
      </w:r>
      <w:r w:rsidR="004F0429" w:rsidRPr="4AFDAE6C">
        <w:rPr>
          <w:rFonts w:ascii="Times" w:hAnsi="Times"/>
          <w:lang w:val="en-US"/>
        </w:rPr>
        <w:t xml:space="preserve"> alleles (*1, *2, *3) and </w:t>
      </w:r>
      <w:r w:rsidR="004F0429" w:rsidRPr="4AFDAE6C">
        <w:rPr>
          <w:rFonts w:ascii="Times" w:hAnsi="Times"/>
          <w:i/>
          <w:iCs/>
          <w:lang w:val="en-US"/>
        </w:rPr>
        <w:t>CYP2D6</w:t>
      </w:r>
      <w:r w:rsidR="004F0429" w:rsidRPr="4AFDAE6C">
        <w:rPr>
          <w:rFonts w:ascii="Times" w:hAnsi="Times"/>
          <w:lang w:val="en-US"/>
        </w:rPr>
        <w:t xml:space="preserve"> alleles (*1, </w:t>
      </w:r>
      <w:r w:rsidR="004F0429" w:rsidRPr="4AFDAE6C">
        <w:rPr>
          <w:rFonts w:ascii="Times" w:hAnsi="Times"/>
          <w:color w:val="000000" w:themeColor="text1"/>
          <w:lang w:val="en-US"/>
        </w:rPr>
        <w:t xml:space="preserve">*2, *3, *4, *5, *6, *9, *10, *17, and *41 or gene </w:t>
      </w:r>
      <w:r w:rsidR="004F0429" w:rsidRPr="4AFDAE6C">
        <w:rPr>
          <w:rFonts w:ascii="Times" w:hAnsi="Times"/>
          <w:color w:val="000000" w:themeColor="text1"/>
          <w:lang w:val="en-US"/>
        </w:rPr>
        <w:lastRenderedPageBreak/>
        <w:t xml:space="preserve">duplicates). </w:t>
      </w:r>
      <w:r w:rsidR="00955D52" w:rsidRPr="4AFDAE6C">
        <w:rPr>
          <w:rFonts w:ascii="Times" w:hAnsi="Times"/>
          <w:color w:val="000000" w:themeColor="text1"/>
          <w:lang w:val="en-US"/>
        </w:rPr>
        <w:t>We used</w:t>
      </w:r>
      <w:r w:rsidR="004F0429" w:rsidRPr="4AFDAE6C">
        <w:rPr>
          <w:rFonts w:ascii="Times" w:hAnsi="Times"/>
          <w:color w:val="000000" w:themeColor="text1"/>
          <w:lang w:val="en-US"/>
        </w:rPr>
        <w:t xml:space="preserve"> </w:t>
      </w:r>
      <w:r w:rsidR="30260C74" w:rsidRPr="4AFDAE6C">
        <w:rPr>
          <w:rFonts w:ascii="Times" w:hAnsi="Times"/>
          <w:color w:val="000000" w:themeColor="text1"/>
          <w:lang w:val="en-US"/>
        </w:rPr>
        <w:t>a previously</w:t>
      </w:r>
      <w:r w:rsidR="004F0429" w:rsidRPr="4AFDAE6C">
        <w:rPr>
          <w:rFonts w:ascii="Times" w:hAnsi="Times"/>
          <w:color w:val="000000" w:themeColor="text1"/>
          <w:lang w:val="en-US"/>
        </w:rPr>
        <w:t xml:space="preserve"> validated 5’ nuclease real-time polymerase chain reaction (PCR) panel </w:t>
      </w:r>
      <w:r w:rsidRPr="4AFDAE6C">
        <w:rPr>
          <w:rFonts w:ascii="Times" w:hAnsi="Times"/>
          <w:color w:val="000000" w:themeColor="text1"/>
          <w:lang w:val="en-US"/>
        </w:rPr>
        <w:fldChar w:fldCharType="begin"/>
      </w:r>
      <w:r w:rsidR="00296450">
        <w:rPr>
          <w:rFonts w:ascii="Times" w:hAnsi="Times"/>
          <w:color w:val="000000" w:themeColor="text1"/>
          <w:lang w:val="en-US"/>
        </w:rPr>
        <w:instrText xml:space="preserve"> ADDIN ZOTERO_ITEM CSL_CITATION {"citationID":"uX8J2Kpd","properties":{"formattedCitation":"(26)","plainCitation":"(26)","noteIndex":0},"citationItems":[{"id":1159,"uris":["http://zotero.org/users/4954704/items/P4GPBRKS"],"itemData":{"id":1159,"type":"article-journal","abstract":"Due to their involvement in the metabolization of commonly prescribed psychopharmaceutical drugs, the cytochrome oxidase genes CYP2D6 and CYP2C19 are extensive targets for pharmacogenetic testing. The existence of common allelic variants allows the prediction of a metabolic phenotype based on a genotype result, hereby supplying a clinical tool for optimizing prescription and minimizing adverse effects. In this study, we present the development of two 5′ nuclease real-time polymerase chain reaction (PCR) test panels, capable of detecting eight of the most clinically relevant alleles of the CYP2D6 gene (*2, *3, *4, *6, *9, *10, 17, *41) and the three most common nonfunctional alleles of CYP2C19 (*2, *3, *4). The assays have been thoroughly validated using a large collection of reference samples, by parallel testing and by DNA sequencing. The reanalysis of reference samples provided the calculation of the frequency of the CYP2D6*4K allele in a population, not previously reported. Furthermore, original test results from CYP2D6*41, generated based on the presence of the 2850T and the lack of the −1584G single-nucleotide polymorphism (SNP), were compared with genotyping based on the current acknowledged founder SNP 2988G of this allele. These results indicate that up to 17.7% of the patients originally tested as carriers of the CYP2D6*41 allele may have had an incorrect phenotypic result assigned. The two 5′ nuclease real-time PCR test panels have subsequently been optimized for use in the clinical laboratory, using a standard real-time PCR instrument and software.","container-title":"Pharmacogenomics and Personalized Medicine","DOI":"10.2147/PGPM.S131580","ISSN":"1178-7066","journalAbbreviation":"PGPM","language":"en","page":"115-128","source":"DOI.org (Crossref)","title":"Pharmacogenetic testing revisited: 5&amp;prime;nuclease real-time polymerase chain reaction test panels for genotyping CYP2D6 and CYP2C19","title-short":"Pharmacogenetic testing revisited","volume":"10","author":[{"family":"Borggaard Larsen","given":"Jens"},{"family":"Borg Rasmussen","given":"Jan"}],"issued":{"date-parts":[["2017",4]]}}}],"schema":"https://github.com/citation-style-language/schema/raw/master/csl-citation.json"} </w:instrText>
      </w:r>
      <w:r w:rsidRPr="4AFDAE6C">
        <w:rPr>
          <w:rFonts w:ascii="Times" w:hAnsi="Times"/>
          <w:color w:val="000000" w:themeColor="text1"/>
          <w:lang w:val="en-US"/>
        </w:rPr>
        <w:fldChar w:fldCharType="separate"/>
      </w:r>
      <w:r w:rsidR="00296450">
        <w:rPr>
          <w:rFonts w:ascii="Times" w:hAnsi="Times"/>
          <w:noProof/>
          <w:color w:val="000000" w:themeColor="text1"/>
          <w:lang w:val="en-US"/>
        </w:rPr>
        <w:t>(26)</w:t>
      </w:r>
      <w:r w:rsidRPr="4AFDAE6C">
        <w:rPr>
          <w:rFonts w:ascii="Times" w:hAnsi="Times"/>
          <w:color w:val="000000" w:themeColor="text1"/>
          <w:lang w:val="en-US"/>
        </w:rPr>
        <w:fldChar w:fldCharType="end"/>
      </w:r>
      <w:r w:rsidR="00955D52" w:rsidRPr="4AFDAE6C">
        <w:rPr>
          <w:rFonts w:ascii="Times" w:hAnsi="Times"/>
          <w:color w:val="000000" w:themeColor="text1"/>
          <w:lang w:val="en-US"/>
        </w:rPr>
        <w:t>.</w:t>
      </w:r>
      <w:r w:rsidRPr="4AFDAE6C">
        <w:rPr>
          <w:rFonts w:ascii="Times" w:hAnsi="Times"/>
          <w:lang w:val="en-US"/>
        </w:rPr>
        <w:t xml:space="preserve"> </w:t>
      </w:r>
    </w:p>
    <w:p w14:paraId="01AA5730" w14:textId="77777777" w:rsidR="00577BC8" w:rsidRDefault="00577BC8" w:rsidP="009A2F16">
      <w:pPr>
        <w:spacing w:line="360" w:lineRule="auto"/>
        <w:jc w:val="both"/>
        <w:rPr>
          <w:rFonts w:ascii="Times" w:hAnsi="Times"/>
          <w:lang w:val="en-US"/>
        </w:rPr>
      </w:pPr>
    </w:p>
    <w:p w14:paraId="67F3432D" w14:textId="516537A7" w:rsidR="0017772D" w:rsidRPr="00590CF8" w:rsidRDefault="00352323" w:rsidP="0084740A">
      <w:pPr>
        <w:spacing w:line="360" w:lineRule="auto"/>
        <w:jc w:val="both"/>
        <w:rPr>
          <w:rFonts w:ascii="Times" w:hAnsi="Times"/>
          <w:lang w:val="en-US"/>
        </w:rPr>
      </w:pPr>
      <w:r>
        <w:rPr>
          <w:rFonts w:ascii="Times" w:hAnsi="Times"/>
          <w:lang w:val="en-US"/>
        </w:rPr>
        <w:t xml:space="preserve">Samples from the </w:t>
      </w:r>
      <w:r w:rsidR="001306D4">
        <w:rPr>
          <w:rFonts w:ascii="Times" w:hAnsi="Times"/>
          <w:lang w:val="en-US"/>
        </w:rPr>
        <w:t>clinical pharmacokinetic trial</w:t>
      </w:r>
      <w:r>
        <w:rPr>
          <w:rFonts w:ascii="Times" w:hAnsi="Times"/>
          <w:lang w:val="en-US"/>
        </w:rPr>
        <w:t xml:space="preserve"> and </w:t>
      </w:r>
      <w:r w:rsidR="001306D4">
        <w:rPr>
          <w:rFonts w:ascii="Times" w:hAnsi="Times"/>
          <w:lang w:val="en-US"/>
        </w:rPr>
        <w:t xml:space="preserve">the </w:t>
      </w:r>
      <w:r>
        <w:rPr>
          <w:rFonts w:ascii="Times" w:hAnsi="Times"/>
          <w:lang w:val="en-US"/>
        </w:rPr>
        <w:t xml:space="preserve">retrospective study were analyzed for </w:t>
      </w:r>
      <w:r w:rsidR="00A81720">
        <w:rPr>
          <w:rFonts w:ascii="Times" w:hAnsi="Times"/>
          <w:lang w:val="en-US"/>
        </w:rPr>
        <w:t>cholesterol and 4</w:t>
      </w:r>
      <w:r w:rsidR="00254898">
        <w:rPr>
          <w:rFonts w:ascii="Symbol" w:eastAsia="Symbol" w:hAnsi="Symbol" w:cs="Symbol"/>
          <w:lang w:val="en-US"/>
        </w:rPr>
        <w:t></w:t>
      </w:r>
      <w:r w:rsidR="00247451">
        <w:rPr>
          <w:rFonts w:ascii="Times" w:hAnsi="Times"/>
          <w:lang w:val="en-US"/>
        </w:rPr>
        <w:t>-</w:t>
      </w:r>
      <w:r w:rsidR="00A81720">
        <w:rPr>
          <w:rFonts w:ascii="Times" w:hAnsi="Times"/>
          <w:lang w:val="en-US"/>
        </w:rPr>
        <w:t xml:space="preserve">hydroxycholesterol concentrations </w:t>
      </w:r>
      <w:r w:rsidR="0084740A">
        <w:rPr>
          <w:rFonts w:ascii="Times" w:hAnsi="Times"/>
          <w:lang w:val="en-US"/>
        </w:rPr>
        <w:t>at the Department of Public Health, University of Southern Denmark</w:t>
      </w:r>
      <w:r w:rsidR="00B90813">
        <w:rPr>
          <w:rFonts w:ascii="Times" w:hAnsi="Times"/>
          <w:lang w:val="en-US"/>
        </w:rPr>
        <w:t xml:space="preserve">. </w:t>
      </w:r>
      <w:r w:rsidR="0017772D" w:rsidRPr="00590CF8">
        <w:rPr>
          <w:rFonts w:ascii="Times" w:hAnsi="Times"/>
          <w:lang w:val="en-US"/>
        </w:rPr>
        <w:t>The concentration of 4</w:t>
      </w:r>
      <w:r w:rsidR="0017772D" w:rsidRPr="00590CF8">
        <w:rPr>
          <w:rFonts w:ascii="Symbol" w:eastAsia="Symbol" w:hAnsi="Symbol" w:cs="Symbol"/>
          <w:lang w:val="en-US"/>
        </w:rPr>
        <w:t></w:t>
      </w:r>
      <w:r w:rsidR="0017772D" w:rsidRPr="00590CF8">
        <w:rPr>
          <w:rFonts w:ascii="Times" w:hAnsi="Times"/>
          <w:lang w:val="en-US"/>
        </w:rPr>
        <w:t xml:space="preserve">-hydroxycholesterol was determined </w:t>
      </w:r>
      <w:r w:rsidR="00CD7F7D" w:rsidRPr="00590CF8">
        <w:rPr>
          <w:rFonts w:ascii="Times" w:hAnsi="Times"/>
          <w:lang w:val="en-US"/>
        </w:rPr>
        <w:t xml:space="preserve">using a previously described method </w:t>
      </w:r>
      <w:r w:rsidR="00184ADD" w:rsidRPr="00590CF8">
        <w:rPr>
          <w:rFonts w:ascii="Times" w:hAnsi="Times"/>
          <w:lang w:val="en-US"/>
        </w:rPr>
        <w:fldChar w:fldCharType="begin"/>
      </w:r>
      <w:r w:rsidR="00296450">
        <w:rPr>
          <w:rFonts w:ascii="Times" w:hAnsi="Times"/>
          <w:lang w:val="en-US"/>
        </w:rPr>
        <w:instrText xml:space="preserve"> ADDIN ZOTERO_ITEM CSL_CITATION {"citationID":"SjET1tAR","properties":{"formattedCitation":"(27)","plainCitation":"(27)","noteIndex":0},"citationItems":[{"id":1060,"uris":["http://zotero.org/users/4954704/items/ILS4ZZHM"],"itemData":{"id":1060,"type":"article-journal","abstract":"Cholesterol oxidation product 4β‑hydroxycholesterol (4β‑OHC) may possibly be used as an endogenous biomarker of CYP3A enzyme activity and as CYP3A4 is involved in the metabolism of approximately 50% of the drugs in clinical use, the monitoring of CYP3A activity by 4β‑OHC plasma or serum levels, may be of clinical significance. The plasma and serum concentrations of 4α‑hydroxycholesterol (4α‑OHC), an isomer of 4β‑OHC, increase during uncontrolled storage conditions and therefore serve as an indicator of proper handling of samples.","container-title":"Journal of Chromatography B","DOI":"10.1016/j.jchromb.2018.09.028","ISSN":"15700232","journalAbbreviation":"Journal of Chromatography B","language":"en","page":"179-186","source":"DOI.org (Crossref)","title":"Quantitative analysis of 4β- and 4α‑hydroxycholesterol in human plasma and serum by UHPLC/ESI-HR-MS","volume":"1100-1101","author":[{"family":"Hautajärvi","given":"Heidi"},{"family":"Hukkanen","given":"Janne"},{"family":"Turpeinen","given":"Miia"},{"family":"Mattila","given":"Sampo"},{"family":"Tolonen","given":"Ari"}],"issued":{"date-parts":[["2018",11]]}}}],"schema":"https://github.com/citation-style-language/schema/raw/master/csl-citation.json"} </w:instrText>
      </w:r>
      <w:r w:rsidR="00184ADD" w:rsidRPr="00590CF8">
        <w:rPr>
          <w:rFonts w:ascii="Times" w:hAnsi="Times"/>
          <w:lang w:val="en-US"/>
        </w:rPr>
        <w:fldChar w:fldCharType="separate"/>
      </w:r>
      <w:r w:rsidR="00296450">
        <w:rPr>
          <w:rFonts w:ascii="Times" w:hAnsi="Times"/>
          <w:noProof/>
          <w:lang w:val="en-US"/>
        </w:rPr>
        <w:t>(27)</w:t>
      </w:r>
      <w:r w:rsidR="00184ADD" w:rsidRPr="00590CF8">
        <w:rPr>
          <w:rFonts w:ascii="Times" w:hAnsi="Times"/>
          <w:lang w:val="en-US"/>
        </w:rPr>
        <w:fldChar w:fldCharType="end"/>
      </w:r>
      <w:r w:rsidR="00184ADD" w:rsidRPr="00590CF8">
        <w:rPr>
          <w:rFonts w:ascii="Times" w:hAnsi="Times"/>
          <w:lang w:val="en-US"/>
        </w:rPr>
        <w:t>.</w:t>
      </w:r>
      <w:r w:rsidR="0017772D" w:rsidRPr="00590CF8">
        <w:rPr>
          <w:rFonts w:ascii="Times" w:hAnsi="Times"/>
          <w:lang w:val="en-US"/>
        </w:rPr>
        <w:t xml:space="preserve"> </w:t>
      </w:r>
      <w:r w:rsidR="00184ADD" w:rsidRPr="00590CF8">
        <w:rPr>
          <w:rFonts w:ascii="Times" w:hAnsi="Times"/>
          <w:lang w:val="en-US"/>
        </w:rPr>
        <w:t xml:space="preserve">Detection </w:t>
      </w:r>
      <w:r w:rsidR="0017772D" w:rsidRPr="00590CF8">
        <w:rPr>
          <w:rFonts w:ascii="Times" w:hAnsi="Times"/>
          <w:lang w:val="en-US"/>
        </w:rPr>
        <w:t xml:space="preserve">was performed with a triple </w:t>
      </w:r>
      <w:r w:rsidR="00184ADD" w:rsidRPr="00590CF8">
        <w:rPr>
          <w:rFonts w:ascii="Times" w:hAnsi="Times"/>
          <w:lang w:val="en-US"/>
        </w:rPr>
        <w:t>quadrupole</w:t>
      </w:r>
      <w:r w:rsidR="0017772D" w:rsidRPr="00590CF8">
        <w:rPr>
          <w:rFonts w:ascii="Times" w:hAnsi="Times"/>
          <w:lang w:val="en-US"/>
        </w:rPr>
        <w:t xml:space="preserve"> mass spectrometer (MS/MS)</w:t>
      </w:r>
      <w:r w:rsidR="00184ADD" w:rsidRPr="00590CF8">
        <w:rPr>
          <w:rFonts w:ascii="Times" w:hAnsi="Times"/>
          <w:lang w:val="en-US"/>
        </w:rPr>
        <w:t>.</w:t>
      </w:r>
      <w:r w:rsidR="0017772D" w:rsidRPr="00590CF8">
        <w:rPr>
          <w:rFonts w:ascii="Times" w:hAnsi="Times"/>
          <w:lang w:val="en-US"/>
        </w:rPr>
        <w:t xml:space="preserve"> The analytical system consisted of a </w:t>
      </w:r>
      <w:proofErr w:type="spellStart"/>
      <w:r w:rsidR="0017772D" w:rsidRPr="00590CF8">
        <w:rPr>
          <w:rFonts w:ascii="Times" w:hAnsi="Times"/>
          <w:lang w:val="en-US"/>
        </w:rPr>
        <w:t>Dionex</w:t>
      </w:r>
      <w:proofErr w:type="spellEnd"/>
      <w:r w:rsidR="0017772D" w:rsidRPr="00590CF8">
        <w:rPr>
          <w:rFonts w:ascii="Times" w:hAnsi="Times"/>
          <w:lang w:val="en-US"/>
        </w:rPr>
        <w:t xml:space="preserve"> Ultimate 3000 RS UHPLC pump, a CTC autosampler</w:t>
      </w:r>
      <w:r w:rsidR="00083A0C" w:rsidRPr="00590CF8">
        <w:rPr>
          <w:rFonts w:ascii="Times" w:hAnsi="Times"/>
          <w:lang w:val="en-US"/>
        </w:rPr>
        <w:t>,</w:t>
      </w:r>
      <w:r w:rsidR="0017772D" w:rsidRPr="00590CF8">
        <w:rPr>
          <w:rFonts w:ascii="Times" w:hAnsi="Times"/>
          <w:lang w:val="en-US"/>
        </w:rPr>
        <w:t xml:space="preserve"> and a TSQ </w:t>
      </w:r>
      <w:proofErr w:type="spellStart"/>
      <w:r w:rsidR="0017772D" w:rsidRPr="00590CF8">
        <w:rPr>
          <w:rFonts w:ascii="Times" w:hAnsi="Times"/>
          <w:lang w:val="en-US"/>
        </w:rPr>
        <w:t>Quantiva</w:t>
      </w:r>
      <w:proofErr w:type="spellEnd"/>
      <w:r w:rsidR="0017772D" w:rsidRPr="00590CF8">
        <w:rPr>
          <w:rFonts w:ascii="Times" w:hAnsi="Times"/>
          <w:lang w:val="en-US"/>
        </w:rPr>
        <w:t xml:space="preserve"> mass spectrometer. The mass spectrometer was operated in positive polarity with Atmospheric Pressure Chemical Ionization (APCI). The ion discharge current was 5 </w:t>
      </w:r>
      <w:r w:rsidR="0017772D" w:rsidRPr="00590CF8">
        <w:rPr>
          <w:rFonts w:ascii="Symbol" w:eastAsia="Symbol" w:hAnsi="Symbol" w:cs="Symbol"/>
          <w:lang w:val="en-US"/>
        </w:rPr>
        <w:t></w:t>
      </w:r>
      <w:r w:rsidR="0017772D" w:rsidRPr="00590CF8">
        <w:rPr>
          <w:rFonts w:ascii="Times" w:hAnsi="Times"/>
          <w:lang w:val="en-US"/>
        </w:rPr>
        <w:t xml:space="preserve">A; the sheath gas 45 arbitrary units (AU); </w:t>
      </w:r>
      <w:r w:rsidR="00083A0C" w:rsidRPr="00590CF8">
        <w:rPr>
          <w:rFonts w:ascii="Times" w:hAnsi="Times"/>
          <w:lang w:val="en-US"/>
        </w:rPr>
        <w:t>the auxiliary</w:t>
      </w:r>
      <w:r w:rsidR="0017772D" w:rsidRPr="00590CF8">
        <w:rPr>
          <w:rFonts w:ascii="Times" w:hAnsi="Times"/>
          <w:lang w:val="en-US"/>
        </w:rPr>
        <w:t xml:space="preserve"> gas 5 AU; </w:t>
      </w:r>
      <w:r w:rsidR="00083A0C" w:rsidRPr="00590CF8">
        <w:rPr>
          <w:rFonts w:ascii="Times" w:hAnsi="Times"/>
          <w:lang w:val="en-US"/>
        </w:rPr>
        <w:t xml:space="preserve">the </w:t>
      </w:r>
      <w:r w:rsidR="0017772D" w:rsidRPr="00590CF8">
        <w:rPr>
          <w:rFonts w:ascii="Times" w:hAnsi="Times"/>
          <w:lang w:val="en-US"/>
        </w:rPr>
        <w:t>sweep gas 1 AU, the Ion transfer tube temperature 325</w:t>
      </w:r>
      <w:r w:rsidR="0017772D" w:rsidRPr="00590CF8">
        <w:rPr>
          <w:rFonts w:ascii="Symbol" w:eastAsia="Symbol" w:hAnsi="Symbol" w:cs="Symbol"/>
          <w:lang w:val="en-US"/>
        </w:rPr>
        <w:t></w:t>
      </w:r>
      <w:r w:rsidR="0017772D" w:rsidRPr="00590CF8">
        <w:rPr>
          <w:rFonts w:ascii="Times" w:hAnsi="Times"/>
          <w:lang w:val="en-US"/>
        </w:rPr>
        <w:t>C</w:t>
      </w:r>
      <w:r w:rsidR="00ED5835" w:rsidRPr="00590CF8">
        <w:rPr>
          <w:rFonts w:ascii="Times" w:hAnsi="Times"/>
          <w:lang w:val="en-US"/>
        </w:rPr>
        <w:t>; and</w:t>
      </w:r>
      <w:r w:rsidR="0017772D" w:rsidRPr="00590CF8">
        <w:rPr>
          <w:rFonts w:ascii="Times" w:hAnsi="Times"/>
          <w:lang w:val="en-US"/>
        </w:rPr>
        <w:t xml:space="preserve"> the vaporizer temperature 350</w:t>
      </w:r>
      <w:r w:rsidR="0017772D" w:rsidRPr="00590CF8">
        <w:rPr>
          <w:rFonts w:ascii="Symbol" w:eastAsia="Symbol" w:hAnsi="Symbol" w:cs="Symbol"/>
          <w:lang w:val="en-US"/>
        </w:rPr>
        <w:t></w:t>
      </w:r>
      <w:r w:rsidR="0017772D" w:rsidRPr="00590CF8">
        <w:rPr>
          <w:rFonts w:ascii="Times" w:hAnsi="Times"/>
          <w:lang w:val="en-US"/>
        </w:rPr>
        <w:t>C. The ion transitions for monitoring 4</w:t>
      </w:r>
      <w:r w:rsidR="0017772D" w:rsidRPr="00590CF8">
        <w:rPr>
          <w:rFonts w:ascii="Symbol" w:eastAsia="Symbol" w:hAnsi="Symbol" w:cs="Symbol"/>
          <w:lang w:val="en-US"/>
        </w:rPr>
        <w:t></w:t>
      </w:r>
      <w:r w:rsidR="0017772D" w:rsidRPr="00590CF8">
        <w:rPr>
          <w:rFonts w:ascii="Times" w:hAnsi="Times"/>
          <w:lang w:val="en-US"/>
        </w:rPr>
        <w:t xml:space="preserve">-hydroxycholesterol were </w:t>
      </w:r>
      <w:r w:rsidR="0017772D" w:rsidRPr="00590CF8">
        <w:rPr>
          <w:rFonts w:ascii="Times" w:hAnsi="Times"/>
          <w:i/>
          <w:iCs/>
          <w:lang w:val="en-US"/>
        </w:rPr>
        <w:t>m/z</w:t>
      </w:r>
      <w:r w:rsidR="0017772D" w:rsidRPr="00590CF8">
        <w:rPr>
          <w:rFonts w:ascii="Times" w:hAnsi="Times"/>
          <w:lang w:val="en-US"/>
        </w:rPr>
        <w:t xml:space="preserve"> 385.4 &gt; 109.2 as quantifier trace (collision energy 27 volt) and </w:t>
      </w:r>
      <w:r w:rsidR="0017772D" w:rsidRPr="00590CF8">
        <w:rPr>
          <w:rFonts w:ascii="Times" w:hAnsi="Times"/>
          <w:i/>
          <w:iCs/>
          <w:lang w:val="en-US"/>
        </w:rPr>
        <w:t>m/z</w:t>
      </w:r>
      <w:r w:rsidR="0017772D" w:rsidRPr="00590CF8">
        <w:rPr>
          <w:rFonts w:ascii="Times" w:hAnsi="Times"/>
          <w:lang w:val="en-US"/>
        </w:rPr>
        <w:t xml:space="preserve"> 385.4 &gt; 367.4 as qualifier trace (collision energy 14 volt). d7-4</w:t>
      </w:r>
      <w:r w:rsidR="0017772D" w:rsidRPr="00590CF8">
        <w:rPr>
          <w:rFonts w:ascii="Symbol" w:eastAsia="Symbol" w:hAnsi="Symbol" w:cs="Symbol"/>
          <w:lang w:val="en-US"/>
        </w:rPr>
        <w:t></w:t>
      </w:r>
      <w:r w:rsidR="0017772D" w:rsidRPr="00590CF8">
        <w:rPr>
          <w:rFonts w:ascii="Times" w:hAnsi="Times"/>
          <w:lang w:val="en-US"/>
        </w:rPr>
        <w:t xml:space="preserve">-hydroxycholesterol </w:t>
      </w:r>
      <w:r w:rsidR="005C0AC9">
        <w:rPr>
          <w:rFonts w:ascii="Times" w:hAnsi="Times"/>
          <w:lang w:val="en-US"/>
        </w:rPr>
        <w:t>(provided from Avanti Polar Lipids Inc.; Alabaster, AL, USA)</w:t>
      </w:r>
      <w:r w:rsidR="0028140F">
        <w:rPr>
          <w:rFonts w:ascii="Times" w:hAnsi="Times"/>
          <w:lang w:val="en-US"/>
        </w:rPr>
        <w:t xml:space="preserve"> </w:t>
      </w:r>
      <w:r w:rsidR="0017772D" w:rsidRPr="00590CF8">
        <w:rPr>
          <w:rFonts w:ascii="Times" w:hAnsi="Times"/>
          <w:lang w:val="en-US"/>
        </w:rPr>
        <w:t xml:space="preserve">was used as </w:t>
      </w:r>
      <w:r w:rsidR="00ED5835" w:rsidRPr="00590CF8">
        <w:rPr>
          <w:rFonts w:ascii="Times" w:hAnsi="Times"/>
          <w:lang w:val="en-US"/>
        </w:rPr>
        <w:t xml:space="preserve">an </w:t>
      </w:r>
      <w:r w:rsidR="0017772D" w:rsidRPr="00590CF8">
        <w:rPr>
          <w:rFonts w:ascii="Times" w:hAnsi="Times"/>
          <w:lang w:val="en-US"/>
        </w:rPr>
        <w:t xml:space="preserve">internal standard and monitored at the transition </w:t>
      </w:r>
      <w:r w:rsidR="0017772D" w:rsidRPr="00590CF8">
        <w:rPr>
          <w:rFonts w:ascii="Times" w:hAnsi="Times"/>
          <w:i/>
          <w:iCs/>
          <w:lang w:val="en-US"/>
        </w:rPr>
        <w:t>m/z</w:t>
      </w:r>
      <w:r w:rsidR="0017772D" w:rsidRPr="00590CF8">
        <w:rPr>
          <w:rFonts w:ascii="Times" w:hAnsi="Times"/>
          <w:lang w:val="en-US"/>
        </w:rPr>
        <w:t xml:space="preserve"> 392.2 &gt; 109.1 (collision energy 27 volt). The within</w:t>
      </w:r>
      <w:r w:rsidR="00ED5835" w:rsidRPr="00590CF8">
        <w:rPr>
          <w:rFonts w:ascii="Times" w:hAnsi="Times"/>
          <w:lang w:val="en-US"/>
        </w:rPr>
        <w:t>-</w:t>
      </w:r>
      <w:r w:rsidR="0017772D" w:rsidRPr="00590CF8">
        <w:rPr>
          <w:rFonts w:ascii="Times" w:hAnsi="Times"/>
          <w:lang w:val="en-US"/>
        </w:rPr>
        <w:t xml:space="preserve"> and between-batch variation (CV%) of the QC samples </w:t>
      </w:r>
      <w:r w:rsidR="004C78B2" w:rsidRPr="00590CF8">
        <w:rPr>
          <w:rFonts w:ascii="Times" w:hAnsi="Times"/>
          <w:lang w:val="en-US"/>
        </w:rPr>
        <w:t>was</w:t>
      </w:r>
      <w:r w:rsidR="0017772D" w:rsidRPr="00590CF8">
        <w:rPr>
          <w:rFonts w:ascii="Times" w:hAnsi="Times"/>
          <w:lang w:val="en-US"/>
        </w:rPr>
        <w:t xml:space="preserve"> less than 13%. </w:t>
      </w:r>
      <w:r w:rsidR="0028140F">
        <w:rPr>
          <w:rFonts w:ascii="Times" w:hAnsi="Times"/>
          <w:lang w:val="en-US"/>
        </w:rPr>
        <w:t>LLOQ was 5 ng/mL and ULOQ was 1000 ng/</w:t>
      </w:r>
      <w:proofErr w:type="spellStart"/>
      <w:r w:rsidR="0028140F">
        <w:rPr>
          <w:rFonts w:ascii="Times" w:hAnsi="Times"/>
          <w:lang w:val="en-US"/>
        </w:rPr>
        <w:t>mL.</w:t>
      </w:r>
      <w:proofErr w:type="spellEnd"/>
    </w:p>
    <w:p w14:paraId="7A650104" w14:textId="77777777" w:rsidR="0017772D" w:rsidRPr="00590CF8" w:rsidRDefault="0017772D" w:rsidP="00590CF8">
      <w:pPr>
        <w:spacing w:line="360" w:lineRule="auto"/>
        <w:rPr>
          <w:rFonts w:ascii="Times" w:hAnsi="Times"/>
          <w:lang w:val="en-US"/>
        </w:rPr>
      </w:pPr>
    </w:p>
    <w:p w14:paraId="0FE4F755" w14:textId="664E6DE9" w:rsidR="0017772D" w:rsidRPr="00590CF8" w:rsidRDefault="0017772D" w:rsidP="00590CF8">
      <w:pPr>
        <w:spacing w:line="360" w:lineRule="auto"/>
        <w:rPr>
          <w:rFonts w:ascii="Times" w:hAnsi="Times"/>
          <w:lang w:val="en-US"/>
        </w:rPr>
      </w:pPr>
      <w:r w:rsidRPr="00590CF8">
        <w:rPr>
          <w:rFonts w:ascii="Times" w:hAnsi="Times"/>
          <w:lang w:val="en-US"/>
        </w:rPr>
        <w:t xml:space="preserve">The cholesterol concentration in plasma was determined </w:t>
      </w:r>
      <w:r w:rsidR="0018256D" w:rsidRPr="00590CF8">
        <w:rPr>
          <w:rFonts w:ascii="Times" w:hAnsi="Times"/>
          <w:lang w:val="en-US"/>
        </w:rPr>
        <w:t>using</w:t>
      </w:r>
      <w:r w:rsidRPr="00590CF8">
        <w:rPr>
          <w:rFonts w:ascii="Times" w:hAnsi="Times"/>
          <w:lang w:val="en-US"/>
        </w:rPr>
        <w:t xml:space="preserve"> a </w:t>
      </w:r>
      <w:proofErr w:type="spellStart"/>
      <w:r w:rsidRPr="00590CF8">
        <w:rPr>
          <w:rFonts w:ascii="Times" w:hAnsi="Times"/>
          <w:lang w:val="en-US"/>
        </w:rPr>
        <w:t>Thermo</w:t>
      </w:r>
      <w:proofErr w:type="spellEnd"/>
      <w:r w:rsidRPr="00590CF8">
        <w:rPr>
          <w:rFonts w:ascii="Times" w:hAnsi="Times"/>
          <w:lang w:val="en-US"/>
        </w:rPr>
        <w:t xml:space="preserve"> Scientific cholesterol kit on a </w:t>
      </w:r>
      <w:proofErr w:type="spellStart"/>
      <w:r w:rsidRPr="00590CF8">
        <w:rPr>
          <w:rFonts w:ascii="Times" w:hAnsi="Times"/>
          <w:lang w:val="en-US"/>
        </w:rPr>
        <w:t>Konelab</w:t>
      </w:r>
      <w:proofErr w:type="spellEnd"/>
      <w:r w:rsidRPr="00590CF8">
        <w:rPr>
          <w:rFonts w:ascii="Times" w:hAnsi="Times"/>
          <w:lang w:val="en-US"/>
        </w:rPr>
        <w:t xml:space="preserve"> 20 Clinical Chemistry Autoanalyzer (</w:t>
      </w:r>
      <w:proofErr w:type="spellStart"/>
      <w:r w:rsidRPr="00590CF8">
        <w:rPr>
          <w:rFonts w:ascii="Times" w:hAnsi="Times"/>
          <w:lang w:val="en-US"/>
        </w:rPr>
        <w:t>Thermo</w:t>
      </w:r>
      <w:proofErr w:type="spellEnd"/>
      <w:r w:rsidRPr="00590CF8">
        <w:rPr>
          <w:rFonts w:ascii="Times" w:hAnsi="Times"/>
          <w:lang w:val="en-US"/>
        </w:rPr>
        <w:t xml:space="preserve"> Scientific, Vantaa, Finland).  Calibrators, blanks</w:t>
      </w:r>
      <w:r w:rsidR="00063F18" w:rsidRPr="00590CF8">
        <w:rPr>
          <w:rFonts w:ascii="Times" w:hAnsi="Times"/>
          <w:lang w:val="en-US"/>
        </w:rPr>
        <w:t>,</w:t>
      </w:r>
      <w:r w:rsidRPr="00590CF8">
        <w:rPr>
          <w:rFonts w:ascii="Times" w:hAnsi="Times"/>
          <w:lang w:val="en-US"/>
        </w:rPr>
        <w:t xml:space="preserve"> and </w:t>
      </w:r>
      <w:r w:rsidR="00063F18" w:rsidRPr="00590CF8">
        <w:rPr>
          <w:rFonts w:ascii="Times" w:hAnsi="Times"/>
          <w:lang w:val="en-US"/>
        </w:rPr>
        <w:t>QC</w:t>
      </w:r>
      <w:r w:rsidRPr="00590CF8">
        <w:rPr>
          <w:rFonts w:ascii="Times" w:hAnsi="Times"/>
          <w:lang w:val="en-US"/>
        </w:rPr>
        <w:t xml:space="preserve"> samples for normal values </w:t>
      </w:r>
      <w:r w:rsidR="003F6F13">
        <w:rPr>
          <w:rFonts w:ascii="Times" w:hAnsi="Times"/>
          <w:lang w:val="en-US"/>
        </w:rPr>
        <w:t>and</w:t>
      </w:r>
      <w:r w:rsidRPr="00590CF8">
        <w:rPr>
          <w:rFonts w:ascii="Times" w:hAnsi="Times"/>
          <w:lang w:val="en-US"/>
        </w:rPr>
        <w:t xml:space="preserve"> abnormal (high) levels (</w:t>
      </w:r>
      <w:proofErr w:type="spellStart"/>
      <w:r w:rsidRPr="00590CF8">
        <w:rPr>
          <w:rFonts w:ascii="Times" w:hAnsi="Times"/>
          <w:lang w:val="en-US"/>
        </w:rPr>
        <w:t>Nortrol</w:t>
      </w:r>
      <w:proofErr w:type="spellEnd"/>
      <w:r w:rsidRPr="00590CF8">
        <w:rPr>
          <w:rFonts w:ascii="Times" w:hAnsi="Times"/>
          <w:lang w:val="en-US"/>
        </w:rPr>
        <w:t xml:space="preserve"> and </w:t>
      </w:r>
      <w:proofErr w:type="spellStart"/>
      <w:r w:rsidRPr="00590CF8">
        <w:rPr>
          <w:rFonts w:ascii="Times" w:hAnsi="Times"/>
          <w:lang w:val="en-US"/>
        </w:rPr>
        <w:t>Abtrol</w:t>
      </w:r>
      <w:proofErr w:type="spellEnd"/>
      <w:r w:rsidRPr="00590CF8">
        <w:rPr>
          <w:rFonts w:ascii="Times" w:hAnsi="Times"/>
          <w:lang w:val="en-US"/>
        </w:rPr>
        <w:t>) were included in the batch of samples analyzed. The within</w:t>
      </w:r>
      <w:r w:rsidR="00063F18" w:rsidRPr="00590CF8">
        <w:rPr>
          <w:rFonts w:ascii="Times" w:hAnsi="Times"/>
          <w:lang w:val="en-US"/>
        </w:rPr>
        <w:t>-</w:t>
      </w:r>
      <w:r w:rsidRPr="00590CF8">
        <w:rPr>
          <w:rFonts w:ascii="Times" w:hAnsi="Times"/>
          <w:lang w:val="en-US"/>
        </w:rPr>
        <w:t xml:space="preserve"> and between-batch variation (CV%) of the QC samples was less </w:t>
      </w:r>
      <w:r w:rsidR="00063F18" w:rsidRPr="00590CF8">
        <w:rPr>
          <w:rFonts w:ascii="Times" w:hAnsi="Times"/>
          <w:lang w:val="en-US"/>
        </w:rPr>
        <w:t xml:space="preserve">than </w:t>
      </w:r>
      <w:r w:rsidRPr="00590CF8">
        <w:rPr>
          <w:rFonts w:ascii="Times" w:hAnsi="Times"/>
          <w:lang w:val="en-US"/>
        </w:rPr>
        <w:t xml:space="preserve">1%. The precision determined as bias was -2% for both types of QC samples. </w:t>
      </w:r>
      <w:r w:rsidR="00926F6B">
        <w:rPr>
          <w:rFonts w:ascii="Times" w:hAnsi="Times"/>
          <w:lang w:val="en-US"/>
        </w:rPr>
        <w:t xml:space="preserve">LLOQ was 0.1 mmol/L (40 </w:t>
      </w:r>
      <w:r w:rsidR="00926F6B">
        <w:rPr>
          <w:rFonts w:ascii="Symbol" w:eastAsia="Symbol" w:hAnsi="Symbol" w:cs="Symbol"/>
          <w:lang w:val="en-US"/>
        </w:rPr>
        <w:t>m</w:t>
      </w:r>
      <w:r w:rsidR="00E76867">
        <w:rPr>
          <w:rFonts w:ascii="Times" w:hAnsi="Times"/>
          <w:lang w:val="en-US"/>
        </w:rPr>
        <w:t xml:space="preserve">g/mL) and ULOQ was 15 mmol/L (5770 </w:t>
      </w:r>
      <w:r w:rsidR="00E76867">
        <w:rPr>
          <w:rFonts w:ascii="Symbol" w:eastAsia="Symbol" w:hAnsi="Symbol" w:cs="Symbol"/>
          <w:lang w:val="en-US"/>
        </w:rPr>
        <w:t>m</w:t>
      </w:r>
      <w:r w:rsidR="00E76867">
        <w:rPr>
          <w:rFonts w:ascii="Times" w:hAnsi="Times"/>
          <w:lang w:val="en-US"/>
        </w:rPr>
        <w:t>g/mL)</w:t>
      </w:r>
      <w:r w:rsidR="00C54650">
        <w:rPr>
          <w:rFonts w:ascii="Times" w:hAnsi="Times"/>
          <w:lang w:val="en-US"/>
        </w:rPr>
        <w:t>.</w:t>
      </w:r>
    </w:p>
    <w:p w14:paraId="47494C00" w14:textId="59C597ED" w:rsidR="00577BC8" w:rsidRDefault="00577BC8" w:rsidP="009A2F16">
      <w:pPr>
        <w:spacing w:line="360" w:lineRule="auto"/>
        <w:jc w:val="both"/>
        <w:rPr>
          <w:rFonts w:ascii="Times" w:hAnsi="Times"/>
          <w:lang w:val="en-US"/>
        </w:rPr>
      </w:pPr>
    </w:p>
    <w:p w14:paraId="2ED32500" w14:textId="69DB717D" w:rsidR="00062721" w:rsidRDefault="00062721" w:rsidP="00062721">
      <w:pPr>
        <w:spacing w:line="360" w:lineRule="auto"/>
        <w:jc w:val="both"/>
        <w:rPr>
          <w:rFonts w:ascii="Times" w:hAnsi="Times"/>
          <w:lang w:val="en-US"/>
        </w:rPr>
      </w:pPr>
      <w:r>
        <w:rPr>
          <w:rFonts w:ascii="Times" w:hAnsi="Times"/>
          <w:lang w:val="en-US"/>
        </w:rPr>
        <w:t xml:space="preserve">The inflammatory markers were analyzed at the Department of Biochemistry and Immunology, Lillebælt Hospital, using Roche/Hitachi </w:t>
      </w:r>
      <w:proofErr w:type="spellStart"/>
      <w:r>
        <w:rPr>
          <w:rFonts w:ascii="Times" w:hAnsi="Times"/>
          <w:lang w:val="en-US"/>
        </w:rPr>
        <w:t>cobas</w:t>
      </w:r>
      <w:proofErr w:type="spellEnd"/>
      <w:r>
        <w:rPr>
          <w:rFonts w:ascii="Times" w:hAnsi="Times"/>
          <w:lang w:val="en-US"/>
        </w:rPr>
        <w:t xml:space="preserve"> (hsCRP and IL-6) or Simoa HD-X analyzer (IL-1</w:t>
      </w:r>
      <w:r w:rsidR="00EF2FC9">
        <w:rPr>
          <w:rFonts w:ascii="Symbol" w:eastAsia="Symbol" w:hAnsi="Symbol" w:cs="Symbol"/>
          <w:lang w:val="en-US"/>
        </w:rPr>
        <w:t></w:t>
      </w:r>
      <w:r>
        <w:rPr>
          <w:rFonts w:ascii="Times" w:hAnsi="Times"/>
          <w:lang w:val="en-US"/>
        </w:rPr>
        <w:t>, TNF-</w:t>
      </w:r>
      <w:r w:rsidR="00EF2FC9">
        <w:rPr>
          <w:rFonts w:ascii="Symbol" w:eastAsia="Symbol" w:hAnsi="Symbol" w:cs="Symbol"/>
          <w:lang w:val="en-US"/>
        </w:rPr>
        <w:t></w:t>
      </w:r>
      <w:r>
        <w:rPr>
          <w:rFonts w:ascii="Times" w:hAnsi="Times"/>
          <w:lang w:val="en-US"/>
        </w:rPr>
        <w:t xml:space="preserve"> and IFN-</w:t>
      </w:r>
      <w:r w:rsidR="00381DAC">
        <w:rPr>
          <w:rFonts w:ascii="Symbol" w:eastAsia="Symbol" w:hAnsi="Symbol" w:cs="Symbol"/>
          <w:lang w:val="en-US"/>
        </w:rPr>
        <w:t></w:t>
      </w:r>
      <w:r>
        <w:rPr>
          <w:rFonts w:ascii="Times" w:hAnsi="Times"/>
          <w:lang w:val="en-US"/>
        </w:rPr>
        <w:t xml:space="preserve">) </w:t>
      </w:r>
      <w:r w:rsidRPr="006913FA">
        <w:rPr>
          <w:rFonts w:ascii="Times" w:hAnsi="Times"/>
          <w:color w:val="000000" w:themeColor="text1"/>
          <w:lang w:val="en-US"/>
        </w:rPr>
        <w:t>(</w:t>
      </w:r>
      <w:proofErr w:type="spellStart"/>
      <w:r w:rsidRPr="006913FA">
        <w:rPr>
          <w:rFonts w:ascii="Times" w:hAnsi="Times"/>
          <w:color w:val="000000" w:themeColor="text1"/>
          <w:lang w:val="en-US"/>
        </w:rPr>
        <w:t>Quanterix</w:t>
      </w:r>
      <w:proofErr w:type="spellEnd"/>
      <w:r w:rsidRPr="006913FA">
        <w:rPr>
          <w:rFonts w:ascii="Times" w:hAnsi="Times" w:cs="Times"/>
          <w:color w:val="000000" w:themeColor="text1"/>
          <w:lang w:val="en-US"/>
        </w:rPr>
        <w:t>©</w:t>
      </w:r>
      <w:r w:rsidRPr="006913FA">
        <w:rPr>
          <w:rFonts w:ascii="Times" w:hAnsi="Times"/>
          <w:color w:val="000000" w:themeColor="text1"/>
          <w:lang w:val="en-US"/>
        </w:rPr>
        <w:t xml:space="preserve">, </w:t>
      </w:r>
      <w:r w:rsidRPr="006913FA">
        <w:rPr>
          <w:color w:val="000000" w:themeColor="text1"/>
          <w:lang w:val="en"/>
        </w:rPr>
        <w:t>Billerica</w:t>
      </w:r>
      <w:r w:rsidRPr="006913FA">
        <w:rPr>
          <w:rFonts w:ascii="Times" w:hAnsi="Times"/>
          <w:color w:val="000000" w:themeColor="text1"/>
          <w:lang w:val="en-US"/>
        </w:rPr>
        <w:t>, MA, USA)</w:t>
      </w:r>
      <w:r>
        <w:rPr>
          <w:rFonts w:ascii="Times" w:hAnsi="Times"/>
          <w:color w:val="000000" w:themeColor="text1"/>
          <w:lang w:val="en-US"/>
        </w:rPr>
        <w:t xml:space="preserve">. </w:t>
      </w:r>
      <w:r>
        <w:rPr>
          <w:rFonts w:ascii="Times" w:hAnsi="Times"/>
          <w:lang w:val="en-US"/>
        </w:rPr>
        <w:t xml:space="preserve">Assay </w:t>
      </w:r>
      <w:r w:rsidRPr="006913FA">
        <w:rPr>
          <w:rFonts w:ascii="Times" w:hAnsi="Times"/>
          <w:color w:val="000000" w:themeColor="text1"/>
          <w:lang w:val="en-US"/>
        </w:rPr>
        <w:t>Quality control was</w:t>
      </w:r>
      <w:r>
        <w:rPr>
          <w:rFonts w:ascii="Times" w:hAnsi="Times"/>
          <w:color w:val="000000" w:themeColor="text1"/>
          <w:lang w:val="en-US"/>
        </w:rPr>
        <w:t xml:space="preserve"> </w:t>
      </w:r>
      <w:r w:rsidRPr="006913FA">
        <w:rPr>
          <w:rFonts w:ascii="Times" w:hAnsi="Times"/>
          <w:color w:val="000000" w:themeColor="text1"/>
          <w:lang w:val="en-US"/>
        </w:rPr>
        <w:t xml:space="preserve">performed using two controls prepared from </w:t>
      </w:r>
      <w:r w:rsidRPr="00F20103">
        <w:rPr>
          <w:rFonts w:ascii="Times" w:hAnsi="Times"/>
          <w:color w:val="000000" w:themeColor="text1"/>
          <w:lang w:val="en-US"/>
        </w:rPr>
        <w:t xml:space="preserve">commercially available control material provided by the manufacturer and in-house prepared serum pools for the Simoa assays. The analytical coefficients of variation were </w:t>
      </w:r>
      <w:r w:rsidRPr="00F20103">
        <w:rPr>
          <w:rFonts w:ascii="Times" w:hAnsi="Times"/>
          <w:color w:val="000000" w:themeColor="text1"/>
          <w:lang w:val="en-US"/>
        </w:rPr>
        <w:lastRenderedPageBreak/>
        <w:t>calculated to be &lt;16% in the IL-1</w:t>
      </w:r>
      <w:r w:rsidRPr="00F20103">
        <w:rPr>
          <w:rFonts w:ascii="Times" w:hAnsi="Times" w:cs="Times"/>
          <w:color w:val="000000" w:themeColor="text1"/>
          <w:lang w:val="en-US"/>
        </w:rPr>
        <w:t>β</w:t>
      </w:r>
      <w:r w:rsidRPr="00F20103">
        <w:rPr>
          <w:rFonts w:ascii="Times" w:hAnsi="Times"/>
          <w:color w:val="000000" w:themeColor="text1"/>
          <w:lang w:val="en-US"/>
        </w:rPr>
        <w:t xml:space="preserve"> assay, &lt;13% in the TNF-</w:t>
      </w:r>
      <w:r w:rsidRPr="00F20103">
        <w:rPr>
          <w:rFonts w:ascii="Times" w:hAnsi="Times" w:cs="Times"/>
          <w:color w:val="000000" w:themeColor="text1"/>
          <w:lang w:val="en-US"/>
        </w:rPr>
        <w:t>α assay</w:t>
      </w:r>
      <w:r w:rsidR="004903F7" w:rsidRPr="00F20103">
        <w:rPr>
          <w:rFonts w:ascii="Times" w:hAnsi="Times" w:cs="Times"/>
          <w:color w:val="000000" w:themeColor="text1"/>
          <w:lang w:val="en-US"/>
        </w:rPr>
        <w:t>,</w:t>
      </w:r>
      <w:r w:rsidRPr="00F20103">
        <w:rPr>
          <w:rFonts w:ascii="Times" w:hAnsi="Times" w:cs="Times"/>
          <w:color w:val="000000" w:themeColor="text1"/>
          <w:lang w:val="en-US"/>
        </w:rPr>
        <w:t xml:space="preserve"> and &lt;6% in the INF-γ. </w:t>
      </w:r>
      <w:r w:rsidRPr="00F20103">
        <w:rPr>
          <w:rFonts w:ascii="Times" w:hAnsi="Times"/>
          <w:color w:val="000000" w:themeColor="text1"/>
          <w:lang w:val="en-US"/>
        </w:rPr>
        <w:t>The within-run and between-run precision were &lt;8.6% for the hsCRP and IL-6 assays. According to the kit insert</w:t>
      </w:r>
      <w:r w:rsidR="004903F7" w:rsidRPr="00F20103">
        <w:rPr>
          <w:rFonts w:ascii="Times" w:hAnsi="Times"/>
          <w:color w:val="000000" w:themeColor="text1"/>
          <w:lang w:val="en-US"/>
        </w:rPr>
        <w:t>,</w:t>
      </w:r>
      <w:r w:rsidRPr="00F20103">
        <w:rPr>
          <w:rFonts w:ascii="Times" w:hAnsi="Times"/>
          <w:color w:val="000000" w:themeColor="text1"/>
          <w:lang w:val="en-US"/>
        </w:rPr>
        <w:t xml:space="preserve"> hsCRP has a LOD of 0.15 mg/L and a LOQ of 0.3 mg/L. The remaining inflammatory markers have LOD of 0.015 to 1.5 pg/mL and LOQ of 0.034 to 2.5 pg/</w:t>
      </w:r>
      <w:proofErr w:type="spellStart"/>
      <w:r w:rsidRPr="00F20103">
        <w:rPr>
          <w:rFonts w:ascii="Times" w:hAnsi="Times"/>
          <w:color w:val="000000" w:themeColor="text1"/>
          <w:lang w:val="en-US"/>
        </w:rPr>
        <w:t>mL.</w:t>
      </w:r>
      <w:proofErr w:type="spellEnd"/>
      <w:r w:rsidRPr="00F20103">
        <w:rPr>
          <w:rFonts w:ascii="Times" w:hAnsi="Times"/>
          <w:color w:val="000000" w:themeColor="text1"/>
          <w:lang w:val="en-US"/>
        </w:rPr>
        <w:t xml:space="preserve">  </w:t>
      </w:r>
    </w:p>
    <w:p w14:paraId="753F34CF" w14:textId="5E0C9691" w:rsidR="00062721" w:rsidRDefault="00062721" w:rsidP="00062721">
      <w:pPr>
        <w:spacing w:line="360" w:lineRule="auto"/>
        <w:jc w:val="both"/>
        <w:rPr>
          <w:rFonts w:ascii="Times" w:hAnsi="Times"/>
          <w:lang w:val="en-US"/>
        </w:rPr>
      </w:pPr>
      <w:r w:rsidRPr="4AFDAE6C">
        <w:rPr>
          <w:rFonts w:ascii="Times" w:hAnsi="Times"/>
          <w:lang w:val="en-US"/>
        </w:rPr>
        <w:t xml:space="preserve">Samples from all patients treated with tocilizumab in the clinical pharmacokinetic trial and the retrospective study were included in </w:t>
      </w:r>
      <w:r w:rsidR="004903F7" w:rsidRPr="4AFDAE6C">
        <w:rPr>
          <w:rFonts w:ascii="Times" w:hAnsi="Times"/>
          <w:lang w:val="en-US"/>
        </w:rPr>
        <w:t>commercially</w:t>
      </w:r>
      <w:r w:rsidRPr="4AFDAE6C">
        <w:rPr>
          <w:rFonts w:ascii="Times" w:hAnsi="Times"/>
          <w:lang w:val="en-US"/>
        </w:rPr>
        <w:t xml:space="preserve"> available immunoassays to quantify Tocilizumab (</w:t>
      </w:r>
      <w:proofErr w:type="spellStart"/>
      <w:r w:rsidRPr="4AFDAE6C">
        <w:rPr>
          <w:rFonts w:ascii="Times" w:hAnsi="Times"/>
          <w:lang w:val="en-US"/>
        </w:rPr>
        <w:t>Aybaytech</w:t>
      </w:r>
      <w:proofErr w:type="spellEnd"/>
      <w:r w:rsidRPr="4AFDAE6C">
        <w:rPr>
          <w:rFonts w:ascii="Times" w:hAnsi="Times"/>
          <w:lang w:val="en-US"/>
        </w:rPr>
        <w:t xml:space="preserve">, </w:t>
      </w:r>
      <w:proofErr w:type="spellStart"/>
      <w:r w:rsidRPr="4AFDAE6C">
        <w:rPr>
          <w:rFonts w:ascii="Times" w:hAnsi="Times"/>
          <w:lang w:val="en-US"/>
        </w:rPr>
        <w:t>Yenimahalle</w:t>
      </w:r>
      <w:proofErr w:type="spellEnd"/>
      <w:r w:rsidRPr="4AFDAE6C">
        <w:rPr>
          <w:rFonts w:ascii="Times" w:hAnsi="Times"/>
          <w:lang w:val="en-US"/>
        </w:rPr>
        <w:t>, Turkey), IL-6 receptor (R&amp;D Systems, Minneapolis, MN, USA), and antibodies to Tocilizumab (</w:t>
      </w:r>
      <w:proofErr w:type="spellStart"/>
      <w:r w:rsidRPr="4AFDAE6C">
        <w:rPr>
          <w:rFonts w:ascii="Times" w:hAnsi="Times"/>
          <w:lang w:val="en-US"/>
        </w:rPr>
        <w:t>Aybaytech</w:t>
      </w:r>
      <w:proofErr w:type="spellEnd"/>
      <w:r w:rsidRPr="4AFDAE6C">
        <w:rPr>
          <w:rFonts w:ascii="Times" w:hAnsi="Times"/>
          <w:lang w:val="en-US"/>
        </w:rPr>
        <w:t>).</w:t>
      </w:r>
      <w:r w:rsidR="004903F7" w:rsidRPr="4AFDAE6C">
        <w:rPr>
          <w:rFonts w:ascii="Times" w:hAnsi="Times"/>
          <w:lang w:val="en-US"/>
        </w:rPr>
        <w:t xml:space="preserve"> </w:t>
      </w:r>
      <w:r w:rsidRPr="4AFDAE6C">
        <w:rPr>
          <w:rFonts w:ascii="Times" w:hAnsi="Times"/>
          <w:lang w:val="en-US"/>
        </w:rPr>
        <w:t xml:space="preserve">The manufacturer’s procedures were followed. In-house prepared quality controls were included in each run to evaluate </w:t>
      </w:r>
      <w:r w:rsidR="004903F7" w:rsidRPr="4AFDAE6C">
        <w:rPr>
          <w:rFonts w:ascii="Times" w:hAnsi="Times"/>
          <w:lang w:val="en-US"/>
        </w:rPr>
        <w:t>assay</w:t>
      </w:r>
      <w:r w:rsidRPr="4AFDAE6C">
        <w:rPr>
          <w:rFonts w:ascii="Times" w:hAnsi="Times"/>
          <w:lang w:val="en-US"/>
        </w:rPr>
        <w:t xml:space="preserve"> performances. The samples and the assay controls were analyzed in duplicates</w:t>
      </w:r>
      <w:r w:rsidR="004903F7" w:rsidRPr="4AFDAE6C">
        <w:rPr>
          <w:rFonts w:ascii="Times" w:hAnsi="Times"/>
          <w:lang w:val="en-US"/>
        </w:rPr>
        <w:t>,</w:t>
      </w:r>
      <w:r w:rsidRPr="4AFDAE6C">
        <w:rPr>
          <w:rFonts w:ascii="Times" w:hAnsi="Times"/>
          <w:lang w:val="en-US"/>
        </w:rPr>
        <w:t xml:space="preserve"> and the mean concentration was reported. The analytical coefficients of variation were 8-13 %.</w:t>
      </w:r>
    </w:p>
    <w:p w14:paraId="6CD13E0E" w14:textId="77777777" w:rsidR="009F0E62" w:rsidRDefault="009F0E62" w:rsidP="009A2F16">
      <w:pPr>
        <w:spacing w:line="360" w:lineRule="auto"/>
        <w:jc w:val="both"/>
        <w:rPr>
          <w:rFonts w:ascii="Times" w:hAnsi="Times"/>
          <w:b/>
          <w:bCs/>
          <w:lang w:val="en-US"/>
        </w:rPr>
      </w:pPr>
    </w:p>
    <w:p w14:paraId="302FA52A" w14:textId="343E6F33" w:rsidR="00671DC2" w:rsidRPr="003D1D3F" w:rsidRDefault="007956CC" w:rsidP="009A2F16">
      <w:pPr>
        <w:spacing w:line="360" w:lineRule="auto"/>
        <w:jc w:val="both"/>
        <w:rPr>
          <w:rFonts w:ascii="Times" w:hAnsi="Times"/>
          <w:b/>
          <w:bCs/>
          <w:lang w:val="en-US"/>
        </w:rPr>
      </w:pPr>
      <w:r w:rsidRPr="003D1D3F">
        <w:rPr>
          <w:rFonts w:ascii="Times" w:hAnsi="Times"/>
          <w:b/>
          <w:bCs/>
          <w:lang w:val="en-US"/>
        </w:rPr>
        <w:t>Sample size</w:t>
      </w:r>
    </w:p>
    <w:p w14:paraId="6316C738" w14:textId="164A952A" w:rsidR="0086663E" w:rsidRDefault="007956CC" w:rsidP="009A2F16">
      <w:pPr>
        <w:spacing w:line="360" w:lineRule="auto"/>
        <w:jc w:val="both"/>
        <w:rPr>
          <w:rFonts w:ascii="Times" w:hAnsi="Times"/>
          <w:lang w:val="en-US"/>
        </w:rPr>
      </w:pPr>
      <w:r w:rsidRPr="0086663E">
        <w:rPr>
          <w:rFonts w:ascii="Times" w:hAnsi="Times"/>
          <w:lang w:val="en-US"/>
        </w:rPr>
        <w:t xml:space="preserve">In the prospective study, the primary endpoint </w:t>
      </w:r>
      <w:r w:rsidR="0086663E" w:rsidRPr="0086663E">
        <w:rPr>
          <w:rFonts w:ascii="Times" w:hAnsi="Times"/>
          <w:lang w:val="en-US"/>
        </w:rPr>
        <w:t>was</w:t>
      </w:r>
      <w:r w:rsidRPr="0086663E">
        <w:rPr>
          <w:rFonts w:ascii="Times" w:hAnsi="Times"/>
          <w:lang w:val="en-US"/>
        </w:rPr>
        <w:t xml:space="preserve"> a difference in the metabolic ratio </w:t>
      </w:r>
      <w:r w:rsidR="00D7141B" w:rsidRPr="0086663E">
        <w:rPr>
          <w:rFonts w:ascii="Times" w:hAnsi="Times"/>
          <w:lang w:val="en-US"/>
        </w:rPr>
        <w:t xml:space="preserve">of midazolam at </w:t>
      </w:r>
      <w:r w:rsidR="0022317D">
        <w:rPr>
          <w:rFonts w:ascii="Times" w:hAnsi="Times"/>
          <w:lang w:val="en-US"/>
        </w:rPr>
        <w:t>three</w:t>
      </w:r>
      <w:r w:rsidR="00D7141B" w:rsidRPr="0086663E">
        <w:rPr>
          <w:rFonts w:ascii="Times" w:hAnsi="Times"/>
          <w:lang w:val="en-US"/>
        </w:rPr>
        <w:t xml:space="preserve"> weeks of </w:t>
      </w:r>
      <w:r w:rsidR="006B3659">
        <w:rPr>
          <w:rFonts w:ascii="Times" w:hAnsi="Times"/>
          <w:lang w:val="en-US"/>
        </w:rPr>
        <w:t>anti-</w:t>
      </w:r>
      <w:r w:rsidR="00D7141B" w:rsidRPr="0086663E">
        <w:rPr>
          <w:rFonts w:ascii="Times" w:hAnsi="Times"/>
          <w:lang w:val="en-US"/>
        </w:rPr>
        <w:t>IL-6R treatment compared to baseline.</w:t>
      </w:r>
      <w:r w:rsidR="0086663E" w:rsidRPr="0086663E">
        <w:rPr>
          <w:rFonts w:ascii="Times" w:hAnsi="Times"/>
          <w:lang w:val="en-US"/>
        </w:rPr>
        <w:t xml:space="preserve"> We aimed to include 12 patients in the study t</w:t>
      </w:r>
      <w:r w:rsidR="00D7141B" w:rsidRPr="0086663E">
        <w:rPr>
          <w:rFonts w:ascii="Times" w:hAnsi="Times"/>
          <w:lang w:val="en-US"/>
        </w:rPr>
        <w:t xml:space="preserve">o detect a </w:t>
      </w:r>
      <w:r w:rsidR="00807CE8" w:rsidRPr="0086663E">
        <w:rPr>
          <w:rFonts w:ascii="Times" w:hAnsi="Times"/>
          <w:lang w:val="en-US"/>
        </w:rPr>
        <w:t>≥35% difference in midazolam metabolic ratio with 80% power, a two-sided significance level of 5%</w:t>
      </w:r>
      <w:r w:rsidR="0086663E" w:rsidRPr="0086663E">
        <w:rPr>
          <w:rFonts w:ascii="Times" w:hAnsi="Times"/>
          <w:lang w:val="en-US"/>
        </w:rPr>
        <w:t>,</w:t>
      </w:r>
      <w:r w:rsidR="00807CE8" w:rsidRPr="0086663E">
        <w:rPr>
          <w:rFonts w:ascii="Times" w:hAnsi="Times"/>
          <w:lang w:val="en-US"/>
        </w:rPr>
        <w:t xml:space="preserve"> and a drop</w:t>
      </w:r>
      <w:r w:rsidR="0086663E" w:rsidRPr="0086663E">
        <w:rPr>
          <w:rFonts w:ascii="Times" w:hAnsi="Times"/>
          <w:lang w:val="en-US"/>
        </w:rPr>
        <w:t>-</w:t>
      </w:r>
      <w:r w:rsidR="00807CE8" w:rsidRPr="0086663E">
        <w:rPr>
          <w:rFonts w:ascii="Times" w:hAnsi="Times"/>
          <w:lang w:val="en-US"/>
        </w:rPr>
        <w:t xml:space="preserve">out </w:t>
      </w:r>
      <w:r w:rsidR="0086663E" w:rsidRPr="0086663E">
        <w:rPr>
          <w:rFonts w:ascii="Times" w:hAnsi="Times"/>
          <w:lang w:val="en-US"/>
        </w:rPr>
        <w:t>rate of 20%.</w:t>
      </w:r>
      <w:r w:rsidR="008630C2">
        <w:rPr>
          <w:rFonts w:ascii="Times" w:hAnsi="Times"/>
          <w:lang w:val="en-US"/>
        </w:rPr>
        <w:t xml:space="preserve"> </w:t>
      </w:r>
      <w:r w:rsidR="00872DDE">
        <w:rPr>
          <w:rFonts w:ascii="Times" w:hAnsi="Times"/>
          <w:lang w:val="en-US"/>
        </w:rPr>
        <w:t>The COVID-19 pandemic significantly delayed recruitment</w:t>
      </w:r>
      <w:r w:rsidR="00EA1979">
        <w:rPr>
          <w:rFonts w:ascii="Times" w:hAnsi="Times"/>
          <w:lang w:val="en-US"/>
        </w:rPr>
        <w:t>,</w:t>
      </w:r>
      <w:r w:rsidR="00FD2CE9">
        <w:rPr>
          <w:rFonts w:ascii="Times" w:hAnsi="Times"/>
          <w:lang w:val="en-US"/>
        </w:rPr>
        <w:t xml:space="preserve"> and the trial </w:t>
      </w:r>
      <w:r w:rsidR="00864006">
        <w:rPr>
          <w:rFonts w:ascii="Times" w:hAnsi="Times"/>
          <w:lang w:val="en-US"/>
        </w:rPr>
        <w:t>was prematurely terminated on September 30</w:t>
      </w:r>
      <w:r w:rsidR="00864006" w:rsidRPr="00864006">
        <w:rPr>
          <w:rFonts w:ascii="Times" w:hAnsi="Times"/>
          <w:vertAlign w:val="superscript"/>
          <w:lang w:val="en-US"/>
        </w:rPr>
        <w:t>th</w:t>
      </w:r>
      <w:r w:rsidR="00FD56E5">
        <w:rPr>
          <w:rFonts w:ascii="Times" w:hAnsi="Times"/>
          <w:lang w:val="en-US"/>
        </w:rPr>
        <w:t xml:space="preserve">, </w:t>
      </w:r>
      <w:r w:rsidR="00864006">
        <w:rPr>
          <w:rFonts w:ascii="Times" w:hAnsi="Times"/>
          <w:lang w:val="en-US"/>
        </w:rPr>
        <w:t>2022</w:t>
      </w:r>
      <w:r w:rsidR="00FD2CE9">
        <w:rPr>
          <w:rFonts w:ascii="Times" w:hAnsi="Times"/>
          <w:lang w:val="en-US"/>
        </w:rPr>
        <w:t>.</w:t>
      </w:r>
      <w:r w:rsidR="00F8130C">
        <w:rPr>
          <w:rFonts w:ascii="Times" w:hAnsi="Times"/>
          <w:lang w:val="en-US"/>
        </w:rPr>
        <w:t xml:space="preserve"> In the retrospective study, no sample size calculation was conducted</w:t>
      </w:r>
      <w:r w:rsidR="007B1FD0">
        <w:rPr>
          <w:rFonts w:ascii="Times" w:hAnsi="Times"/>
          <w:lang w:val="en-US"/>
        </w:rPr>
        <w:t xml:space="preserve"> thus</w:t>
      </w:r>
      <w:r w:rsidR="00C036C6">
        <w:rPr>
          <w:rFonts w:ascii="Times" w:hAnsi="Times"/>
          <w:lang w:val="en-US"/>
        </w:rPr>
        <w:t>,</w:t>
      </w:r>
      <w:r w:rsidR="007B1FD0">
        <w:rPr>
          <w:rFonts w:ascii="Times" w:hAnsi="Times"/>
          <w:lang w:val="en-US"/>
        </w:rPr>
        <w:t xml:space="preserve"> all available samples </w:t>
      </w:r>
      <w:r w:rsidR="00A9258B">
        <w:rPr>
          <w:rFonts w:ascii="Times" w:hAnsi="Times"/>
          <w:lang w:val="en-US"/>
        </w:rPr>
        <w:t>in the specified period were included in the analysis</w:t>
      </w:r>
      <w:r w:rsidR="00F8130C">
        <w:rPr>
          <w:rFonts w:ascii="Times" w:hAnsi="Times"/>
          <w:lang w:val="en-US"/>
        </w:rPr>
        <w:t>.</w:t>
      </w:r>
      <w:r w:rsidR="00D53B11">
        <w:rPr>
          <w:rFonts w:ascii="Times" w:hAnsi="Times"/>
          <w:lang w:val="en-US"/>
        </w:rPr>
        <w:t xml:space="preserve"> </w:t>
      </w:r>
      <w:r w:rsidR="003553BF">
        <w:rPr>
          <w:rFonts w:ascii="Times" w:hAnsi="Times"/>
          <w:lang w:val="en-US"/>
        </w:rPr>
        <w:t xml:space="preserve">Statistically or clinically relevant differences </w:t>
      </w:r>
      <w:r w:rsidR="00C036C6">
        <w:rPr>
          <w:rFonts w:ascii="Times" w:hAnsi="Times"/>
          <w:lang w:val="en-US"/>
        </w:rPr>
        <w:t>were</w:t>
      </w:r>
      <w:r w:rsidR="00CB132F">
        <w:rPr>
          <w:rFonts w:ascii="Times" w:hAnsi="Times"/>
          <w:lang w:val="en-US"/>
        </w:rPr>
        <w:t xml:space="preserve"> not defined </w:t>
      </w:r>
      <w:r w:rsidR="000A4D04">
        <w:rPr>
          <w:rFonts w:ascii="Times" w:hAnsi="Times"/>
          <w:lang w:val="en-US"/>
        </w:rPr>
        <w:t xml:space="preserve">prior to </w:t>
      </w:r>
      <w:r w:rsidR="00CB132F">
        <w:rPr>
          <w:rFonts w:ascii="Times" w:hAnsi="Times"/>
          <w:lang w:val="en-US"/>
        </w:rPr>
        <w:t>study conduct.</w:t>
      </w:r>
    </w:p>
    <w:p w14:paraId="7ACCC972" w14:textId="6FEB9388" w:rsidR="00B92D9F" w:rsidRPr="003D1D3F" w:rsidRDefault="00B92D9F" w:rsidP="009A2F16">
      <w:pPr>
        <w:spacing w:line="360" w:lineRule="auto"/>
        <w:jc w:val="both"/>
        <w:rPr>
          <w:rFonts w:ascii="Times" w:hAnsi="Times"/>
          <w:b/>
          <w:bCs/>
          <w:lang w:val="en-US"/>
        </w:rPr>
      </w:pPr>
    </w:p>
    <w:p w14:paraId="3B87C337" w14:textId="4D7A15E2" w:rsidR="00767FF7" w:rsidRPr="003D1D3F" w:rsidRDefault="003D1D3F" w:rsidP="009A2F16">
      <w:pPr>
        <w:spacing w:line="360" w:lineRule="auto"/>
        <w:jc w:val="both"/>
        <w:rPr>
          <w:rFonts w:ascii="Times" w:hAnsi="Times"/>
          <w:b/>
          <w:bCs/>
          <w:lang w:val="en-US"/>
        </w:rPr>
      </w:pPr>
      <w:r w:rsidRPr="003D1D3F">
        <w:rPr>
          <w:rFonts w:ascii="Times" w:hAnsi="Times"/>
          <w:b/>
          <w:bCs/>
          <w:lang w:val="en-US"/>
        </w:rPr>
        <w:t>Statistics and pharmacokinetic analysis</w:t>
      </w:r>
    </w:p>
    <w:p w14:paraId="3DB1321E" w14:textId="16659EB0" w:rsidR="009F546A" w:rsidRDefault="002850A6" w:rsidP="00254898">
      <w:pPr>
        <w:spacing w:line="360" w:lineRule="auto"/>
        <w:jc w:val="both"/>
        <w:rPr>
          <w:rFonts w:ascii="Times" w:hAnsi="Times"/>
          <w:lang w:val="en-US"/>
        </w:rPr>
      </w:pPr>
      <w:r>
        <w:rPr>
          <w:rFonts w:ascii="Times" w:hAnsi="Times"/>
          <w:lang w:val="en-US"/>
        </w:rPr>
        <w:t xml:space="preserve">Demographic data and pharmacokinetic parameters are </w:t>
      </w:r>
      <w:r w:rsidR="0056328C">
        <w:rPr>
          <w:rFonts w:ascii="Times" w:hAnsi="Times"/>
          <w:lang w:val="en-US"/>
        </w:rPr>
        <w:t>presented</w:t>
      </w:r>
      <w:r>
        <w:rPr>
          <w:rFonts w:ascii="Times" w:hAnsi="Times"/>
          <w:lang w:val="en-US"/>
        </w:rPr>
        <w:t xml:space="preserve"> as medians and interquartile ranges (IQR</w:t>
      </w:r>
      <w:r w:rsidR="006F73D6">
        <w:rPr>
          <w:rFonts w:ascii="Times" w:hAnsi="Times"/>
          <w:lang w:val="en-US"/>
        </w:rPr>
        <w:t>; 25</w:t>
      </w:r>
      <w:r w:rsidR="006F73D6" w:rsidRPr="006F73D6">
        <w:rPr>
          <w:rFonts w:ascii="Times" w:hAnsi="Times"/>
          <w:vertAlign w:val="superscript"/>
          <w:lang w:val="en-US"/>
        </w:rPr>
        <w:t>th</w:t>
      </w:r>
      <w:r w:rsidR="006F73D6">
        <w:rPr>
          <w:rFonts w:ascii="Times" w:hAnsi="Times"/>
          <w:lang w:val="en-US"/>
        </w:rPr>
        <w:t xml:space="preserve"> to 75</w:t>
      </w:r>
      <w:r w:rsidR="006F73D6" w:rsidRPr="006F73D6">
        <w:rPr>
          <w:rFonts w:ascii="Times" w:hAnsi="Times"/>
          <w:vertAlign w:val="superscript"/>
          <w:lang w:val="en-US"/>
        </w:rPr>
        <w:t>th</w:t>
      </w:r>
      <w:r w:rsidR="006F73D6">
        <w:rPr>
          <w:rFonts w:ascii="Times" w:hAnsi="Times"/>
          <w:lang w:val="en-US"/>
        </w:rPr>
        <w:t xml:space="preserve"> percentiles) or geometric mean ratios (GMR) with </w:t>
      </w:r>
      <w:r w:rsidR="005F1054">
        <w:rPr>
          <w:rFonts w:ascii="Times" w:hAnsi="Times"/>
          <w:lang w:val="en-US"/>
        </w:rPr>
        <w:t xml:space="preserve">a </w:t>
      </w:r>
      <w:r w:rsidR="006F73D6">
        <w:rPr>
          <w:rFonts w:ascii="Times" w:hAnsi="Times"/>
          <w:lang w:val="en-US"/>
        </w:rPr>
        <w:t>95% confidence inter</w:t>
      </w:r>
      <w:r w:rsidR="005F1054">
        <w:rPr>
          <w:rFonts w:ascii="Times" w:hAnsi="Times"/>
          <w:lang w:val="en-US"/>
        </w:rPr>
        <w:t xml:space="preserve">val. Non-compartmental analysis </w:t>
      </w:r>
      <w:r w:rsidR="00AC1B51">
        <w:rPr>
          <w:rFonts w:ascii="Times" w:hAnsi="Times"/>
          <w:lang w:val="en-US"/>
        </w:rPr>
        <w:t>was</w:t>
      </w:r>
      <w:r w:rsidR="00B80240">
        <w:rPr>
          <w:rFonts w:ascii="Times" w:hAnsi="Times"/>
          <w:lang w:val="en-US"/>
        </w:rPr>
        <w:t xml:space="preserve"> conducted as previously described </w:t>
      </w:r>
      <w:r w:rsidR="00B80240">
        <w:rPr>
          <w:rFonts w:ascii="Times" w:hAnsi="Times"/>
          <w:lang w:val="en-US"/>
        </w:rPr>
        <w:fldChar w:fldCharType="begin"/>
      </w:r>
      <w:r w:rsidR="00296450">
        <w:rPr>
          <w:rFonts w:ascii="Times" w:hAnsi="Times"/>
          <w:lang w:val="en-US"/>
        </w:rPr>
        <w:instrText xml:space="preserve"> ADDIN ZOTERO_ITEM CSL_CITATION {"citationID":"fV64BjTA","properties":{"formattedCitation":"(28)","plainCitation":"(28)","noteIndex":0},"citationItems":[{"id":1169,"uris":["http://zotero.org/users/4954704/items/4QX56RPG"],"itemData":{"id":1169,"type":"article-journal","container-title":"Clinical and Translational Science","DOI":"10.1111/cts.13305","ISSN":"1752-8054","issue":"8","journalAbbreviation":"Clinical and Translational Science","note":"publisher: Wiley","page":"1856-1866","title":"Tutorial: Statistical analysis and reporting of clinical pharmacokinetic studies","volume":"15","author":[{"family":"Dunvald","given":"Ann‐Cathrine Dalgård"},{"family":"Iversen","given":"Ditte Bork"},{"family":"Svendsen","given":"Andreas Ludvig Ohm"},{"family":"Agergaard","given":"Katrine"},{"family":"Kuhlmann","given":"Ida Berglund"},{"family":"Mortensen","given":"Christina"},{"family":"Andersen","given":"Nanna Elman"},{"family":"Järvinen","given":"Erkka"},{"family":"Stage","given":"Tore Bjerregaard"}],"issued":{"date-parts":[["2022",8]]}}}],"schema":"https://github.com/citation-style-language/schema/raw/master/csl-citation.json"} </w:instrText>
      </w:r>
      <w:r w:rsidR="00B80240">
        <w:rPr>
          <w:rFonts w:ascii="Times" w:hAnsi="Times"/>
          <w:lang w:val="en-US"/>
        </w:rPr>
        <w:fldChar w:fldCharType="separate"/>
      </w:r>
      <w:r w:rsidR="00296450">
        <w:rPr>
          <w:rFonts w:ascii="Times" w:hAnsi="Times"/>
          <w:noProof/>
          <w:lang w:val="en-US"/>
        </w:rPr>
        <w:t>(28)</w:t>
      </w:r>
      <w:r w:rsidR="00B80240">
        <w:rPr>
          <w:rFonts w:ascii="Times" w:hAnsi="Times"/>
          <w:lang w:val="en-US"/>
        </w:rPr>
        <w:fldChar w:fldCharType="end"/>
      </w:r>
      <w:r w:rsidR="00B24C5A">
        <w:rPr>
          <w:rFonts w:ascii="Times" w:hAnsi="Times"/>
          <w:lang w:val="en-US"/>
        </w:rPr>
        <w:t xml:space="preserve"> </w:t>
      </w:r>
      <w:r w:rsidR="00AC1B51">
        <w:rPr>
          <w:rFonts w:ascii="Times" w:hAnsi="Times"/>
          <w:lang w:val="en-US"/>
        </w:rPr>
        <w:t>using the R package PKNCA</w:t>
      </w:r>
      <w:r w:rsidR="00904036">
        <w:rPr>
          <w:rFonts w:ascii="Times" w:hAnsi="Times"/>
          <w:lang w:val="en-US"/>
        </w:rPr>
        <w:t xml:space="preserve"> </w:t>
      </w:r>
      <w:r w:rsidR="00904036">
        <w:rPr>
          <w:rFonts w:ascii="Times" w:hAnsi="Times"/>
          <w:lang w:val="en-US"/>
        </w:rPr>
        <w:fldChar w:fldCharType="begin"/>
      </w:r>
      <w:r w:rsidR="00296450">
        <w:rPr>
          <w:rFonts w:ascii="Times" w:hAnsi="Times"/>
          <w:lang w:val="en-US"/>
        </w:rPr>
        <w:instrText xml:space="preserve"> ADDIN ZOTERO_ITEM CSL_CITATION {"citationID":"4ClEryZG","properties":{"formattedCitation":"(29)","plainCitation":"(29)","noteIndex":0},"citationItems":[{"id":1356,"uris":["http://zotero.org/users/4954704/items/TIDI7LQ8"],"itemData":{"id":1356,"type":"webpage","title":"Package 'PKNCA'. Perform Pharmacokinetic Non-Compartmental Analysis. V.0.10.0","URL":"https://cran.r-project.org/web/packages/PKNCA/PKNCA.pdf","accessed":{"date-parts":[["2022",7,14]]}}}],"schema":"https://github.com/citation-style-language/schema/raw/master/csl-citation.json"} </w:instrText>
      </w:r>
      <w:r w:rsidR="00904036">
        <w:rPr>
          <w:rFonts w:ascii="Times" w:hAnsi="Times"/>
          <w:lang w:val="en-US"/>
        </w:rPr>
        <w:fldChar w:fldCharType="separate"/>
      </w:r>
      <w:r w:rsidR="00296450">
        <w:rPr>
          <w:rFonts w:ascii="Times" w:hAnsi="Times"/>
          <w:noProof/>
          <w:lang w:val="en-US"/>
        </w:rPr>
        <w:t>(29)</w:t>
      </w:r>
      <w:r w:rsidR="00904036">
        <w:rPr>
          <w:rFonts w:ascii="Times" w:hAnsi="Times"/>
          <w:lang w:val="en-US"/>
        </w:rPr>
        <w:fldChar w:fldCharType="end"/>
      </w:r>
      <w:r w:rsidR="00B80240">
        <w:rPr>
          <w:rFonts w:ascii="Times" w:hAnsi="Times"/>
          <w:lang w:val="en-US"/>
        </w:rPr>
        <w:t>.</w:t>
      </w:r>
      <w:r w:rsidR="006913C9">
        <w:rPr>
          <w:rFonts w:ascii="Times" w:hAnsi="Times"/>
          <w:lang w:val="en-US"/>
        </w:rPr>
        <w:t xml:space="preserve"> The metabolic ratio was calculated as [drug]/[metabolite]</w:t>
      </w:r>
      <w:r w:rsidR="00B1094A">
        <w:rPr>
          <w:rFonts w:ascii="Times" w:hAnsi="Times"/>
          <w:lang w:val="en-US"/>
        </w:rPr>
        <w:t xml:space="preserve"> at the time points previously validated to correspond to </w:t>
      </w:r>
      <w:r w:rsidR="0056328C">
        <w:rPr>
          <w:rFonts w:ascii="Times" w:hAnsi="Times"/>
          <w:lang w:val="en-US"/>
        </w:rPr>
        <w:t xml:space="preserve">the </w:t>
      </w:r>
      <w:r w:rsidR="00B1094A">
        <w:rPr>
          <w:rFonts w:ascii="Times" w:hAnsi="Times"/>
          <w:lang w:val="en-US"/>
        </w:rPr>
        <w:t xml:space="preserve">AUC ratio </w:t>
      </w:r>
      <w:r w:rsidR="00B1094A">
        <w:rPr>
          <w:rFonts w:ascii="Times" w:hAnsi="Times"/>
          <w:lang w:val="en-US"/>
        </w:rPr>
        <w:fldChar w:fldCharType="begin"/>
      </w:r>
      <w:r w:rsidR="00296450">
        <w:rPr>
          <w:rFonts w:ascii="Times" w:hAnsi="Times"/>
          <w:lang w:val="en-US"/>
        </w:rPr>
        <w:instrText xml:space="preserve"> ADDIN ZOTERO_ITEM CSL_CITATION {"citationID":"09qeSuQv","properties":{"formattedCitation":"(17)","plainCitation":"(17)","noteIndex":0},"citationItems":[{"id":327,"uris":["http://zotero.org/users/4954704/items/88CFJD6F"],"itemData":{"id":327,"type":"article-journal","abstract":"Background and Objective Phenotyping cocktails use a combination of cytochrome P450 (CYP)-speciﬁc probe drugs to simultaneously assess the activity of different CYP isoforms. To improve the clinical applicability of CYP phenotyping, the main objectives of this study were to develop a new cocktail based on probe drugs that are widely used in clinical practice and to test whether alternative sampling methods such as collection of dried blood spots (DBS) or saliva could be used to simplify the sampling process.","container-title":"Clinical Pharmacokinetics","DOI":"10.1007/s40262-013-0115-0","ISSN":"0312-5963, 1179-1926","issue":"3","journalAbbreviation":"Clin Pharmacokinet","language":"en","page":"271-282","source":"DOI.org (Crossref)","title":"The Basel Cocktail for Simultaneous Phenotyping of Human Cytochrome P450 Isoforms in Plasma, Saliva and Dried Blood Spots","volume":"53","author":[{"family":"Donzelli","given":"Massimiliano"},{"family":"Derungs","given":"Adrian"},{"family":"Serratore","given":"Maria-Giovanna"},{"family":"Noppen","given":"Christoph"},{"family":"Nezic","given":"Lana"},{"family":"Krähenbühl","given":"Stephan"},{"family":"Haschke","given":"Manuel"}],"issued":{"date-parts":[["2014",3]]}}}],"schema":"https://github.com/citation-style-language/schema/raw/master/csl-citation.json"} </w:instrText>
      </w:r>
      <w:r w:rsidR="00B1094A">
        <w:rPr>
          <w:rFonts w:ascii="Times" w:hAnsi="Times"/>
          <w:lang w:val="en-US"/>
        </w:rPr>
        <w:fldChar w:fldCharType="separate"/>
      </w:r>
      <w:r w:rsidR="00296450">
        <w:rPr>
          <w:rFonts w:ascii="Times" w:hAnsi="Times"/>
          <w:noProof/>
          <w:lang w:val="en-US"/>
        </w:rPr>
        <w:t>(17)</w:t>
      </w:r>
      <w:r w:rsidR="00B1094A">
        <w:rPr>
          <w:rFonts w:ascii="Times" w:hAnsi="Times"/>
          <w:lang w:val="en-US"/>
        </w:rPr>
        <w:fldChar w:fldCharType="end"/>
      </w:r>
      <w:r w:rsidR="005C70B9">
        <w:rPr>
          <w:rFonts w:ascii="Times" w:hAnsi="Times"/>
          <w:lang w:val="en-US"/>
        </w:rPr>
        <w:t xml:space="preserve">. </w:t>
      </w:r>
      <w:r w:rsidR="0056328C" w:rsidRPr="000926B8">
        <w:rPr>
          <w:rFonts w:ascii="Times" w:hAnsi="Times" w:cs="Arial"/>
          <w:lang w:val="en-US"/>
        </w:rPr>
        <w:t>The formation clearances (</w:t>
      </w:r>
      <w:proofErr w:type="spellStart"/>
      <w:r w:rsidR="0056328C" w:rsidRPr="000926B8">
        <w:rPr>
          <w:rFonts w:ascii="Times" w:hAnsi="Times" w:cs="Arial"/>
          <w:lang w:val="en-US"/>
        </w:rPr>
        <w:t>CL</w:t>
      </w:r>
      <w:r w:rsidR="0056328C" w:rsidRPr="000926B8">
        <w:rPr>
          <w:rFonts w:ascii="Times" w:hAnsi="Times" w:cs="Arial"/>
          <w:vertAlign w:val="subscript"/>
          <w:lang w:val="en-US"/>
        </w:rPr>
        <w:t>f</w:t>
      </w:r>
      <w:proofErr w:type="spellEnd"/>
      <w:r w:rsidR="0056328C" w:rsidRPr="000926B8">
        <w:rPr>
          <w:rFonts w:ascii="Times" w:hAnsi="Times" w:cs="Arial"/>
          <w:lang w:val="en-US"/>
        </w:rPr>
        <w:t>) were estimated as [amount of metabolite in urine</w:t>
      </w:r>
      <w:r w:rsidR="0056328C" w:rsidRPr="000926B8">
        <w:rPr>
          <w:rFonts w:ascii="Times" w:hAnsi="Times" w:cs="Arial"/>
          <w:vertAlign w:val="subscript"/>
          <w:lang w:val="en-US"/>
        </w:rPr>
        <w:t>0-6h</w:t>
      </w:r>
      <w:r w:rsidR="0056328C" w:rsidRPr="000926B8">
        <w:rPr>
          <w:rFonts w:ascii="Times" w:hAnsi="Times" w:cs="Arial"/>
          <w:lang w:val="en-US"/>
        </w:rPr>
        <w:t>] over [AUC of substate</w:t>
      </w:r>
      <w:r w:rsidR="0056328C" w:rsidRPr="000926B8">
        <w:rPr>
          <w:rFonts w:ascii="Times" w:hAnsi="Times" w:cs="Arial"/>
          <w:vertAlign w:val="subscript"/>
          <w:lang w:val="en-US"/>
        </w:rPr>
        <w:t>0-6h</w:t>
      </w:r>
      <w:r w:rsidR="0056328C" w:rsidRPr="000926B8">
        <w:rPr>
          <w:rFonts w:ascii="Times" w:hAnsi="Times" w:cs="Arial"/>
          <w:lang w:val="en-US"/>
        </w:rPr>
        <w:t>]</w:t>
      </w:r>
      <w:r w:rsidR="0056328C">
        <w:rPr>
          <w:rFonts w:ascii="Times" w:hAnsi="Times" w:cs="Arial"/>
          <w:lang w:val="en-US"/>
        </w:rPr>
        <w:t>,</w:t>
      </w:r>
      <w:r w:rsidR="0056328C" w:rsidRPr="000926B8">
        <w:rPr>
          <w:rFonts w:ascii="Times" w:hAnsi="Times" w:cs="Arial"/>
          <w:lang w:val="en-US"/>
        </w:rPr>
        <w:t xml:space="preserve"> and renal clearances (CL</w:t>
      </w:r>
      <w:r w:rsidR="0056328C" w:rsidRPr="000926B8">
        <w:rPr>
          <w:rFonts w:ascii="Times" w:hAnsi="Times" w:cs="Arial"/>
          <w:vertAlign w:val="subscript"/>
          <w:lang w:val="en-US"/>
        </w:rPr>
        <w:t>R</w:t>
      </w:r>
      <w:r w:rsidR="0056328C" w:rsidRPr="000926B8">
        <w:rPr>
          <w:rFonts w:ascii="Times" w:hAnsi="Times" w:cs="Arial"/>
          <w:lang w:val="en-US"/>
        </w:rPr>
        <w:t xml:space="preserve">) were </w:t>
      </w:r>
      <w:r w:rsidR="0056328C">
        <w:rPr>
          <w:rFonts w:ascii="Times" w:hAnsi="Times" w:cs="Arial"/>
          <w:lang w:val="en-US"/>
        </w:rPr>
        <w:t>calculated</w:t>
      </w:r>
      <w:r w:rsidR="0056328C" w:rsidRPr="000926B8">
        <w:rPr>
          <w:rFonts w:ascii="Times" w:hAnsi="Times" w:cs="Arial"/>
          <w:lang w:val="en-US"/>
        </w:rPr>
        <w:t xml:space="preserve"> as [amount of substrate in urine</w:t>
      </w:r>
      <w:r w:rsidR="0056328C" w:rsidRPr="000926B8">
        <w:rPr>
          <w:rFonts w:ascii="Times" w:hAnsi="Times" w:cs="Arial"/>
          <w:vertAlign w:val="subscript"/>
          <w:lang w:val="en-US"/>
        </w:rPr>
        <w:t>0-6h</w:t>
      </w:r>
      <w:r w:rsidR="0056328C" w:rsidRPr="000926B8">
        <w:rPr>
          <w:rFonts w:ascii="Times" w:hAnsi="Times" w:cs="Arial"/>
          <w:lang w:val="en-US"/>
        </w:rPr>
        <w:t>] over [AUC of substate</w:t>
      </w:r>
      <w:r w:rsidR="0056328C" w:rsidRPr="000926B8">
        <w:rPr>
          <w:rFonts w:ascii="Times" w:hAnsi="Times" w:cs="Arial"/>
          <w:vertAlign w:val="subscript"/>
          <w:lang w:val="en-US"/>
        </w:rPr>
        <w:t>0-6h</w:t>
      </w:r>
      <w:r w:rsidR="0056328C" w:rsidRPr="000926B8">
        <w:rPr>
          <w:rFonts w:ascii="Times" w:hAnsi="Times" w:cs="Arial"/>
          <w:lang w:val="en-US"/>
        </w:rPr>
        <w:t>].</w:t>
      </w:r>
      <w:r w:rsidR="00B80240">
        <w:rPr>
          <w:rFonts w:ascii="Times" w:hAnsi="Times"/>
          <w:lang w:val="en-US"/>
        </w:rPr>
        <w:t xml:space="preserve"> </w:t>
      </w:r>
    </w:p>
    <w:p w14:paraId="088ECCBC" w14:textId="6CEBEBCE" w:rsidR="004E0F8E" w:rsidRDefault="004E0F8E" w:rsidP="00254898">
      <w:pPr>
        <w:spacing w:line="360" w:lineRule="auto"/>
        <w:jc w:val="both"/>
        <w:rPr>
          <w:rFonts w:ascii="Times" w:hAnsi="Times"/>
          <w:lang w:val="en-US"/>
        </w:rPr>
      </w:pPr>
    </w:p>
    <w:p w14:paraId="5EC18E67" w14:textId="2E5D06F1" w:rsidR="00A34BC1" w:rsidRPr="00833696" w:rsidRDefault="00A34BC1" w:rsidP="00254898">
      <w:pPr>
        <w:spacing w:line="360" w:lineRule="auto"/>
        <w:jc w:val="both"/>
        <w:rPr>
          <w:rFonts w:ascii="Times" w:hAnsi="Times"/>
          <w:b/>
          <w:bCs/>
          <w:lang w:val="en-US"/>
        </w:rPr>
      </w:pPr>
      <w:r w:rsidRPr="00833696">
        <w:rPr>
          <w:rFonts w:ascii="Times" w:hAnsi="Times"/>
          <w:b/>
          <w:bCs/>
          <w:lang w:val="en-US"/>
        </w:rPr>
        <w:t>RESULTS</w:t>
      </w:r>
    </w:p>
    <w:p w14:paraId="4280E327" w14:textId="41E02803" w:rsidR="00A34BC1" w:rsidRPr="00727B36" w:rsidRDefault="0056328C" w:rsidP="00254898">
      <w:pPr>
        <w:spacing w:line="360" w:lineRule="auto"/>
        <w:jc w:val="both"/>
        <w:rPr>
          <w:rFonts w:ascii="Times" w:hAnsi="Times"/>
          <w:i/>
          <w:iCs/>
          <w:lang w:val="en-US"/>
        </w:rPr>
      </w:pPr>
      <w:r>
        <w:rPr>
          <w:rFonts w:ascii="Times" w:hAnsi="Times"/>
          <w:i/>
          <w:iCs/>
          <w:lang w:val="en-US"/>
        </w:rPr>
        <w:lastRenderedPageBreak/>
        <w:t>Clinical pharmacokinetic trial</w:t>
      </w:r>
    </w:p>
    <w:p w14:paraId="42A0D887" w14:textId="6B2BAAB2" w:rsidR="00847A06" w:rsidRDefault="00133DBE" w:rsidP="00254898">
      <w:pPr>
        <w:spacing w:line="360" w:lineRule="auto"/>
        <w:jc w:val="both"/>
        <w:rPr>
          <w:rFonts w:ascii="Times" w:hAnsi="Times"/>
          <w:lang w:val="en-US"/>
        </w:rPr>
      </w:pPr>
      <w:r>
        <w:rPr>
          <w:rFonts w:ascii="Times" w:hAnsi="Times"/>
          <w:lang w:val="en-US"/>
        </w:rPr>
        <w:t xml:space="preserve">The trial </w:t>
      </w:r>
      <w:r w:rsidR="00D7735F">
        <w:rPr>
          <w:rFonts w:ascii="Times" w:hAnsi="Times"/>
          <w:lang w:val="en-US"/>
        </w:rPr>
        <w:t xml:space="preserve">was </w:t>
      </w:r>
      <w:r>
        <w:rPr>
          <w:rFonts w:ascii="Times" w:hAnsi="Times"/>
          <w:lang w:val="en-US"/>
        </w:rPr>
        <w:t xml:space="preserve">prematurely </w:t>
      </w:r>
      <w:r w:rsidR="000409F8">
        <w:rPr>
          <w:rFonts w:ascii="Times" w:hAnsi="Times"/>
          <w:lang w:val="en-US"/>
        </w:rPr>
        <w:t>concluded</w:t>
      </w:r>
      <w:r>
        <w:rPr>
          <w:rFonts w:ascii="Times" w:hAnsi="Times"/>
          <w:lang w:val="en-US"/>
        </w:rPr>
        <w:t xml:space="preserve"> and did not obtain the pre-defined sample size. </w:t>
      </w:r>
      <w:r w:rsidR="009A52DB">
        <w:rPr>
          <w:rFonts w:ascii="Times" w:hAnsi="Times"/>
          <w:lang w:val="en-US"/>
        </w:rPr>
        <w:t>We included three patients</w:t>
      </w:r>
      <w:r w:rsidR="005D5ECD">
        <w:rPr>
          <w:rFonts w:ascii="Times" w:hAnsi="Times"/>
          <w:lang w:val="en-US"/>
        </w:rPr>
        <w:t xml:space="preserve"> with </w:t>
      </w:r>
      <w:r w:rsidR="006B3659">
        <w:rPr>
          <w:rFonts w:ascii="Times" w:hAnsi="Times"/>
          <w:lang w:val="en-US"/>
        </w:rPr>
        <w:t xml:space="preserve">rheumatoid arthritis </w:t>
      </w:r>
      <w:r w:rsidR="002879EA">
        <w:rPr>
          <w:rFonts w:ascii="Times" w:hAnsi="Times"/>
          <w:lang w:val="en-US"/>
        </w:rPr>
        <w:t>from three trial sites</w:t>
      </w:r>
      <w:r w:rsidR="009A52DB">
        <w:rPr>
          <w:rFonts w:ascii="Times" w:hAnsi="Times"/>
          <w:lang w:val="en-US"/>
        </w:rPr>
        <w:t>.</w:t>
      </w:r>
      <w:r w:rsidR="007124B2">
        <w:rPr>
          <w:rFonts w:ascii="Times" w:hAnsi="Times"/>
          <w:lang w:val="en-US"/>
        </w:rPr>
        <w:t xml:space="preserve"> </w:t>
      </w:r>
      <w:r w:rsidR="00033CDC">
        <w:rPr>
          <w:rFonts w:ascii="Times" w:hAnsi="Times"/>
          <w:lang w:val="en-US"/>
        </w:rPr>
        <w:t xml:space="preserve">Patients were between </w:t>
      </w:r>
      <w:r w:rsidR="00147BFF">
        <w:rPr>
          <w:rFonts w:ascii="Times" w:hAnsi="Times"/>
          <w:lang w:val="en-US"/>
        </w:rPr>
        <w:t xml:space="preserve">54 </w:t>
      </w:r>
      <w:r w:rsidR="00033CDC">
        <w:rPr>
          <w:rFonts w:ascii="Times" w:hAnsi="Times"/>
          <w:lang w:val="en-US"/>
        </w:rPr>
        <w:t xml:space="preserve">and </w:t>
      </w:r>
      <w:r w:rsidR="00147BFF">
        <w:rPr>
          <w:rFonts w:ascii="Times" w:hAnsi="Times"/>
          <w:lang w:val="en-US"/>
        </w:rPr>
        <w:t xml:space="preserve">72 </w:t>
      </w:r>
      <w:r w:rsidR="00033CDC">
        <w:rPr>
          <w:rFonts w:ascii="Times" w:hAnsi="Times"/>
          <w:lang w:val="en-US"/>
        </w:rPr>
        <w:t>years</w:t>
      </w:r>
      <w:r w:rsidR="003F69EF">
        <w:rPr>
          <w:rFonts w:ascii="Times" w:hAnsi="Times"/>
          <w:lang w:val="en-US"/>
        </w:rPr>
        <w:t xml:space="preserve"> old</w:t>
      </w:r>
      <w:r w:rsidR="00793C2B">
        <w:rPr>
          <w:rFonts w:ascii="Times" w:hAnsi="Times"/>
          <w:lang w:val="en-US"/>
        </w:rPr>
        <w:t xml:space="preserve">, </w:t>
      </w:r>
      <w:r w:rsidR="00140D0B">
        <w:rPr>
          <w:rFonts w:ascii="Times" w:hAnsi="Times"/>
          <w:lang w:val="en-US"/>
        </w:rPr>
        <w:t>two were female</w:t>
      </w:r>
      <w:r w:rsidR="00793C2B">
        <w:rPr>
          <w:rFonts w:ascii="Times" w:hAnsi="Times"/>
          <w:lang w:val="en-US"/>
        </w:rPr>
        <w:t>, and none were smokers</w:t>
      </w:r>
      <w:r w:rsidR="00140D0B">
        <w:rPr>
          <w:rFonts w:ascii="Times" w:hAnsi="Times"/>
          <w:lang w:val="en-US"/>
        </w:rPr>
        <w:t xml:space="preserve">. </w:t>
      </w:r>
      <w:r w:rsidR="00C9694E">
        <w:rPr>
          <w:rFonts w:ascii="Times" w:hAnsi="Times"/>
          <w:lang w:val="en-US"/>
        </w:rPr>
        <w:t xml:space="preserve">Disease duration was registered for two patients and ranged </w:t>
      </w:r>
      <w:r w:rsidR="00A736F7">
        <w:rPr>
          <w:rFonts w:ascii="Times" w:hAnsi="Times"/>
          <w:lang w:val="en-US"/>
        </w:rPr>
        <w:t xml:space="preserve">from </w:t>
      </w:r>
      <w:r w:rsidR="006632EF">
        <w:rPr>
          <w:rFonts w:ascii="Times" w:hAnsi="Times"/>
          <w:lang w:val="en-US"/>
        </w:rPr>
        <w:t>13 to</w:t>
      </w:r>
      <w:r w:rsidR="00C9694E">
        <w:rPr>
          <w:rFonts w:ascii="Times" w:hAnsi="Times"/>
          <w:lang w:val="en-US"/>
        </w:rPr>
        <w:t xml:space="preserve"> </w:t>
      </w:r>
      <w:r w:rsidR="0066798D">
        <w:rPr>
          <w:rFonts w:ascii="Times" w:hAnsi="Times"/>
          <w:lang w:val="en-US"/>
        </w:rPr>
        <w:t xml:space="preserve">18 years. </w:t>
      </w:r>
      <w:r w:rsidR="005A0A7D">
        <w:rPr>
          <w:rFonts w:ascii="Times" w:hAnsi="Times"/>
          <w:lang w:val="en-US"/>
        </w:rPr>
        <w:t xml:space="preserve">All patients were previously treated with </w:t>
      </w:r>
      <w:r w:rsidR="00CF695B">
        <w:rPr>
          <w:rFonts w:ascii="Times" w:hAnsi="Times"/>
          <w:lang w:val="en-US"/>
        </w:rPr>
        <w:t xml:space="preserve">other </w:t>
      </w:r>
      <w:r w:rsidR="00BC61D0">
        <w:rPr>
          <w:rFonts w:ascii="Times" w:hAnsi="Times"/>
          <w:lang w:val="en-US"/>
        </w:rPr>
        <w:t xml:space="preserve">biological DMARDs. </w:t>
      </w:r>
      <w:r w:rsidR="00E15A97">
        <w:rPr>
          <w:rFonts w:ascii="Times" w:hAnsi="Times"/>
          <w:lang w:val="en-US"/>
        </w:rPr>
        <w:t xml:space="preserve">Two patients received concomitant treatment with </w:t>
      </w:r>
      <w:r w:rsidR="005A0A7D">
        <w:rPr>
          <w:rFonts w:ascii="Times" w:hAnsi="Times"/>
          <w:lang w:val="en-US"/>
        </w:rPr>
        <w:t xml:space="preserve">a </w:t>
      </w:r>
      <w:r w:rsidR="00BC61D0">
        <w:rPr>
          <w:rFonts w:ascii="Times" w:hAnsi="Times"/>
          <w:lang w:val="en-US"/>
        </w:rPr>
        <w:t xml:space="preserve">conventional </w:t>
      </w:r>
      <w:r w:rsidR="005A0A7D">
        <w:rPr>
          <w:rFonts w:ascii="Times" w:hAnsi="Times"/>
          <w:lang w:val="en-US"/>
        </w:rPr>
        <w:t>DMARD</w:t>
      </w:r>
      <w:r w:rsidR="00BC61D0">
        <w:rPr>
          <w:rFonts w:ascii="Times" w:hAnsi="Times"/>
          <w:lang w:val="en-US"/>
        </w:rPr>
        <w:t xml:space="preserve"> during the trial</w:t>
      </w:r>
      <w:r w:rsidR="005A0A7D">
        <w:rPr>
          <w:rFonts w:ascii="Times" w:hAnsi="Times"/>
          <w:lang w:val="en-US"/>
        </w:rPr>
        <w:t xml:space="preserve">. </w:t>
      </w:r>
      <w:r w:rsidR="00DA2629">
        <w:rPr>
          <w:rFonts w:ascii="Times" w:hAnsi="Times"/>
          <w:lang w:val="en-US"/>
        </w:rPr>
        <w:t xml:space="preserve">All patients </w:t>
      </w:r>
      <w:r w:rsidR="008E5F9B">
        <w:rPr>
          <w:rFonts w:ascii="Times" w:hAnsi="Times"/>
          <w:lang w:val="en-US"/>
        </w:rPr>
        <w:t>initiated</w:t>
      </w:r>
      <w:r w:rsidR="00DA2629">
        <w:rPr>
          <w:rFonts w:ascii="Times" w:hAnsi="Times"/>
          <w:lang w:val="en-US"/>
        </w:rPr>
        <w:t xml:space="preserve"> an </w:t>
      </w:r>
      <w:r w:rsidR="0056167A">
        <w:rPr>
          <w:rFonts w:ascii="Times" w:hAnsi="Times"/>
          <w:lang w:val="en-US"/>
        </w:rPr>
        <w:t>anti-</w:t>
      </w:r>
      <w:r w:rsidR="00DA2629">
        <w:rPr>
          <w:rFonts w:ascii="Times" w:hAnsi="Times"/>
          <w:lang w:val="en-US"/>
        </w:rPr>
        <w:t>IL-6R</w:t>
      </w:r>
      <w:r w:rsidR="00EF4439">
        <w:rPr>
          <w:rFonts w:ascii="Times" w:hAnsi="Times"/>
          <w:lang w:val="en-US"/>
        </w:rPr>
        <w:t>; two</w:t>
      </w:r>
      <w:r w:rsidR="006632EF">
        <w:rPr>
          <w:rFonts w:ascii="Times" w:hAnsi="Times"/>
          <w:lang w:val="en-US"/>
        </w:rPr>
        <w:t xml:space="preserve"> received subcutaneous sarilumab</w:t>
      </w:r>
      <w:r w:rsidR="00F151A3">
        <w:rPr>
          <w:rFonts w:ascii="Times" w:hAnsi="Times"/>
          <w:lang w:val="en-US"/>
        </w:rPr>
        <w:t>,</w:t>
      </w:r>
      <w:r w:rsidR="006632EF">
        <w:rPr>
          <w:rFonts w:ascii="Times" w:hAnsi="Times"/>
          <w:lang w:val="en-US"/>
        </w:rPr>
        <w:t xml:space="preserve"> and one received tocilizumab</w:t>
      </w:r>
      <w:r w:rsidR="00034F2D">
        <w:rPr>
          <w:rFonts w:ascii="Times" w:hAnsi="Times"/>
          <w:lang w:val="en-US"/>
        </w:rPr>
        <w:t>.</w:t>
      </w:r>
      <w:r w:rsidR="008E5F9B">
        <w:rPr>
          <w:rFonts w:ascii="Times" w:hAnsi="Times"/>
          <w:lang w:val="en-US"/>
        </w:rPr>
        <w:t xml:space="preserve"> </w:t>
      </w:r>
      <w:r w:rsidR="003A4756">
        <w:rPr>
          <w:rFonts w:ascii="Times" w:hAnsi="Times"/>
          <w:lang w:val="en-US"/>
        </w:rPr>
        <w:t>The three</w:t>
      </w:r>
      <w:r w:rsidR="00EE10FD">
        <w:rPr>
          <w:rFonts w:ascii="Times" w:hAnsi="Times"/>
          <w:lang w:val="en-US"/>
        </w:rPr>
        <w:t>-</w:t>
      </w:r>
      <w:r w:rsidR="003A4756">
        <w:rPr>
          <w:rFonts w:ascii="Times" w:hAnsi="Times"/>
          <w:lang w:val="en-US"/>
        </w:rPr>
        <w:t xml:space="preserve"> and </w:t>
      </w:r>
      <w:r w:rsidR="00EE10FD">
        <w:rPr>
          <w:rFonts w:ascii="Times" w:hAnsi="Times"/>
          <w:lang w:val="en-US"/>
        </w:rPr>
        <w:t>12-week</w:t>
      </w:r>
      <w:r w:rsidR="003A4756">
        <w:rPr>
          <w:rFonts w:ascii="Times" w:hAnsi="Times"/>
          <w:lang w:val="en-US"/>
        </w:rPr>
        <w:t xml:space="preserve"> </w:t>
      </w:r>
      <w:r w:rsidR="00485836">
        <w:rPr>
          <w:rFonts w:ascii="Times" w:hAnsi="Times"/>
          <w:lang w:val="en-US"/>
        </w:rPr>
        <w:t>phenotyping was conducted on days 16</w:t>
      </w:r>
      <w:r w:rsidR="00572B8A">
        <w:rPr>
          <w:rFonts w:ascii="Times" w:hAnsi="Times"/>
          <w:lang w:val="en-US"/>
        </w:rPr>
        <w:t xml:space="preserve"> to </w:t>
      </w:r>
      <w:r w:rsidR="00C202CD">
        <w:rPr>
          <w:rFonts w:ascii="Times" w:hAnsi="Times"/>
          <w:lang w:val="en-US"/>
        </w:rPr>
        <w:t>22 and</w:t>
      </w:r>
      <w:r w:rsidR="00485836">
        <w:rPr>
          <w:rFonts w:ascii="Times" w:hAnsi="Times"/>
          <w:lang w:val="en-US"/>
        </w:rPr>
        <w:t xml:space="preserve"> </w:t>
      </w:r>
      <w:r w:rsidR="00C202CD">
        <w:rPr>
          <w:rFonts w:ascii="Times" w:hAnsi="Times"/>
          <w:lang w:val="en-US"/>
        </w:rPr>
        <w:t>81</w:t>
      </w:r>
      <w:r w:rsidR="00572B8A">
        <w:rPr>
          <w:rFonts w:ascii="Times" w:hAnsi="Times"/>
          <w:lang w:val="en-US"/>
        </w:rPr>
        <w:t xml:space="preserve"> to </w:t>
      </w:r>
      <w:r w:rsidR="00EE10FD">
        <w:rPr>
          <w:rFonts w:ascii="Times" w:hAnsi="Times"/>
          <w:lang w:val="en-US"/>
        </w:rPr>
        <w:t>86</w:t>
      </w:r>
      <w:r w:rsidR="00720FB6">
        <w:rPr>
          <w:rFonts w:ascii="Times" w:hAnsi="Times"/>
          <w:lang w:val="en-US"/>
        </w:rPr>
        <w:t xml:space="preserve"> after initiation of treatment, respectively</w:t>
      </w:r>
      <w:r w:rsidR="00920A14">
        <w:rPr>
          <w:rFonts w:ascii="Times" w:hAnsi="Times"/>
          <w:lang w:val="en-US"/>
        </w:rPr>
        <w:t xml:space="preserve">. </w:t>
      </w:r>
      <w:bookmarkStart w:id="0" w:name="_Hlk144881130"/>
      <w:r w:rsidR="00920A14">
        <w:rPr>
          <w:rFonts w:ascii="Times" w:hAnsi="Times"/>
          <w:lang w:val="en-US"/>
        </w:rPr>
        <w:t xml:space="preserve">No adverse events </w:t>
      </w:r>
      <w:r w:rsidR="002A0EE4">
        <w:rPr>
          <w:rFonts w:ascii="Times" w:hAnsi="Times"/>
          <w:lang w:val="en-US"/>
        </w:rPr>
        <w:t>related to</w:t>
      </w:r>
      <w:r w:rsidR="00920A14">
        <w:rPr>
          <w:rFonts w:ascii="Times" w:hAnsi="Times"/>
          <w:lang w:val="en-US"/>
        </w:rPr>
        <w:t xml:space="preserve"> the cocktail drugs</w:t>
      </w:r>
      <w:r w:rsidR="002A0EE4">
        <w:rPr>
          <w:rFonts w:ascii="Times" w:hAnsi="Times"/>
          <w:lang w:val="en-US"/>
        </w:rPr>
        <w:t xml:space="preserve"> were reported</w:t>
      </w:r>
      <w:r w:rsidR="00920A14">
        <w:rPr>
          <w:rFonts w:ascii="Times" w:hAnsi="Times"/>
          <w:lang w:val="en-US"/>
        </w:rPr>
        <w:t>.</w:t>
      </w:r>
      <w:bookmarkEnd w:id="0"/>
    </w:p>
    <w:p w14:paraId="644E846B" w14:textId="333AD776" w:rsidR="008E5F9B" w:rsidRDefault="008E5F9B" w:rsidP="009A2F16">
      <w:pPr>
        <w:spacing w:line="360" w:lineRule="auto"/>
        <w:jc w:val="both"/>
        <w:rPr>
          <w:rFonts w:ascii="Times" w:hAnsi="Times"/>
          <w:lang w:val="en-US"/>
        </w:rPr>
      </w:pPr>
    </w:p>
    <w:p w14:paraId="41B52CC5" w14:textId="0FB967A5" w:rsidR="0022589D" w:rsidRDefault="00F460D2" w:rsidP="7FBC0748">
      <w:pPr>
        <w:spacing w:line="360" w:lineRule="auto"/>
        <w:jc w:val="both"/>
        <w:rPr>
          <w:rFonts w:ascii="Times" w:hAnsi="Times"/>
          <w:lang w:val="en-US"/>
        </w:rPr>
      </w:pPr>
      <w:r w:rsidRPr="7FBC0748">
        <w:rPr>
          <w:rFonts w:ascii="Times" w:hAnsi="Times"/>
          <w:lang w:val="en-US"/>
        </w:rPr>
        <w:t xml:space="preserve">Midazolam metabolic ratio showed </w:t>
      </w:r>
      <w:r w:rsidR="4454BCE4" w:rsidRPr="7FBC0748">
        <w:rPr>
          <w:rFonts w:ascii="Times" w:hAnsi="Times"/>
          <w:lang w:val="en-US"/>
        </w:rPr>
        <w:t>inconclusive results</w:t>
      </w:r>
      <w:r w:rsidRPr="7FBC0748">
        <w:rPr>
          <w:rFonts w:ascii="Times" w:hAnsi="Times"/>
          <w:lang w:val="en-US"/>
        </w:rPr>
        <w:t xml:space="preserve"> after three and 12 weeks of anti-IL-6R therapy compared to baseline</w:t>
      </w:r>
      <w:r w:rsidR="3656C087" w:rsidRPr="7FBC0748">
        <w:rPr>
          <w:rFonts w:ascii="Times" w:hAnsi="Times"/>
          <w:lang w:val="en-US"/>
        </w:rPr>
        <w:t>, due to the limited sample size</w:t>
      </w:r>
      <w:r w:rsidR="01038954" w:rsidRPr="7FBC0748">
        <w:rPr>
          <w:rFonts w:ascii="Times" w:hAnsi="Times"/>
          <w:lang w:val="en-US"/>
        </w:rPr>
        <w:t>;</w:t>
      </w:r>
      <w:r w:rsidRPr="7FBC0748">
        <w:rPr>
          <w:rFonts w:ascii="Times" w:hAnsi="Times"/>
          <w:lang w:val="en-US"/>
        </w:rPr>
        <w:t xml:space="preserve"> </w:t>
      </w:r>
      <w:r w:rsidR="00A3F84B" w:rsidRPr="7FBC0748">
        <w:rPr>
          <w:rFonts w:ascii="Times" w:hAnsi="Times"/>
          <w:lang w:val="en-US"/>
        </w:rPr>
        <w:t>a</w:t>
      </w:r>
      <w:r w:rsidR="00C96E30" w:rsidRPr="7FBC0748">
        <w:rPr>
          <w:rFonts w:ascii="Times" w:hAnsi="Times"/>
          <w:lang w:val="en-US"/>
        </w:rPr>
        <w:t>t baseline, t</w:t>
      </w:r>
      <w:r w:rsidR="009441FA" w:rsidRPr="7FBC0748">
        <w:rPr>
          <w:rFonts w:ascii="Times" w:hAnsi="Times"/>
          <w:lang w:val="en-US"/>
        </w:rPr>
        <w:t xml:space="preserve">he </w:t>
      </w:r>
      <w:r w:rsidR="00EB45DE" w:rsidRPr="7FBC0748">
        <w:rPr>
          <w:rFonts w:ascii="Times" w:hAnsi="Times"/>
          <w:lang w:val="en-US"/>
        </w:rPr>
        <w:t xml:space="preserve">median </w:t>
      </w:r>
      <w:r w:rsidR="009441FA" w:rsidRPr="7FBC0748">
        <w:rPr>
          <w:rFonts w:ascii="Times" w:hAnsi="Times"/>
          <w:lang w:val="en-US"/>
        </w:rPr>
        <w:t>midazolam metabolic ratio (</w:t>
      </w:r>
      <w:r w:rsidR="00142841" w:rsidRPr="7FBC0748">
        <w:rPr>
          <w:rFonts w:ascii="Times" w:hAnsi="Times"/>
          <w:lang w:val="en-US"/>
        </w:rPr>
        <w:t>[</w:t>
      </w:r>
      <w:r w:rsidR="00920A14" w:rsidRPr="7FBC0748">
        <w:rPr>
          <w:rFonts w:ascii="Times" w:hAnsi="Times"/>
          <w:lang w:val="en-US"/>
        </w:rPr>
        <w:t>m</w:t>
      </w:r>
      <w:r w:rsidR="00142841" w:rsidRPr="7FBC0748">
        <w:rPr>
          <w:rFonts w:ascii="Times" w:hAnsi="Times"/>
          <w:lang w:val="en-US"/>
        </w:rPr>
        <w:t xml:space="preserve">id]/[OH-mid]) was </w:t>
      </w:r>
      <w:r w:rsidR="00EB45DE" w:rsidRPr="7FBC0748">
        <w:rPr>
          <w:rFonts w:ascii="Times" w:hAnsi="Times"/>
          <w:lang w:val="en-US"/>
        </w:rPr>
        <w:t>0.12 (IQR: 0.09-0.13)</w:t>
      </w:r>
      <w:r w:rsidR="00A05F13" w:rsidRPr="7FBC0748">
        <w:rPr>
          <w:rFonts w:ascii="Times" w:hAnsi="Times"/>
          <w:lang w:val="en-US"/>
        </w:rPr>
        <w:t xml:space="preserve"> and </w:t>
      </w:r>
      <w:r w:rsidRPr="7FBC0748">
        <w:rPr>
          <w:rFonts w:ascii="Times" w:hAnsi="Times"/>
          <w:lang w:val="en-US"/>
        </w:rPr>
        <w:t xml:space="preserve">was slightly </w:t>
      </w:r>
      <w:r w:rsidR="00FF06B7" w:rsidRPr="7FBC0748">
        <w:rPr>
          <w:rFonts w:ascii="Times" w:hAnsi="Times"/>
          <w:lang w:val="en-US"/>
        </w:rPr>
        <w:t>decrease</w:t>
      </w:r>
      <w:r w:rsidRPr="7FBC0748">
        <w:rPr>
          <w:rFonts w:ascii="Times" w:hAnsi="Times"/>
          <w:lang w:val="en-US"/>
        </w:rPr>
        <w:t>d</w:t>
      </w:r>
      <w:r w:rsidR="00FF06B7" w:rsidRPr="7FBC0748">
        <w:rPr>
          <w:rFonts w:ascii="Times" w:hAnsi="Times"/>
          <w:lang w:val="en-US"/>
        </w:rPr>
        <w:t xml:space="preserve"> </w:t>
      </w:r>
      <w:r w:rsidR="00142841" w:rsidRPr="7FBC0748">
        <w:rPr>
          <w:rFonts w:ascii="Times" w:hAnsi="Times"/>
          <w:lang w:val="en-US"/>
        </w:rPr>
        <w:t xml:space="preserve">after </w:t>
      </w:r>
      <w:r w:rsidR="00DB3689" w:rsidRPr="7FBC0748">
        <w:rPr>
          <w:rFonts w:ascii="Times" w:hAnsi="Times"/>
          <w:lang w:val="en-US"/>
        </w:rPr>
        <w:t>three</w:t>
      </w:r>
      <w:r w:rsidR="00142841" w:rsidRPr="7FBC0748">
        <w:rPr>
          <w:rFonts w:ascii="Times" w:hAnsi="Times"/>
          <w:lang w:val="en-US"/>
        </w:rPr>
        <w:t xml:space="preserve"> weeks</w:t>
      </w:r>
      <w:r w:rsidR="00544560" w:rsidRPr="7FBC0748">
        <w:rPr>
          <w:rFonts w:ascii="Times" w:hAnsi="Times"/>
          <w:lang w:val="en-US"/>
        </w:rPr>
        <w:t xml:space="preserve"> </w:t>
      </w:r>
      <w:r w:rsidRPr="7FBC0748">
        <w:rPr>
          <w:rFonts w:ascii="Times" w:hAnsi="Times"/>
          <w:lang w:val="en-US"/>
        </w:rPr>
        <w:t xml:space="preserve">to </w:t>
      </w:r>
      <w:r w:rsidR="00C87E9F" w:rsidRPr="7FBC0748">
        <w:rPr>
          <w:rFonts w:ascii="Times" w:hAnsi="Times"/>
          <w:lang w:val="en-US"/>
        </w:rPr>
        <w:t xml:space="preserve">a </w:t>
      </w:r>
      <w:r w:rsidR="00A05F13" w:rsidRPr="7FBC0748">
        <w:rPr>
          <w:rFonts w:ascii="Times" w:hAnsi="Times"/>
          <w:lang w:val="en-US"/>
        </w:rPr>
        <w:t>median 0.08 (IQR</w:t>
      </w:r>
      <w:r w:rsidR="00544560" w:rsidRPr="7FBC0748">
        <w:rPr>
          <w:rFonts w:ascii="Times" w:hAnsi="Times"/>
          <w:lang w:val="en-US"/>
        </w:rPr>
        <w:t>: 0.07-0.09;</w:t>
      </w:r>
      <w:r w:rsidR="00142841" w:rsidRPr="7FBC0748">
        <w:rPr>
          <w:rFonts w:ascii="Times" w:hAnsi="Times"/>
          <w:lang w:val="en-US"/>
        </w:rPr>
        <w:t xml:space="preserve"> </w:t>
      </w:r>
      <w:r w:rsidR="00B34EA8" w:rsidRPr="7FBC0748">
        <w:rPr>
          <w:rFonts w:ascii="Times" w:hAnsi="Times"/>
          <w:lang w:val="en-US"/>
        </w:rPr>
        <w:t>GMR</w:t>
      </w:r>
      <w:r w:rsidR="002C27B0" w:rsidRPr="7FBC0748">
        <w:rPr>
          <w:rFonts w:ascii="Times" w:hAnsi="Times"/>
          <w:lang w:val="en-US"/>
        </w:rPr>
        <w:t>:</w:t>
      </w:r>
      <w:r w:rsidR="00B34EA8" w:rsidRPr="7FBC0748">
        <w:rPr>
          <w:rFonts w:ascii="Times" w:hAnsi="Times"/>
          <w:lang w:val="en-US"/>
        </w:rPr>
        <w:t xml:space="preserve"> 0.82, 95% CI</w:t>
      </w:r>
      <w:r w:rsidR="002C27B0" w:rsidRPr="7FBC0748">
        <w:rPr>
          <w:rFonts w:ascii="Times" w:hAnsi="Times"/>
          <w:lang w:val="en-US"/>
        </w:rPr>
        <w:t>:</w:t>
      </w:r>
      <w:r w:rsidR="00B34EA8" w:rsidRPr="7FBC0748">
        <w:rPr>
          <w:rFonts w:ascii="Times" w:hAnsi="Times"/>
          <w:lang w:val="en-US"/>
        </w:rPr>
        <w:t xml:space="preserve"> 0.47-1.44</w:t>
      </w:r>
      <w:r w:rsidR="00DB3689" w:rsidRPr="7FBC0748">
        <w:rPr>
          <w:rFonts w:ascii="Times" w:hAnsi="Times"/>
          <w:lang w:val="en-US"/>
        </w:rPr>
        <w:t>)</w:t>
      </w:r>
      <w:r w:rsidR="00FF06B7" w:rsidRPr="7FBC0748">
        <w:rPr>
          <w:rFonts w:ascii="Times" w:hAnsi="Times"/>
          <w:lang w:val="en-US"/>
        </w:rPr>
        <w:t>. At 12</w:t>
      </w:r>
      <w:r w:rsidR="00DB3689" w:rsidRPr="7FBC0748">
        <w:rPr>
          <w:rFonts w:ascii="Times" w:hAnsi="Times"/>
          <w:lang w:val="en-US"/>
        </w:rPr>
        <w:t xml:space="preserve"> weeks</w:t>
      </w:r>
      <w:r w:rsidR="00FF06B7" w:rsidRPr="7FBC0748">
        <w:rPr>
          <w:rFonts w:ascii="Times" w:hAnsi="Times"/>
          <w:lang w:val="en-US"/>
        </w:rPr>
        <w:t>, [mid]/[OH-mid] once again approach</w:t>
      </w:r>
      <w:r w:rsidRPr="7FBC0748">
        <w:rPr>
          <w:rFonts w:ascii="Times" w:hAnsi="Times"/>
          <w:lang w:val="en-US"/>
        </w:rPr>
        <w:t>ed</w:t>
      </w:r>
      <w:r w:rsidR="00FF06B7" w:rsidRPr="7FBC0748">
        <w:rPr>
          <w:rFonts w:ascii="Times" w:hAnsi="Times"/>
          <w:lang w:val="en-US"/>
        </w:rPr>
        <w:t xml:space="preserve"> baseline levels</w:t>
      </w:r>
      <w:r w:rsidR="00DB3689" w:rsidRPr="7FBC0748">
        <w:rPr>
          <w:rFonts w:ascii="Times" w:hAnsi="Times"/>
          <w:lang w:val="en-US"/>
        </w:rPr>
        <w:t xml:space="preserve"> (</w:t>
      </w:r>
      <w:r w:rsidR="00B218AF" w:rsidRPr="7FBC0748">
        <w:rPr>
          <w:rFonts w:ascii="Times" w:hAnsi="Times"/>
          <w:lang w:val="en-US"/>
        </w:rPr>
        <w:t xml:space="preserve">median 0.15 (IQR: 0.11-0.15); </w:t>
      </w:r>
      <w:r w:rsidR="00DB3689" w:rsidRPr="7FBC0748">
        <w:rPr>
          <w:rFonts w:ascii="Times" w:hAnsi="Times"/>
          <w:lang w:val="en-US"/>
        </w:rPr>
        <w:t>GMR</w:t>
      </w:r>
      <w:r w:rsidR="002C27B0" w:rsidRPr="7FBC0748">
        <w:rPr>
          <w:rFonts w:ascii="Times" w:hAnsi="Times"/>
          <w:lang w:val="en-US"/>
        </w:rPr>
        <w:t>:</w:t>
      </w:r>
      <w:r w:rsidR="00DB3689" w:rsidRPr="7FBC0748">
        <w:rPr>
          <w:rFonts w:ascii="Times" w:hAnsi="Times"/>
          <w:lang w:val="en-US"/>
        </w:rPr>
        <w:t xml:space="preserve"> 1.16, 95%</w:t>
      </w:r>
      <w:r w:rsidR="008703C1" w:rsidRPr="7FBC0748">
        <w:rPr>
          <w:rFonts w:ascii="Times" w:hAnsi="Times"/>
          <w:lang w:val="en-US"/>
        </w:rPr>
        <w:t xml:space="preserve"> CI: 0.86-1.57).</w:t>
      </w:r>
      <w:r w:rsidRPr="7FBC0748">
        <w:rPr>
          <w:rFonts w:ascii="Times" w:hAnsi="Times"/>
          <w:lang w:val="en-US"/>
        </w:rPr>
        <w:t xml:space="preserve"> </w:t>
      </w:r>
      <w:r w:rsidR="00FF06B7" w:rsidRPr="7FBC0748">
        <w:rPr>
          <w:rFonts w:ascii="Times" w:hAnsi="Times"/>
          <w:lang w:val="en-US"/>
        </w:rPr>
        <w:t>In line, t</w:t>
      </w:r>
      <w:r w:rsidR="00833355" w:rsidRPr="7FBC0748">
        <w:rPr>
          <w:rFonts w:ascii="Times" w:hAnsi="Times"/>
          <w:lang w:val="en-US"/>
        </w:rPr>
        <w:t xml:space="preserve">he individual </w:t>
      </w:r>
      <w:r w:rsidR="00AD587B" w:rsidRPr="7FBC0748">
        <w:rPr>
          <w:rFonts w:ascii="Times" w:hAnsi="Times"/>
          <w:lang w:val="en-US"/>
        </w:rPr>
        <w:t>pharmacokinetic metrics indicate</w:t>
      </w:r>
      <w:r w:rsidRPr="7FBC0748">
        <w:rPr>
          <w:rFonts w:ascii="Times" w:hAnsi="Times"/>
          <w:lang w:val="en-US"/>
        </w:rPr>
        <w:t>d</w:t>
      </w:r>
      <w:r w:rsidR="00AD587B" w:rsidRPr="7FBC0748">
        <w:rPr>
          <w:rFonts w:ascii="Times" w:hAnsi="Times"/>
          <w:lang w:val="en-US"/>
        </w:rPr>
        <w:t xml:space="preserve"> </w:t>
      </w:r>
      <w:r w:rsidR="762D2EA3" w:rsidRPr="7FBC0748">
        <w:rPr>
          <w:rFonts w:ascii="Times" w:hAnsi="Times"/>
          <w:lang w:val="en-US"/>
        </w:rPr>
        <w:t xml:space="preserve">a weak </w:t>
      </w:r>
      <w:r w:rsidR="00B218AF" w:rsidRPr="7FBC0748">
        <w:rPr>
          <w:rFonts w:ascii="Times" w:hAnsi="Times"/>
          <w:lang w:val="en-US"/>
        </w:rPr>
        <w:t>increase</w:t>
      </w:r>
      <w:r w:rsidR="15E7A0FC" w:rsidRPr="7FBC0748">
        <w:rPr>
          <w:rFonts w:ascii="Times" w:hAnsi="Times"/>
          <w:lang w:val="en-US"/>
        </w:rPr>
        <w:t xml:space="preserve"> in</w:t>
      </w:r>
      <w:r w:rsidR="00AD587B" w:rsidRPr="7FBC0748">
        <w:rPr>
          <w:rFonts w:ascii="Times" w:hAnsi="Times"/>
          <w:lang w:val="en-US"/>
        </w:rPr>
        <w:t xml:space="preserve"> CYP3A4 activity</w:t>
      </w:r>
      <w:r w:rsidR="00421ABB" w:rsidRPr="7FBC0748">
        <w:rPr>
          <w:rFonts w:ascii="Times" w:hAnsi="Times"/>
          <w:lang w:val="en-US"/>
        </w:rPr>
        <w:t xml:space="preserve"> </w:t>
      </w:r>
      <w:r w:rsidR="00303C21" w:rsidRPr="7FBC0748">
        <w:rPr>
          <w:rFonts w:ascii="Times" w:hAnsi="Times"/>
          <w:lang w:val="en-US"/>
        </w:rPr>
        <w:t xml:space="preserve">after </w:t>
      </w:r>
      <w:r w:rsidR="00EA1979" w:rsidRPr="7FBC0748">
        <w:rPr>
          <w:rFonts w:ascii="Times" w:hAnsi="Times"/>
          <w:lang w:val="en-US"/>
        </w:rPr>
        <w:t>three</w:t>
      </w:r>
      <w:r w:rsidR="00421ABB" w:rsidRPr="7FBC0748">
        <w:rPr>
          <w:rFonts w:ascii="Times" w:hAnsi="Times"/>
          <w:lang w:val="en-US"/>
        </w:rPr>
        <w:t xml:space="preserve"> weeks of anti-IL-6R therapy</w:t>
      </w:r>
      <w:r w:rsidR="0078126F" w:rsidRPr="7FBC0748">
        <w:rPr>
          <w:rFonts w:ascii="Times" w:hAnsi="Times"/>
          <w:lang w:val="en-US"/>
        </w:rPr>
        <w:t>. M</w:t>
      </w:r>
      <w:r w:rsidR="00735977" w:rsidRPr="7FBC0748">
        <w:rPr>
          <w:rFonts w:ascii="Times" w:hAnsi="Times"/>
          <w:lang w:val="en-US"/>
        </w:rPr>
        <w:t xml:space="preserve">idazolam </w:t>
      </w:r>
      <w:r w:rsidR="0078126F" w:rsidRPr="7FBC0748">
        <w:rPr>
          <w:rFonts w:ascii="Times" w:hAnsi="Times"/>
          <w:lang w:val="en-US"/>
        </w:rPr>
        <w:t>area under the plasma concentration curve (</w:t>
      </w:r>
      <w:r w:rsidR="00421ABB" w:rsidRPr="7FBC0748">
        <w:rPr>
          <w:rFonts w:ascii="Times" w:hAnsi="Times"/>
          <w:lang w:val="en-US"/>
        </w:rPr>
        <w:t>AUC</w:t>
      </w:r>
      <w:r w:rsidR="0078126F" w:rsidRPr="7FBC0748">
        <w:rPr>
          <w:rFonts w:ascii="Times" w:hAnsi="Times"/>
          <w:lang w:val="en-US"/>
        </w:rPr>
        <w:t xml:space="preserve">) from </w:t>
      </w:r>
      <w:r w:rsidR="00AE5D0C" w:rsidRPr="7FBC0748">
        <w:rPr>
          <w:rFonts w:ascii="Times" w:hAnsi="Times"/>
          <w:lang w:val="en-US"/>
        </w:rPr>
        <w:t>0-</w:t>
      </w:r>
      <w:r w:rsidR="00AE5D0C" w:rsidRPr="7FBC0748">
        <w:rPr>
          <w:rFonts w:ascii="Symbol" w:eastAsia="Symbol" w:hAnsi="Symbol" w:cs="Symbol"/>
          <w:lang w:val="en-US"/>
        </w:rPr>
        <w:t></w:t>
      </w:r>
      <w:r w:rsidR="007C1F5C" w:rsidRPr="7FBC0748">
        <w:rPr>
          <w:rFonts w:ascii="Times" w:hAnsi="Times"/>
          <w:lang w:val="en-US"/>
        </w:rPr>
        <w:t xml:space="preserve"> decreased by 20% (GMR: 0.80, 95% CI: 0.64-0.99</w:t>
      </w:r>
      <w:r w:rsidR="00BC51AA" w:rsidRPr="7FBC0748">
        <w:rPr>
          <w:rFonts w:ascii="Times" w:hAnsi="Times"/>
          <w:lang w:val="en-US"/>
        </w:rPr>
        <w:t>)</w:t>
      </w:r>
      <w:r w:rsidR="0091751C" w:rsidRPr="7FBC0748">
        <w:rPr>
          <w:rFonts w:ascii="Times" w:hAnsi="Times"/>
          <w:lang w:val="en-US"/>
        </w:rPr>
        <w:t>,</w:t>
      </w:r>
      <w:r w:rsidR="00BC51AA" w:rsidRPr="7FBC0748">
        <w:rPr>
          <w:rFonts w:ascii="Times" w:hAnsi="Times"/>
          <w:lang w:val="en-US"/>
        </w:rPr>
        <w:t xml:space="preserve"> and maximum plasma concentration (C</w:t>
      </w:r>
      <w:r w:rsidR="00BC51AA" w:rsidRPr="7FBC0748">
        <w:rPr>
          <w:rFonts w:ascii="Times" w:hAnsi="Times"/>
          <w:vertAlign w:val="subscript"/>
          <w:lang w:val="en-US"/>
        </w:rPr>
        <w:t>max</w:t>
      </w:r>
      <w:r w:rsidR="00BC51AA" w:rsidRPr="7FBC0748">
        <w:rPr>
          <w:rFonts w:ascii="Times" w:hAnsi="Times"/>
          <w:lang w:val="en-US"/>
        </w:rPr>
        <w:t>) decreased by</w:t>
      </w:r>
      <w:r w:rsidR="000D6CF5" w:rsidRPr="7FBC0748">
        <w:rPr>
          <w:rFonts w:ascii="Times" w:hAnsi="Times"/>
          <w:lang w:val="en-US"/>
        </w:rPr>
        <w:t xml:space="preserve"> 42%</w:t>
      </w:r>
      <w:r w:rsidR="0091751C" w:rsidRPr="7FBC0748">
        <w:rPr>
          <w:rFonts w:ascii="Times" w:hAnsi="Times"/>
          <w:lang w:val="en-US"/>
        </w:rPr>
        <w:t xml:space="preserve"> (</w:t>
      </w:r>
      <w:r w:rsidR="008F227A" w:rsidRPr="7FBC0748">
        <w:rPr>
          <w:rFonts w:ascii="Times" w:hAnsi="Times"/>
          <w:lang w:val="en-US"/>
        </w:rPr>
        <w:t>GMR</w:t>
      </w:r>
      <w:r w:rsidR="009E419A" w:rsidRPr="7FBC0748">
        <w:rPr>
          <w:rFonts w:ascii="Times" w:hAnsi="Times"/>
          <w:lang w:val="en-US"/>
        </w:rPr>
        <w:t>:</w:t>
      </w:r>
      <w:r w:rsidR="008F227A" w:rsidRPr="7FBC0748">
        <w:rPr>
          <w:rFonts w:ascii="Times" w:hAnsi="Times"/>
          <w:lang w:val="en-US"/>
        </w:rPr>
        <w:t xml:space="preserve"> </w:t>
      </w:r>
      <w:r w:rsidR="00735977" w:rsidRPr="7FBC0748">
        <w:rPr>
          <w:rFonts w:ascii="Times" w:hAnsi="Times"/>
          <w:lang w:val="en-US"/>
        </w:rPr>
        <w:t>0.58, 95% CI</w:t>
      </w:r>
      <w:r w:rsidR="00A736F7" w:rsidRPr="7FBC0748">
        <w:rPr>
          <w:rFonts w:ascii="Times" w:hAnsi="Times"/>
          <w:lang w:val="en-US"/>
        </w:rPr>
        <w:t>:</w:t>
      </w:r>
      <w:r w:rsidR="00735977" w:rsidRPr="7FBC0748">
        <w:rPr>
          <w:rFonts w:ascii="Times" w:hAnsi="Times"/>
          <w:lang w:val="en-US"/>
        </w:rPr>
        <w:t xml:space="preserve"> 0.37-0.91)</w:t>
      </w:r>
      <w:r w:rsidR="00906DA9" w:rsidRPr="7FBC0748">
        <w:rPr>
          <w:rFonts w:ascii="Times" w:hAnsi="Times"/>
          <w:lang w:val="en-US"/>
        </w:rPr>
        <w:t xml:space="preserve"> (</w:t>
      </w:r>
      <w:r w:rsidR="00906DA9" w:rsidRPr="7FBC0748">
        <w:rPr>
          <w:rFonts w:ascii="Times" w:hAnsi="Times"/>
          <w:b/>
          <w:bCs/>
          <w:lang w:val="en-US"/>
        </w:rPr>
        <w:t>Figure 2</w:t>
      </w:r>
      <w:r w:rsidR="00906DA9" w:rsidRPr="7FBC0748">
        <w:rPr>
          <w:rFonts w:ascii="Times" w:hAnsi="Times"/>
          <w:lang w:val="en-US"/>
        </w:rPr>
        <w:t>)</w:t>
      </w:r>
      <w:r w:rsidR="00344347" w:rsidRPr="7FBC0748">
        <w:rPr>
          <w:rFonts w:ascii="Times" w:hAnsi="Times"/>
          <w:lang w:val="en-US"/>
        </w:rPr>
        <w:t>. Following 12 weeks of repeated anti-IL-6R therapy</w:t>
      </w:r>
      <w:r w:rsidR="009A3B39" w:rsidRPr="7FBC0748">
        <w:rPr>
          <w:rFonts w:ascii="Times" w:hAnsi="Times"/>
          <w:lang w:val="en-US"/>
        </w:rPr>
        <w:t>,</w:t>
      </w:r>
      <w:r w:rsidR="00542680" w:rsidRPr="7FBC0748">
        <w:rPr>
          <w:rFonts w:ascii="Times" w:hAnsi="Times"/>
          <w:lang w:val="en-US"/>
        </w:rPr>
        <w:t xml:space="preserve"> </w:t>
      </w:r>
      <w:r w:rsidR="0091751C" w:rsidRPr="7FBC0748">
        <w:rPr>
          <w:rFonts w:ascii="Times" w:hAnsi="Times"/>
          <w:lang w:val="en-US"/>
        </w:rPr>
        <w:t xml:space="preserve">the </w:t>
      </w:r>
      <w:r w:rsidR="00542680" w:rsidRPr="7FBC0748">
        <w:rPr>
          <w:rFonts w:ascii="Times" w:hAnsi="Times"/>
          <w:lang w:val="en-US"/>
        </w:rPr>
        <w:t xml:space="preserve">effect </w:t>
      </w:r>
      <w:r w:rsidR="009A3B39" w:rsidRPr="7FBC0748">
        <w:rPr>
          <w:rFonts w:ascii="Times" w:hAnsi="Times"/>
          <w:lang w:val="en-US"/>
        </w:rPr>
        <w:t xml:space="preserve">seems </w:t>
      </w:r>
      <w:r w:rsidR="00542680" w:rsidRPr="7FBC0748">
        <w:rPr>
          <w:rFonts w:ascii="Times" w:hAnsi="Times"/>
          <w:lang w:val="en-US"/>
        </w:rPr>
        <w:t>diminished</w:t>
      </w:r>
      <w:r w:rsidR="00F77911" w:rsidRPr="7FBC0748">
        <w:rPr>
          <w:rFonts w:ascii="Times" w:hAnsi="Times"/>
          <w:lang w:val="en-US"/>
        </w:rPr>
        <w:t>,</w:t>
      </w:r>
      <w:r w:rsidR="00542680" w:rsidRPr="7FBC0748">
        <w:rPr>
          <w:rFonts w:ascii="Times" w:hAnsi="Times"/>
          <w:lang w:val="en-US"/>
        </w:rPr>
        <w:t xml:space="preserve"> </w:t>
      </w:r>
      <w:r w:rsidR="0091751C" w:rsidRPr="7FBC0748">
        <w:rPr>
          <w:rFonts w:ascii="Times" w:hAnsi="Times"/>
          <w:lang w:val="en-US"/>
        </w:rPr>
        <w:t xml:space="preserve">and </w:t>
      </w:r>
      <w:r w:rsidR="00344347" w:rsidRPr="7FBC0748">
        <w:rPr>
          <w:rFonts w:ascii="Times" w:hAnsi="Times"/>
          <w:lang w:val="en-US"/>
        </w:rPr>
        <w:t>both</w:t>
      </w:r>
      <w:r w:rsidR="008D4598" w:rsidRPr="7FBC0748">
        <w:rPr>
          <w:rFonts w:ascii="Times" w:hAnsi="Times"/>
          <w:lang w:val="en-US"/>
        </w:rPr>
        <w:t xml:space="preserve"> </w:t>
      </w:r>
      <w:r w:rsidR="00344347" w:rsidRPr="7FBC0748">
        <w:rPr>
          <w:rFonts w:ascii="Times" w:hAnsi="Times"/>
          <w:lang w:val="en-US"/>
        </w:rPr>
        <w:t>AUC</w:t>
      </w:r>
      <w:r w:rsidR="00344347" w:rsidRPr="7FBC0748">
        <w:rPr>
          <w:rFonts w:ascii="Times" w:hAnsi="Times"/>
          <w:vertAlign w:val="subscript"/>
          <w:lang w:val="en-US"/>
        </w:rPr>
        <w:t>0-</w:t>
      </w:r>
      <w:r w:rsidR="00344347" w:rsidRPr="7FBC0748">
        <w:rPr>
          <w:rFonts w:ascii="Symbol" w:eastAsia="Symbol" w:hAnsi="Symbol" w:cs="Symbol"/>
          <w:vertAlign w:val="subscript"/>
          <w:lang w:val="en-US"/>
        </w:rPr>
        <w:t></w:t>
      </w:r>
      <w:r w:rsidR="00344347" w:rsidRPr="7FBC0748">
        <w:rPr>
          <w:rFonts w:ascii="Times" w:hAnsi="Times"/>
          <w:lang w:val="en-US"/>
        </w:rPr>
        <w:t xml:space="preserve"> and C</w:t>
      </w:r>
      <w:r w:rsidR="00344347" w:rsidRPr="7FBC0748">
        <w:rPr>
          <w:rFonts w:ascii="Times" w:hAnsi="Times"/>
          <w:vertAlign w:val="subscript"/>
          <w:lang w:val="en-US"/>
        </w:rPr>
        <w:t>max</w:t>
      </w:r>
      <w:r w:rsidR="00735977" w:rsidRPr="7FBC0748">
        <w:rPr>
          <w:rFonts w:ascii="Times" w:hAnsi="Times"/>
          <w:lang w:val="en-US"/>
        </w:rPr>
        <w:t xml:space="preserve"> </w:t>
      </w:r>
      <w:r w:rsidR="008D4598" w:rsidRPr="7FBC0748">
        <w:rPr>
          <w:rFonts w:ascii="Times" w:hAnsi="Times"/>
          <w:lang w:val="en-US"/>
        </w:rPr>
        <w:t>returned to the baseline level</w:t>
      </w:r>
      <w:r w:rsidR="00542680" w:rsidRPr="7FBC0748">
        <w:rPr>
          <w:rFonts w:ascii="Times" w:hAnsi="Times"/>
          <w:lang w:val="en-US"/>
        </w:rPr>
        <w:t xml:space="preserve"> (</w:t>
      </w:r>
      <w:r w:rsidR="00905C0F" w:rsidRPr="7FBC0748">
        <w:rPr>
          <w:rFonts w:ascii="Times" w:hAnsi="Times"/>
          <w:lang w:val="en-US"/>
        </w:rPr>
        <w:t>AUC</w:t>
      </w:r>
      <w:r w:rsidR="00905C0F" w:rsidRPr="7FBC0748">
        <w:rPr>
          <w:rFonts w:ascii="Times" w:hAnsi="Times"/>
          <w:vertAlign w:val="subscript"/>
          <w:lang w:val="en-US"/>
        </w:rPr>
        <w:t>0-</w:t>
      </w:r>
      <w:r w:rsidR="00905C0F" w:rsidRPr="7FBC0748">
        <w:rPr>
          <w:rFonts w:ascii="Symbol" w:eastAsia="Symbol" w:hAnsi="Symbol" w:cs="Symbol"/>
          <w:vertAlign w:val="subscript"/>
          <w:lang w:val="en-US"/>
        </w:rPr>
        <w:t></w:t>
      </w:r>
      <w:r w:rsidR="00905C0F" w:rsidRPr="7FBC0748">
        <w:rPr>
          <w:rFonts w:ascii="Times" w:hAnsi="Times"/>
          <w:lang w:val="en-US"/>
        </w:rPr>
        <w:t xml:space="preserve"> </w:t>
      </w:r>
      <w:r w:rsidR="008D4598" w:rsidRPr="7FBC0748">
        <w:rPr>
          <w:rFonts w:ascii="Times" w:hAnsi="Times"/>
          <w:lang w:val="en-US"/>
        </w:rPr>
        <w:t>GMR</w:t>
      </w:r>
      <w:r w:rsidR="009E419A" w:rsidRPr="7FBC0748">
        <w:rPr>
          <w:rFonts w:ascii="Times" w:hAnsi="Times"/>
          <w:lang w:val="en-US"/>
        </w:rPr>
        <w:t>:</w:t>
      </w:r>
      <w:r w:rsidR="00905C0F" w:rsidRPr="7FBC0748">
        <w:rPr>
          <w:rFonts w:ascii="Times" w:hAnsi="Times"/>
          <w:lang w:val="en-US"/>
        </w:rPr>
        <w:t xml:space="preserve"> </w:t>
      </w:r>
      <w:r w:rsidR="00F353B9" w:rsidRPr="7FBC0748">
        <w:rPr>
          <w:rFonts w:ascii="Times" w:hAnsi="Times" w:cs="Calibri"/>
          <w:color w:val="000000" w:themeColor="text1"/>
          <w:lang w:val="en-US"/>
        </w:rPr>
        <w:t>1.02, 95% CI</w:t>
      </w:r>
      <w:r w:rsidR="002823A8" w:rsidRPr="7FBC0748">
        <w:rPr>
          <w:rFonts w:ascii="Times" w:hAnsi="Times" w:cs="Calibri"/>
          <w:color w:val="000000" w:themeColor="text1"/>
          <w:lang w:val="en-US"/>
        </w:rPr>
        <w:t>:</w:t>
      </w:r>
      <w:r w:rsidR="00F353B9" w:rsidRPr="7FBC0748">
        <w:rPr>
          <w:rFonts w:ascii="Times" w:hAnsi="Times" w:cs="Calibri"/>
          <w:color w:val="000000" w:themeColor="text1"/>
          <w:lang w:val="en-US"/>
        </w:rPr>
        <w:t xml:space="preserve"> 0.72-1.46 and </w:t>
      </w:r>
      <w:r w:rsidR="00F353B9" w:rsidRPr="7FBC0748">
        <w:rPr>
          <w:rFonts w:ascii="Times" w:hAnsi="Times"/>
          <w:lang w:val="en-US"/>
        </w:rPr>
        <w:t>C</w:t>
      </w:r>
      <w:r w:rsidR="00F353B9" w:rsidRPr="7FBC0748">
        <w:rPr>
          <w:rFonts w:ascii="Times" w:hAnsi="Times"/>
          <w:vertAlign w:val="subscript"/>
          <w:lang w:val="en-US"/>
        </w:rPr>
        <w:t xml:space="preserve">max </w:t>
      </w:r>
      <w:r w:rsidR="00F353B9" w:rsidRPr="7FBC0748">
        <w:rPr>
          <w:rFonts w:ascii="Times" w:hAnsi="Times"/>
          <w:lang w:val="en-US"/>
        </w:rPr>
        <w:t>GMR</w:t>
      </w:r>
      <w:r w:rsidR="009E419A" w:rsidRPr="7FBC0748">
        <w:rPr>
          <w:rFonts w:ascii="Times" w:hAnsi="Times"/>
          <w:lang w:val="en-US"/>
        </w:rPr>
        <w:t>:</w:t>
      </w:r>
      <w:r w:rsidR="005C432E" w:rsidRPr="7FBC0748">
        <w:rPr>
          <w:rFonts w:ascii="Times" w:hAnsi="Times"/>
          <w:lang w:val="en-US"/>
        </w:rPr>
        <w:t xml:space="preserve"> </w:t>
      </w:r>
      <w:r w:rsidR="005C432E" w:rsidRPr="7FBC0748">
        <w:rPr>
          <w:rFonts w:ascii="Times" w:hAnsi="Times" w:cs="Calibri"/>
          <w:color w:val="000000" w:themeColor="text1"/>
          <w:lang w:val="en-US"/>
        </w:rPr>
        <w:t>1.03</w:t>
      </w:r>
      <w:r w:rsidR="00737831" w:rsidRPr="7FBC0748">
        <w:rPr>
          <w:rFonts w:ascii="Times" w:hAnsi="Times" w:cs="Calibri"/>
          <w:color w:val="000000" w:themeColor="text1"/>
          <w:lang w:val="en-US"/>
        </w:rPr>
        <w:t>, 95% CI</w:t>
      </w:r>
      <w:r w:rsidR="002823A8" w:rsidRPr="7FBC0748">
        <w:rPr>
          <w:rFonts w:ascii="Times" w:hAnsi="Times" w:cs="Calibri"/>
          <w:color w:val="000000" w:themeColor="text1"/>
          <w:lang w:val="en-US"/>
        </w:rPr>
        <w:t>:</w:t>
      </w:r>
      <w:r w:rsidR="00737831" w:rsidRPr="7FBC0748">
        <w:rPr>
          <w:rFonts w:ascii="Times" w:hAnsi="Times" w:cs="Calibri"/>
          <w:color w:val="000000" w:themeColor="text1"/>
          <w:lang w:val="en-US"/>
        </w:rPr>
        <w:t xml:space="preserve"> </w:t>
      </w:r>
      <w:r w:rsidR="005C432E" w:rsidRPr="7FBC0748">
        <w:rPr>
          <w:rFonts w:ascii="Times" w:hAnsi="Times" w:cs="Calibri"/>
          <w:color w:val="000000" w:themeColor="text1"/>
          <w:lang w:val="en-US"/>
        </w:rPr>
        <w:t>0.72-1.47</w:t>
      </w:r>
      <w:r w:rsidR="00542680" w:rsidRPr="7FBC0748">
        <w:rPr>
          <w:rFonts w:ascii="Times" w:hAnsi="Times" w:cs="Calibri"/>
          <w:color w:val="000000" w:themeColor="text1"/>
          <w:lang w:val="en-US"/>
        </w:rPr>
        <w:t>)</w:t>
      </w:r>
      <w:r w:rsidR="005C432E" w:rsidRPr="7FBC0748">
        <w:rPr>
          <w:rFonts w:ascii="Times" w:hAnsi="Times" w:cs="Calibri"/>
          <w:color w:val="000000" w:themeColor="text1"/>
          <w:lang w:val="en-US"/>
        </w:rPr>
        <w:t xml:space="preserve">. This observation was consistent </w:t>
      </w:r>
      <w:r w:rsidR="00F77911" w:rsidRPr="7FBC0748">
        <w:rPr>
          <w:rFonts w:ascii="Times" w:hAnsi="Times" w:cs="Calibri"/>
          <w:color w:val="000000" w:themeColor="text1"/>
          <w:lang w:val="en-US"/>
        </w:rPr>
        <w:t>for</w:t>
      </w:r>
      <w:r w:rsidR="005C432E" w:rsidRPr="7FBC0748">
        <w:rPr>
          <w:rFonts w:ascii="Times" w:hAnsi="Times" w:cs="Calibri"/>
          <w:color w:val="000000" w:themeColor="text1"/>
          <w:lang w:val="en-US"/>
        </w:rPr>
        <w:t xml:space="preserve"> all three trial subjects (</w:t>
      </w:r>
      <w:r w:rsidR="005C432E" w:rsidRPr="7FBC0748">
        <w:rPr>
          <w:rFonts w:ascii="Times" w:hAnsi="Times" w:cs="Calibri"/>
          <w:b/>
          <w:bCs/>
          <w:color w:val="000000" w:themeColor="text1"/>
          <w:lang w:val="en-US"/>
        </w:rPr>
        <w:t>Figure 2</w:t>
      </w:r>
      <w:r w:rsidR="00EE5281" w:rsidRPr="7FBC0748">
        <w:rPr>
          <w:rFonts w:ascii="Times" w:hAnsi="Times" w:cs="Calibri"/>
          <w:b/>
          <w:bCs/>
          <w:color w:val="000000" w:themeColor="text1"/>
          <w:lang w:val="en-US"/>
        </w:rPr>
        <w:t xml:space="preserve"> </w:t>
      </w:r>
      <w:r w:rsidR="00EE5281" w:rsidRPr="7FBC0748">
        <w:rPr>
          <w:rFonts w:ascii="Times" w:hAnsi="Times" w:cs="Calibri"/>
          <w:color w:val="000000" w:themeColor="text1"/>
          <w:lang w:val="en-US"/>
        </w:rPr>
        <w:t>and</w:t>
      </w:r>
      <w:r w:rsidR="00EE5281" w:rsidRPr="7FBC0748">
        <w:rPr>
          <w:rFonts w:ascii="Times" w:hAnsi="Times" w:cs="Calibri"/>
          <w:b/>
          <w:bCs/>
          <w:color w:val="000000" w:themeColor="text1"/>
          <w:lang w:val="en-US"/>
        </w:rPr>
        <w:t xml:space="preserve"> Table S1</w:t>
      </w:r>
      <w:r w:rsidR="005C432E" w:rsidRPr="7FBC0748">
        <w:rPr>
          <w:rFonts w:ascii="Times" w:hAnsi="Times" w:cs="Calibri"/>
          <w:color w:val="000000" w:themeColor="text1"/>
          <w:lang w:val="en-US"/>
        </w:rPr>
        <w:t xml:space="preserve">). </w:t>
      </w:r>
      <w:r w:rsidR="00DA5930" w:rsidRPr="7FBC0748">
        <w:rPr>
          <w:rFonts w:ascii="Times" w:hAnsi="Times"/>
          <w:lang w:val="en-US"/>
        </w:rPr>
        <w:t>For</w:t>
      </w:r>
      <w:r w:rsidR="00FC4CD8" w:rsidRPr="7FBC0748">
        <w:rPr>
          <w:rFonts w:ascii="Times" w:hAnsi="Times"/>
          <w:lang w:val="en-US"/>
        </w:rPr>
        <w:t xml:space="preserve"> caffeine (CYP1A2), efavire</w:t>
      </w:r>
      <w:r w:rsidR="00FD278C" w:rsidRPr="7FBC0748">
        <w:rPr>
          <w:rFonts w:ascii="Times" w:hAnsi="Times"/>
          <w:lang w:val="en-US"/>
        </w:rPr>
        <w:t>nz (CYP2B6), losartan (CYP2C9)</w:t>
      </w:r>
      <w:r w:rsidR="00DA5930" w:rsidRPr="7FBC0748">
        <w:rPr>
          <w:rFonts w:ascii="Times" w:hAnsi="Times"/>
          <w:lang w:val="en-US"/>
        </w:rPr>
        <w:t>,</w:t>
      </w:r>
      <w:r w:rsidR="00207BA0" w:rsidRPr="7FBC0748">
        <w:rPr>
          <w:rFonts w:ascii="Times" w:hAnsi="Times"/>
          <w:lang w:val="en-US"/>
        </w:rPr>
        <w:t xml:space="preserve"> and omeprazole (CYP2C19)</w:t>
      </w:r>
      <w:r w:rsidR="00804FA8" w:rsidRPr="7FBC0748">
        <w:rPr>
          <w:rFonts w:ascii="Times" w:hAnsi="Times"/>
          <w:lang w:val="en-US"/>
        </w:rPr>
        <w:t>,</w:t>
      </w:r>
      <w:r w:rsidR="00DA5930" w:rsidRPr="7FBC0748">
        <w:rPr>
          <w:rFonts w:ascii="Times" w:hAnsi="Times"/>
          <w:lang w:val="en-US"/>
        </w:rPr>
        <w:t xml:space="preserve"> the interindividual variation is too large to observe any patterns based on </w:t>
      </w:r>
      <w:r w:rsidR="00B902B2" w:rsidRPr="7FBC0748">
        <w:rPr>
          <w:rFonts w:ascii="Times" w:hAnsi="Times"/>
          <w:lang w:val="en-US"/>
        </w:rPr>
        <w:t>the small sample</w:t>
      </w:r>
      <w:r w:rsidR="009C45C0" w:rsidRPr="7FBC0748">
        <w:rPr>
          <w:rFonts w:ascii="Times" w:hAnsi="Times"/>
          <w:lang w:val="en-US"/>
        </w:rPr>
        <w:t xml:space="preserve"> size</w:t>
      </w:r>
      <w:r w:rsidR="005903AD" w:rsidRPr="7FBC0748">
        <w:rPr>
          <w:rFonts w:ascii="Times" w:hAnsi="Times"/>
          <w:lang w:val="en-US"/>
        </w:rPr>
        <w:t xml:space="preserve"> (</w:t>
      </w:r>
      <w:r w:rsidR="005903AD" w:rsidRPr="7FBC0748">
        <w:rPr>
          <w:rFonts w:ascii="Times" w:hAnsi="Times"/>
          <w:b/>
          <w:bCs/>
          <w:lang w:val="en-US"/>
        </w:rPr>
        <w:t>Table S1</w:t>
      </w:r>
      <w:r w:rsidR="005903AD" w:rsidRPr="7FBC0748">
        <w:rPr>
          <w:rFonts w:ascii="Times" w:hAnsi="Times"/>
          <w:lang w:val="en-US"/>
        </w:rPr>
        <w:t xml:space="preserve"> and </w:t>
      </w:r>
      <w:r w:rsidR="005903AD" w:rsidRPr="7FBC0748">
        <w:rPr>
          <w:rFonts w:ascii="Times" w:hAnsi="Times"/>
          <w:b/>
          <w:bCs/>
          <w:lang w:val="en-US"/>
        </w:rPr>
        <w:t>Figure S</w:t>
      </w:r>
      <w:r w:rsidR="00EE5281" w:rsidRPr="7FBC0748">
        <w:rPr>
          <w:rFonts w:ascii="Times" w:hAnsi="Times"/>
          <w:b/>
          <w:bCs/>
          <w:lang w:val="en-US"/>
        </w:rPr>
        <w:t>1</w:t>
      </w:r>
      <w:r w:rsidR="005903AD" w:rsidRPr="7FBC0748">
        <w:rPr>
          <w:rFonts w:ascii="Times" w:hAnsi="Times"/>
          <w:lang w:val="en-US"/>
        </w:rPr>
        <w:t>)</w:t>
      </w:r>
      <w:r w:rsidR="00DA5930" w:rsidRPr="7FBC0748">
        <w:rPr>
          <w:rFonts w:ascii="Times" w:hAnsi="Times"/>
          <w:lang w:val="en-US"/>
        </w:rPr>
        <w:t>.</w:t>
      </w:r>
      <w:r w:rsidR="00B902B2" w:rsidRPr="7FBC0748">
        <w:rPr>
          <w:rFonts w:ascii="Times" w:hAnsi="Times"/>
          <w:lang w:val="en-US"/>
        </w:rPr>
        <w:t xml:space="preserve"> </w:t>
      </w:r>
      <w:r w:rsidR="003A02DB" w:rsidRPr="7FBC0748">
        <w:rPr>
          <w:rFonts w:ascii="Times" w:hAnsi="Times"/>
          <w:lang w:val="en-US"/>
        </w:rPr>
        <w:t xml:space="preserve">One individual was genotyped as </w:t>
      </w:r>
      <w:r w:rsidR="00804FA8" w:rsidRPr="7FBC0748">
        <w:rPr>
          <w:rFonts w:ascii="Times" w:hAnsi="Times"/>
          <w:lang w:val="en-US"/>
        </w:rPr>
        <w:t xml:space="preserve">a </w:t>
      </w:r>
      <w:r w:rsidR="003A02DB" w:rsidRPr="7FBC0748">
        <w:rPr>
          <w:rFonts w:ascii="Times" w:hAnsi="Times"/>
          <w:lang w:val="en-US"/>
        </w:rPr>
        <w:t>CYP2C19 ultrarapid metabo</w:t>
      </w:r>
      <w:r w:rsidR="008547E9" w:rsidRPr="7FBC0748">
        <w:rPr>
          <w:rFonts w:ascii="Times" w:hAnsi="Times"/>
          <w:lang w:val="en-US"/>
        </w:rPr>
        <w:t>lizer (</w:t>
      </w:r>
      <w:r w:rsidR="001E343E" w:rsidRPr="7FBC0748">
        <w:rPr>
          <w:rFonts w:ascii="Times" w:hAnsi="Times"/>
          <w:i/>
          <w:iCs/>
          <w:lang w:val="en-US"/>
        </w:rPr>
        <w:t>CYP2C19</w:t>
      </w:r>
      <w:r w:rsidR="008547E9" w:rsidRPr="7FBC0748">
        <w:rPr>
          <w:rFonts w:ascii="Times" w:hAnsi="Times"/>
          <w:i/>
          <w:iCs/>
          <w:lang w:val="en-US"/>
        </w:rPr>
        <w:t>*1/*17</w:t>
      </w:r>
      <w:r w:rsidR="008547E9" w:rsidRPr="7FBC0748">
        <w:rPr>
          <w:rFonts w:ascii="Times" w:hAnsi="Times"/>
          <w:lang w:val="en-US"/>
        </w:rPr>
        <w:t xml:space="preserve">). </w:t>
      </w:r>
      <w:r w:rsidR="00B902B2" w:rsidRPr="7FBC0748">
        <w:rPr>
          <w:rFonts w:ascii="Times" w:hAnsi="Times"/>
          <w:lang w:val="en-US"/>
        </w:rPr>
        <w:t>Metoprolol</w:t>
      </w:r>
      <w:r w:rsidR="009203FC" w:rsidRPr="7FBC0748">
        <w:rPr>
          <w:rFonts w:ascii="Times" w:hAnsi="Times"/>
          <w:lang w:val="en-US"/>
        </w:rPr>
        <w:t xml:space="preserve"> (CYP2D6)</w:t>
      </w:r>
      <w:r w:rsidR="00B902B2" w:rsidRPr="7FBC0748">
        <w:rPr>
          <w:rFonts w:ascii="Times" w:hAnsi="Times"/>
          <w:lang w:val="en-US"/>
        </w:rPr>
        <w:t xml:space="preserve"> </w:t>
      </w:r>
      <w:r w:rsidR="005903AD" w:rsidRPr="7FBC0748">
        <w:rPr>
          <w:rFonts w:ascii="Times" w:hAnsi="Times"/>
          <w:lang w:val="en-US"/>
        </w:rPr>
        <w:t xml:space="preserve">was excluded from the analysis due to concentrations below the limit of quantification of the drug or metabolite. </w:t>
      </w:r>
      <w:r w:rsidR="00DE2856" w:rsidRPr="7FBC0748">
        <w:rPr>
          <w:rFonts w:ascii="Times" w:hAnsi="Times"/>
          <w:lang w:val="en-US"/>
        </w:rPr>
        <w:t>4</w:t>
      </w:r>
      <w:r w:rsidR="00870D1D" w:rsidRPr="7FBC0748">
        <w:rPr>
          <w:rFonts w:ascii="Symbol" w:eastAsia="Symbol" w:hAnsi="Symbol" w:cs="Symbol"/>
          <w:lang w:val="en-US"/>
        </w:rPr>
        <w:t></w:t>
      </w:r>
      <w:r w:rsidR="00DE2856" w:rsidRPr="7FBC0748">
        <w:rPr>
          <w:rFonts w:ascii="Times" w:hAnsi="Times"/>
          <w:lang w:val="en-US"/>
        </w:rPr>
        <w:t xml:space="preserve">-hydroxycholesterol </w:t>
      </w:r>
      <w:r w:rsidR="003117CD" w:rsidRPr="7FBC0748">
        <w:rPr>
          <w:rFonts w:ascii="Times" w:hAnsi="Times"/>
          <w:lang w:val="en-US"/>
        </w:rPr>
        <w:t>and</w:t>
      </w:r>
      <w:r w:rsidR="00DE2856" w:rsidRPr="7FBC0748">
        <w:rPr>
          <w:rFonts w:ascii="Times" w:hAnsi="Times"/>
          <w:lang w:val="en-US"/>
        </w:rPr>
        <w:t xml:space="preserve"> </w:t>
      </w:r>
      <w:r w:rsidR="00461928" w:rsidRPr="7FBC0748">
        <w:rPr>
          <w:rFonts w:ascii="Times" w:hAnsi="Times"/>
          <w:lang w:val="en-US"/>
        </w:rPr>
        <w:t>4</w:t>
      </w:r>
      <w:r w:rsidR="00870D1D" w:rsidRPr="7FBC0748">
        <w:rPr>
          <w:rFonts w:ascii="Symbol" w:eastAsia="Symbol" w:hAnsi="Symbol" w:cs="Symbol"/>
          <w:lang w:val="en-US"/>
        </w:rPr>
        <w:t></w:t>
      </w:r>
      <w:r w:rsidR="00461928" w:rsidRPr="7FBC0748">
        <w:rPr>
          <w:rFonts w:ascii="Times" w:hAnsi="Times"/>
          <w:lang w:val="en-US"/>
        </w:rPr>
        <w:t>-hydroxycholesterol/cholesterol ratio</w:t>
      </w:r>
      <w:r w:rsidR="00464B5D" w:rsidRPr="7FBC0748">
        <w:rPr>
          <w:rFonts w:ascii="Times" w:hAnsi="Times"/>
          <w:lang w:val="en-US"/>
        </w:rPr>
        <w:t xml:space="preserve"> were </w:t>
      </w:r>
      <w:r w:rsidR="00C42E24" w:rsidRPr="7FBC0748">
        <w:rPr>
          <w:rFonts w:ascii="Times" w:hAnsi="Times"/>
          <w:lang w:val="en-US"/>
        </w:rPr>
        <w:t xml:space="preserve">unchanged </w:t>
      </w:r>
      <w:r w:rsidR="00461928" w:rsidRPr="7FBC0748">
        <w:rPr>
          <w:rFonts w:ascii="Times" w:hAnsi="Times"/>
          <w:lang w:val="en-US"/>
        </w:rPr>
        <w:t xml:space="preserve">following </w:t>
      </w:r>
      <w:r w:rsidR="000D720C" w:rsidRPr="7FBC0748">
        <w:rPr>
          <w:rFonts w:ascii="Times" w:hAnsi="Times"/>
          <w:lang w:val="en-US"/>
        </w:rPr>
        <w:t>three</w:t>
      </w:r>
      <w:r w:rsidR="00461928" w:rsidRPr="7FBC0748">
        <w:rPr>
          <w:rFonts w:ascii="Times" w:hAnsi="Times"/>
          <w:lang w:val="en-US"/>
        </w:rPr>
        <w:t xml:space="preserve"> or 12 weeks of treatment with an </w:t>
      </w:r>
      <w:r w:rsidR="00870D1D" w:rsidRPr="7FBC0748">
        <w:rPr>
          <w:rFonts w:ascii="Times" w:hAnsi="Times"/>
          <w:lang w:val="en-US"/>
        </w:rPr>
        <w:t>anti-</w:t>
      </w:r>
      <w:r w:rsidR="00461928" w:rsidRPr="7FBC0748">
        <w:rPr>
          <w:rFonts w:ascii="Times" w:hAnsi="Times"/>
          <w:lang w:val="en-US"/>
        </w:rPr>
        <w:t xml:space="preserve">IL-6R </w:t>
      </w:r>
      <w:r w:rsidR="00BB54E9" w:rsidRPr="7FBC0748">
        <w:rPr>
          <w:rFonts w:ascii="Times" w:hAnsi="Times"/>
          <w:lang w:val="en-US"/>
        </w:rPr>
        <w:t>among the three patients</w:t>
      </w:r>
      <w:r w:rsidR="00870D1D" w:rsidRPr="7FBC0748">
        <w:rPr>
          <w:rFonts w:ascii="Times" w:hAnsi="Times"/>
          <w:lang w:val="en-US"/>
        </w:rPr>
        <w:t xml:space="preserve"> (</w:t>
      </w:r>
      <w:r w:rsidR="00870D1D" w:rsidRPr="7FBC0748">
        <w:rPr>
          <w:rFonts w:ascii="Times" w:hAnsi="Times"/>
          <w:b/>
          <w:bCs/>
          <w:lang w:val="en-US"/>
        </w:rPr>
        <w:t>Table S2</w:t>
      </w:r>
      <w:r w:rsidR="0022589D" w:rsidRPr="7FBC0748">
        <w:rPr>
          <w:rFonts w:ascii="Times" w:hAnsi="Times"/>
          <w:lang w:val="en-US"/>
        </w:rPr>
        <w:t>)</w:t>
      </w:r>
      <w:r w:rsidR="005765F6" w:rsidRPr="7FBC0748">
        <w:rPr>
          <w:rFonts w:ascii="Times" w:hAnsi="Times"/>
          <w:lang w:val="en-US"/>
        </w:rPr>
        <w:t>.</w:t>
      </w:r>
    </w:p>
    <w:p w14:paraId="19487272" w14:textId="2CD5E823" w:rsidR="00350B9A" w:rsidRDefault="00350B9A" w:rsidP="009A2F16">
      <w:pPr>
        <w:spacing w:line="360" w:lineRule="auto"/>
        <w:jc w:val="both"/>
        <w:rPr>
          <w:rFonts w:ascii="Times" w:hAnsi="Times"/>
          <w:lang w:val="en-US"/>
        </w:rPr>
      </w:pPr>
    </w:p>
    <w:p w14:paraId="6C0645F5" w14:textId="7378E4A8" w:rsidR="006C6340" w:rsidRDefault="00DB2880" w:rsidP="009A2F16">
      <w:pPr>
        <w:spacing w:line="360" w:lineRule="auto"/>
        <w:jc w:val="both"/>
        <w:rPr>
          <w:rFonts w:ascii="Times" w:hAnsi="Times"/>
          <w:lang w:val="en-US"/>
        </w:rPr>
      </w:pPr>
      <w:r>
        <w:rPr>
          <w:rFonts w:ascii="Times" w:hAnsi="Times"/>
          <w:lang w:val="en-US"/>
        </w:rPr>
        <w:t>All three patients had low</w:t>
      </w:r>
      <w:r w:rsidR="00EB5338">
        <w:rPr>
          <w:rFonts w:ascii="Times" w:hAnsi="Times"/>
          <w:lang w:val="en-US"/>
        </w:rPr>
        <w:t xml:space="preserve"> levels of</w:t>
      </w:r>
      <w:r>
        <w:rPr>
          <w:rFonts w:ascii="Times" w:hAnsi="Times"/>
          <w:lang w:val="en-US"/>
        </w:rPr>
        <w:t xml:space="preserve"> i</w:t>
      </w:r>
      <w:r w:rsidR="0022589D">
        <w:rPr>
          <w:rFonts w:ascii="Times" w:hAnsi="Times"/>
          <w:lang w:val="en-US"/>
        </w:rPr>
        <w:t>nflammation</w:t>
      </w:r>
      <w:r>
        <w:rPr>
          <w:rFonts w:ascii="Times" w:hAnsi="Times"/>
          <w:lang w:val="en-US"/>
        </w:rPr>
        <w:t xml:space="preserve"> at baseline</w:t>
      </w:r>
      <w:r w:rsidR="00A03F82">
        <w:rPr>
          <w:rFonts w:ascii="Times" w:hAnsi="Times"/>
          <w:lang w:val="en-US"/>
        </w:rPr>
        <w:t xml:space="preserve"> (</w:t>
      </w:r>
      <w:r w:rsidR="00A03F82" w:rsidRPr="00A03F82">
        <w:rPr>
          <w:rFonts w:ascii="Times" w:hAnsi="Times"/>
          <w:b/>
          <w:bCs/>
          <w:lang w:val="en-US"/>
        </w:rPr>
        <w:t>Table 1</w:t>
      </w:r>
      <w:r w:rsidR="00A03F82">
        <w:rPr>
          <w:rFonts w:ascii="Times" w:hAnsi="Times"/>
          <w:lang w:val="en-US"/>
        </w:rPr>
        <w:t>)</w:t>
      </w:r>
      <w:r w:rsidR="00D07679">
        <w:rPr>
          <w:rFonts w:ascii="Times" w:hAnsi="Times"/>
          <w:lang w:val="en-US"/>
        </w:rPr>
        <w:t xml:space="preserve">. </w:t>
      </w:r>
      <w:r w:rsidR="00261BE7">
        <w:rPr>
          <w:rFonts w:ascii="Times" w:hAnsi="Times"/>
          <w:lang w:val="en-US"/>
        </w:rPr>
        <w:t>hsCRP</w:t>
      </w:r>
      <w:r w:rsidR="00511CAB">
        <w:rPr>
          <w:rFonts w:ascii="Times" w:hAnsi="Times"/>
          <w:lang w:val="en-US"/>
        </w:rPr>
        <w:t xml:space="preserve"> showed a </w:t>
      </w:r>
      <w:r w:rsidR="00AE672F">
        <w:rPr>
          <w:rFonts w:ascii="Times" w:hAnsi="Times"/>
          <w:lang w:val="en-US"/>
        </w:rPr>
        <w:t>marked reduction</w:t>
      </w:r>
      <w:r w:rsidR="00A03F82">
        <w:rPr>
          <w:rFonts w:ascii="Times" w:hAnsi="Times"/>
          <w:lang w:val="en-US"/>
        </w:rPr>
        <w:t xml:space="preserve"> </w:t>
      </w:r>
      <w:r w:rsidR="009352FB">
        <w:rPr>
          <w:rFonts w:ascii="Times" w:hAnsi="Times"/>
          <w:lang w:val="en-US"/>
        </w:rPr>
        <w:t>after three weeks</w:t>
      </w:r>
      <w:r w:rsidR="00AE672F">
        <w:rPr>
          <w:rFonts w:ascii="Times" w:hAnsi="Times"/>
          <w:lang w:val="en-US"/>
        </w:rPr>
        <w:t xml:space="preserve"> of anti-IL-6R therapy</w:t>
      </w:r>
      <w:r w:rsidR="00733CEA">
        <w:rPr>
          <w:rFonts w:ascii="Times" w:hAnsi="Times"/>
          <w:lang w:val="en-US"/>
        </w:rPr>
        <w:t>, which remained at</w:t>
      </w:r>
      <w:r w:rsidR="00AE672F">
        <w:rPr>
          <w:rFonts w:ascii="Times" w:hAnsi="Times"/>
          <w:lang w:val="en-US"/>
        </w:rPr>
        <w:t xml:space="preserve"> 12 weeks of treatment. </w:t>
      </w:r>
      <w:r w:rsidR="00D97340">
        <w:rPr>
          <w:rFonts w:ascii="Times" w:hAnsi="Times"/>
          <w:lang w:val="en-US"/>
        </w:rPr>
        <w:t xml:space="preserve">In line, </w:t>
      </w:r>
      <w:r w:rsidR="00D97340">
        <w:rPr>
          <w:rFonts w:ascii="Times" w:hAnsi="Times"/>
          <w:lang w:val="en-US"/>
        </w:rPr>
        <w:lastRenderedPageBreak/>
        <w:t>IL-6</w:t>
      </w:r>
      <w:r w:rsidR="007D7E66">
        <w:rPr>
          <w:rFonts w:ascii="Times" w:hAnsi="Times"/>
          <w:lang w:val="en-US"/>
        </w:rPr>
        <w:t xml:space="preserve"> </w:t>
      </w:r>
      <w:r w:rsidR="00FF06B7">
        <w:rPr>
          <w:rFonts w:ascii="Times" w:hAnsi="Times"/>
          <w:lang w:val="en-US"/>
        </w:rPr>
        <w:t>increased</w:t>
      </w:r>
      <w:r w:rsidR="00D97340">
        <w:rPr>
          <w:rFonts w:ascii="Times" w:hAnsi="Times"/>
          <w:lang w:val="en-US"/>
        </w:rPr>
        <w:t xml:space="preserve"> </w:t>
      </w:r>
      <w:r w:rsidR="00B167A5">
        <w:rPr>
          <w:rFonts w:ascii="Times" w:hAnsi="Times"/>
          <w:lang w:val="en-US"/>
        </w:rPr>
        <w:t>after three weeks</w:t>
      </w:r>
      <w:r w:rsidR="00414FC4">
        <w:rPr>
          <w:rFonts w:ascii="Times" w:hAnsi="Times"/>
          <w:lang w:val="en-US"/>
        </w:rPr>
        <w:t xml:space="preserve"> </w:t>
      </w:r>
      <w:r w:rsidR="00733CEA">
        <w:rPr>
          <w:rFonts w:ascii="Times" w:hAnsi="Times"/>
          <w:lang w:val="en-US"/>
        </w:rPr>
        <w:t>and</w:t>
      </w:r>
      <w:r w:rsidR="00F7100E">
        <w:rPr>
          <w:rFonts w:ascii="Times" w:hAnsi="Times"/>
          <w:lang w:val="en-US"/>
        </w:rPr>
        <w:t xml:space="preserve"> 12 weeks</w:t>
      </w:r>
      <w:r w:rsidR="00D97340">
        <w:rPr>
          <w:rFonts w:ascii="Times" w:hAnsi="Times"/>
          <w:lang w:val="en-US"/>
        </w:rPr>
        <w:t xml:space="preserve"> </w:t>
      </w:r>
      <w:r w:rsidR="00432EBE">
        <w:rPr>
          <w:rFonts w:ascii="Times" w:hAnsi="Times"/>
          <w:lang w:val="en-US"/>
        </w:rPr>
        <w:t xml:space="preserve">of anti-IL-6R therapy. </w:t>
      </w:r>
      <w:r w:rsidR="00C912F9">
        <w:rPr>
          <w:rFonts w:ascii="Times" w:hAnsi="Times"/>
          <w:lang w:val="en-US"/>
        </w:rPr>
        <w:t>IL-1</w:t>
      </w:r>
      <w:r w:rsidR="00EB1504">
        <w:rPr>
          <w:rFonts w:ascii="Symbol" w:eastAsia="Symbol" w:hAnsi="Symbol" w:cs="Symbol"/>
          <w:lang w:val="en-US"/>
        </w:rPr>
        <w:t></w:t>
      </w:r>
      <w:r w:rsidR="00C912F9">
        <w:rPr>
          <w:rFonts w:ascii="Times" w:hAnsi="Times"/>
          <w:lang w:val="en-US"/>
        </w:rPr>
        <w:t>, TNF-</w:t>
      </w:r>
      <w:r w:rsidR="00EB1504">
        <w:rPr>
          <w:rFonts w:ascii="Symbol" w:eastAsia="Symbol" w:hAnsi="Symbol" w:cs="Symbol"/>
          <w:lang w:val="en-US"/>
        </w:rPr>
        <w:t></w:t>
      </w:r>
      <w:r w:rsidR="00C912F9">
        <w:rPr>
          <w:rFonts w:ascii="Times" w:hAnsi="Times"/>
          <w:lang w:val="en-US"/>
        </w:rPr>
        <w:t>, and IFN-</w:t>
      </w:r>
      <w:r w:rsidR="00EB1504">
        <w:rPr>
          <w:rFonts w:ascii="Symbol" w:eastAsia="Symbol" w:hAnsi="Symbol" w:cs="Symbol"/>
          <w:lang w:val="en-US"/>
        </w:rPr>
        <w:t></w:t>
      </w:r>
      <w:r w:rsidR="00C912F9">
        <w:rPr>
          <w:rFonts w:ascii="Times" w:hAnsi="Times"/>
          <w:lang w:val="en-US"/>
        </w:rPr>
        <w:t xml:space="preserve"> remained at </w:t>
      </w:r>
      <w:r w:rsidR="009A0756">
        <w:rPr>
          <w:rFonts w:ascii="Times" w:hAnsi="Times"/>
          <w:lang w:val="en-US"/>
        </w:rPr>
        <w:t>t</w:t>
      </w:r>
      <w:r w:rsidR="00C912F9">
        <w:rPr>
          <w:rFonts w:ascii="Times" w:hAnsi="Times"/>
          <w:lang w:val="en-US"/>
        </w:rPr>
        <w:t xml:space="preserve">he same level at baseline and </w:t>
      </w:r>
      <w:r w:rsidR="009A0756">
        <w:rPr>
          <w:rFonts w:ascii="Times" w:hAnsi="Times"/>
          <w:lang w:val="en-US"/>
        </w:rPr>
        <w:t>after three and 12 weeks of anti-IL-6R therapy (</w:t>
      </w:r>
      <w:r w:rsidR="009A0756" w:rsidRPr="009A0756">
        <w:rPr>
          <w:rFonts w:ascii="Times" w:hAnsi="Times"/>
          <w:b/>
          <w:bCs/>
          <w:lang w:val="en-US"/>
        </w:rPr>
        <w:t xml:space="preserve">Table </w:t>
      </w:r>
      <w:r w:rsidR="00733CEA">
        <w:rPr>
          <w:rFonts w:ascii="Times" w:hAnsi="Times"/>
          <w:b/>
          <w:bCs/>
          <w:lang w:val="en-US"/>
        </w:rPr>
        <w:t>1</w:t>
      </w:r>
      <w:r w:rsidR="009A0756">
        <w:rPr>
          <w:rFonts w:ascii="Times" w:hAnsi="Times"/>
          <w:lang w:val="en-US"/>
        </w:rPr>
        <w:t xml:space="preserve">). </w:t>
      </w:r>
    </w:p>
    <w:p w14:paraId="0CAB0544" w14:textId="77777777" w:rsidR="00EF4439" w:rsidRDefault="00EF4439" w:rsidP="009A2F16">
      <w:pPr>
        <w:spacing w:line="360" w:lineRule="auto"/>
        <w:jc w:val="both"/>
        <w:rPr>
          <w:rFonts w:ascii="Times" w:hAnsi="Times"/>
          <w:lang w:val="en-US"/>
        </w:rPr>
      </w:pPr>
    </w:p>
    <w:p w14:paraId="690155C3" w14:textId="4F6BDA79" w:rsidR="00DE2856" w:rsidRPr="00727B36" w:rsidRDefault="0022589D" w:rsidP="009A2F16">
      <w:pPr>
        <w:spacing w:line="360" w:lineRule="auto"/>
        <w:jc w:val="both"/>
        <w:rPr>
          <w:rFonts w:ascii="Times" w:hAnsi="Times"/>
          <w:i/>
          <w:iCs/>
          <w:lang w:val="en-US"/>
        </w:rPr>
      </w:pPr>
      <w:r w:rsidRPr="00727B36">
        <w:rPr>
          <w:rFonts w:ascii="Times" w:hAnsi="Times"/>
          <w:i/>
          <w:iCs/>
          <w:lang w:val="en-US"/>
        </w:rPr>
        <w:t xml:space="preserve">Retrospective study </w:t>
      </w:r>
    </w:p>
    <w:p w14:paraId="47F0B2B9" w14:textId="156735C7" w:rsidR="006D4381" w:rsidRDefault="006D4381" w:rsidP="00767F0A">
      <w:pPr>
        <w:spacing w:line="360" w:lineRule="auto"/>
        <w:jc w:val="both"/>
        <w:rPr>
          <w:rFonts w:ascii="Times" w:hAnsi="Times"/>
          <w:lang w:val="en-US"/>
        </w:rPr>
      </w:pPr>
      <w:r>
        <w:rPr>
          <w:rFonts w:ascii="Times" w:hAnsi="Times"/>
          <w:lang w:val="en-US"/>
        </w:rPr>
        <w:t xml:space="preserve">In the retrospective study, we included </w:t>
      </w:r>
      <w:r w:rsidR="00EF74DA">
        <w:rPr>
          <w:rFonts w:ascii="Times" w:hAnsi="Times"/>
          <w:lang w:val="en-US"/>
        </w:rPr>
        <w:t xml:space="preserve">a </w:t>
      </w:r>
      <w:r w:rsidR="00AF59B1">
        <w:rPr>
          <w:rFonts w:ascii="Times" w:hAnsi="Times"/>
          <w:lang w:val="en-US"/>
        </w:rPr>
        <w:t>tocilizumab group</w:t>
      </w:r>
      <w:r w:rsidR="00EF74DA">
        <w:rPr>
          <w:rFonts w:ascii="Times" w:hAnsi="Times"/>
          <w:lang w:val="en-US"/>
        </w:rPr>
        <w:t xml:space="preserve"> with 20 patients and an adalimumab group</w:t>
      </w:r>
      <w:r>
        <w:rPr>
          <w:rFonts w:ascii="Times" w:hAnsi="Times"/>
          <w:lang w:val="en-US"/>
        </w:rPr>
        <w:t xml:space="preserve"> with 17 patients as control</w:t>
      </w:r>
      <w:r w:rsidR="007B79A5">
        <w:rPr>
          <w:rFonts w:ascii="Times" w:hAnsi="Times"/>
          <w:lang w:val="en-US"/>
        </w:rPr>
        <w:t xml:space="preserve">. Demographic data </w:t>
      </w:r>
      <w:r w:rsidR="00EF4439">
        <w:rPr>
          <w:rFonts w:ascii="Times" w:hAnsi="Times"/>
          <w:lang w:val="en-US"/>
        </w:rPr>
        <w:t>are</w:t>
      </w:r>
      <w:r w:rsidR="007B79A5">
        <w:rPr>
          <w:rFonts w:ascii="Times" w:hAnsi="Times"/>
          <w:lang w:val="en-US"/>
        </w:rPr>
        <w:t xml:space="preserve"> presented in </w:t>
      </w:r>
      <w:r w:rsidR="00E108ED" w:rsidRPr="00E108ED">
        <w:rPr>
          <w:rFonts w:ascii="Times" w:hAnsi="Times"/>
          <w:b/>
          <w:bCs/>
          <w:lang w:val="en-US"/>
        </w:rPr>
        <w:t xml:space="preserve">Table </w:t>
      </w:r>
      <w:r w:rsidR="002953CD">
        <w:rPr>
          <w:rFonts w:ascii="Times" w:hAnsi="Times"/>
          <w:b/>
          <w:bCs/>
          <w:lang w:val="en-US"/>
        </w:rPr>
        <w:t>2</w:t>
      </w:r>
      <w:r>
        <w:rPr>
          <w:rFonts w:ascii="Times" w:hAnsi="Times"/>
          <w:lang w:val="en-US"/>
        </w:rPr>
        <w:t xml:space="preserve">. </w:t>
      </w:r>
      <w:r w:rsidR="003D27DA">
        <w:rPr>
          <w:rFonts w:ascii="Times" w:hAnsi="Times"/>
          <w:lang w:val="en-US"/>
        </w:rPr>
        <w:t>The</w:t>
      </w:r>
      <w:r w:rsidR="00EF4439">
        <w:rPr>
          <w:rFonts w:ascii="Times" w:hAnsi="Times"/>
          <w:lang w:val="en-US"/>
        </w:rPr>
        <w:t xml:space="preserve"> </w:t>
      </w:r>
      <w:r w:rsidR="003D27DA">
        <w:rPr>
          <w:rFonts w:ascii="Times" w:hAnsi="Times"/>
          <w:lang w:val="en-US"/>
        </w:rPr>
        <w:t xml:space="preserve">groups were similar </w:t>
      </w:r>
      <w:r w:rsidR="00CD6FEF">
        <w:rPr>
          <w:rFonts w:ascii="Times" w:hAnsi="Times"/>
          <w:lang w:val="en-US"/>
        </w:rPr>
        <w:t xml:space="preserve">in </w:t>
      </w:r>
      <w:r w:rsidR="003D27DA">
        <w:rPr>
          <w:rFonts w:ascii="Times" w:hAnsi="Times"/>
          <w:lang w:val="en-US"/>
        </w:rPr>
        <w:t>sex and age</w:t>
      </w:r>
      <w:r w:rsidR="00C619C3">
        <w:rPr>
          <w:rFonts w:ascii="Times" w:hAnsi="Times"/>
          <w:lang w:val="en-US"/>
        </w:rPr>
        <w:t>. However</w:t>
      </w:r>
      <w:r w:rsidR="003C743D">
        <w:rPr>
          <w:rFonts w:ascii="Times" w:hAnsi="Times"/>
          <w:lang w:val="en-US"/>
        </w:rPr>
        <w:t>, the groups differed by</w:t>
      </w:r>
      <w:r w:rsidR="00692BFF">
        <w:rPr>
          <w:rFonts w:ascii="Times" w:hAnsi="Times"/>
          <w:lang w:val="en-US"/>
        </w:rPr>
        <w:t xml:space="preserve"> previous and current antirheumatic treatment</w:t>
      </w:r>
      <w:r w:rsidR="005C10FF">
        <w:rPr>
          <w:rFonts w:ascii="Times" w:hAnsi="Times"/>
          <w:lang w:val="en-US"/>
        </w:rPr>
        <w:t xml:space="preserve">. </w:t>
      </w:r>
      <w:r w:rsidR="00735D60">
        <w:rPr>
          <w:rFonts w:ascii="Times" w:hAnsi="Times"/>
          <w:lang w:val="en-US"/>
        </w:rPr>
        <w:t xml:space="preserve">In line with </w:t>
      </w:r>
      <w:r w:rsidR="00D22ED5">
        <w:rPr>
          <w:rFonts w:ascii="Times" w:hAnsi="Times"/>
          <w:lang w:val="en-US"/>
        </w:rPr>
        <w:t xml:space="preserve">the </w:t>
      </w:r>
      <w:r w:rsidR="00735D60">
        <w:rPr>
          <w:rFonts w:ascii="Times" w:hAnsi="Times"/>
          <w:lang w:val="en-US"/>
        </w:rPr>
        <w:t xml:space="preserve">recommendations </w:t>
      </w:r>
      <w:r w:rsidR="00735D60">
        <w:rPr>
          <w:rFonts w:ascii="Times" w:hAnsi="Times"/>
          <w:lang w:val="en-US"/>
        </w:rPr>
        <w:fldChar w:fldCharType="begin"/>
      </w:r>
      <w:r w:rsidR="00296450">
        <w:rPr>
          <w:rFonts w:ascii="Times" w:hAnsi="Times"/>
          <w:lang w:val="en-US"/>
        </w:rPr>
        <w:instrText xml:space="preserve"> ADDIN ZOTERO_ITEM CSL_CITATION {"citationID":"GRENGyOz","properties":{"formattedCitation":"(30)","plainCitation":"(30)","noteIndex":0},"citationItems":[{"id":1279,"uris":["http://zotero.org/users/4954704/items/E6SDLPQS"],"itemData":{"id":1279,"type":"article-journal","container-title":"Annals of the Rheumatic Diseases","DOI":"10.1136/annrheumdis-2019-216655","ISSN":"0003-4967","issue":"6","journalAbbreviation":"Annals of the Rheumatic Diseases","note":"publisher: BMJ","page":"685-699","title":"EULAR recommendations for the management of rheumatoid arthritis with synthetic and biological disease-modifying antirheumatic drugs: 2019 update","volume":"79","author":[{"family":"Smolen","given":"Josef S"},{"family":"Landewé","given":"Robert B M"},{"family":"Bijlsma","given":"Johannes W J"},{"family":"Burmester","given":"Gerd R"},{"family":"Dougados","given":"Maxime"},{"family":"Kerschbaumer","given":"Andreas"},{"family":"Mcinnes","given":"Iain B"},{"family":"Sepriano","given":"Alexandre"},{"family":"Van Vollenhoven","given":"Ronald F"},{"family":"De Wit","given":"Maarten"},{"family":"Aletaha","given":"Daniel"},{"family":"Aringer","given":"Martin"},{"family":"Askling","given":"John"},{"family":"Balsa","given":"Alejandro"},{"family":"Boers","given":"Maarten"},{"family":"Den Broeder","given":"Alfons A"},{"family":"Buch","given":"Maya H"},{"family":"Buttgereit","given":"Frank"},{"family":"Caporali","given":"Roberto"},{"family":"Cardiel","given":"Mario Humberto"},{"family":"De Cock","given":"Diederik"},{"family":"Codreanu","given":"Catalin"},{"family":"Cutolo","given":"Maurizio"},{"family":"Edwards","given":"Christopher John"},{"family":"Van Eijk-Hustings","given":"Yvonne"},{"family":"Emery","given":"Paul"},{"family":"Finckh","given":"Axel"},{"family":"Gossec","given":"Laure"},{"family":"Gottenberg","given":"Jacques-Eric"},{"family":"Hetland","given":"Merete Lund"},{"family":"Huizinga","given":"Tom W J"},{"family":"Koloumas","given":"Marios"},{"family":"Li","given":"Zhanguo"},{"family":"Mariette","given":"Xavier"},{"family":"Müller-Ladner","given":"Ulf"},{"family":"Mysler","given":"Eduardo F"},{"family":"Da Silva","given":"Jose A P"},{"family":"Poór","given":"Gyula"},{"family":"Pope","given":"Janet E"},{"family":"Rubbert-Roth","given":"Andrea"},{"family":"Ruyssen-Witrand","given":"Adeline"},{"family":"Saag","given":"Kenneth G"},{"family":"Strangfeld","given":"Anja"},{"family":"Takeuchi","given":"Tsutomu"},{"family":"Voshaar","given":"Marieke"},{"family":"Westhovens","given":"René"},{"family":"Van Der Heijde","given":"Désirée"}],"issued":{"date-parts":[["2020",6]]}}}],"schema":"https://github.com/citation-style-language/schema/raw/master/csl-citation.json"} </w:instrText>
      </w:r>
      <w:r w:rsidR="00735D60">
        <w:rPr>
          <w:rFonts w:ascii="Times" w:hAnsi="Times"/>
          <w:lang w:val="en-US"/>
        </w:rPr>
        <w:fldChar w:fldCharType="separate"/>
      </w:r>
      <w:r w:rsidR="00296450">
        <w:rPr>
          <w:rFonts w:ascii="Times" w:hAnsi="Times"/>
          <w:noProof/>
          <w:lang w:val="en-US"/>
        </w:rPr>
        <w:t>(30)</w:t>
      </w:r>
      <w:r w:rsidR="00735D60">
        <w:rPr>
          <w:rFonts w:ascii="Times" w:hAnsi="Times"/>
          <w:lang w:val="en-US"/>
        </w:rPr>
        <w:fldChar w:fldCharType="end"/>
      </w:r>
      <w:r w:rsidR="00735D60">
        <w:rPr>
          <w:rFonts w:ascii="Times" w:hAnsi="Times"/>
          <w:lang w:val="en-US"/>
        </w:rPr>
        <w:t>, h</w:t>
      </w:r>
      <w:r w:rsidR="00DC2A5B">
        <w:rPr>
          <w:rFonts w:ascii="Times" w:hAnsi="Times"/>
          <w:lang w:val="en-US"/>
        </w:rPr>
        <w:t xml:space="preserve">alf of the patients in the </w:t>
      </w:r>
      <w:r w:rsidR="00AF59B1">
        <w:rPr>
          <w:rFonts w:ascii="Times" w:hAnsi="Times"/>
          <w:lang w:val="en-US"/>
        </w:rPr>
        <w:t>tocilizumab group</w:t>
      </w:r>
      <w:r w:rsidR="00DC2A5B">
        <w:rPr>
          <w:rFonts w:ascii="Times" w:hAnsi="Times"/>
          <w:lang w:val="en-US"/>
        </w:rPr>
        <w:t xml:space="preserve"> received concurrent </w:t>
      </w:r>
      <w:r w:rsidR="005065D8">
        <w:rPr>
          <w:rFonts w:ascii="Times" w:hAnsi="Times"/>
          <w:lang w:val="en-US"/>
        </w:rPr>
        <w:t>therapy</w:t>
      </w:r>
      <w:r w:rsidR="00DC2A5B">
        <w:rPr>
          <w:rFonts w:ascii="Times" w:hAnsi="Times"/>
          <w:lang w:val="en-US"/>
        </w:rPr>
        <w:t xml:space="preserve"> with a conventional DMARD</w:t>
      </w:r>
      <w:r w:rsidR="005F36D9">
        <w:rPr>
          <w:rFonts w:ascii="Times" w:hAnsi="Times"/>
          <w:lang w:val="en-US"/>
        </w:rPr>
        <w:t>,</w:t>
      </w:r>
      <w:r w:rsidR="00103FE5">
        <w:rPr>
          <w:rFonts w:ascii="Times" w:hAnsi="Times"/>
          <w:lang w:val="en-US"/>
        </w:rPr>
        <w:t xml:space="preserve"> and</w:t>
      </w:r>
      <w:r w:rsidR="00E42FE0">
        <w:rPr>
          <w:rFonts w:ascii="Times" w:hAnsi="Times"/>
          <w:lang w:val="en-US"/>
        </w:rPr>
        <w:t xml:space="preserve"> &gt;80% of patients in the adalimumab group received concurrent treatment with a conventional DMARD. </w:t>
      </w:r>
      <w:r w:rsidR="00C641F3">
        <w:rPr>
          <w:rFonts w:ascii="Times" w:hAnsi="Times"/>
          <w:lang w:val="en-US"/>
        </w:rPr>
        <w:t>A</w:t>
      </w:r>
      <w:r w:rsidR="00767F0A">
        <w:rPr>
          <w:rFonts w:ascii="Times" w:hAnsi="Times"/>
          <w:lang w:val="en-US"/>
        </w:rPr>
        <w:t xml:space="preserve">lmost 95% of the patients in the </w:t>
      </w:r>
      <w:r w:rsidR="00AF59B1">
        <w:rPr>
          <w:rFonts w:ascii="Times" w:hAnsi="Times"/>
          <w:lang w:val="en-US"/>
        </w:rPr>
        <w:t>tocilizumab group</w:t>
      </w:r>
      <w:r w:rsidR="00767F0A">
        <w:rPr>
          <w:rFonts w:ascii="Times" w:hAnsi="Times"/>
          <w:lang w:val="en-US"/>
        </w:rPr>
        <w:t xml:space="preserve"> had pre</w:t>
      </w:r>
      <w:r w:rsidR="00C210B7">
        <w:rPr>
          <w:rFonts w:ascii="Times" w:hAnsi="Times"/>
          <w:lang w:val="en-US"/>
        </w:rPr>
        <w:t>viously been treated with one or more biological medicines</w:t>
      </w:r>
      <w:r w:rsidR="003117CD">
        <w:rPr>
          <w:rFonts w:ascii="Times" w:hAnsi="Times"/>
          <w:lang w:val="en-US"/>
        </w:rPr>
        <w:t xml:space="preserve"> according to clinical guidelines</w:t>
      </w:r>
      <w:r w:rsidR="00C210B7">
        <w:rPr>
          <w:rFonts w:ascii="Times" w:hAnsi="Times"/>
          <w:lang w:val="en-US"/>
        </w:rPr>
        <w:t xml:space="preserve"> </w:t>
      </w:r>
      <w:r w:rsidR="003527AB">
        <w:rPr>
          <w:rFonts w:ascii="Times" w:hAnsi="Times"/>
          <w:lang w:val="en-US"/>
        </w:rPr>
        <w:fldChar w:fldCharType="begin"/>
      </w:r>
      <w:r w:rsidR="00296450">
        <w:rPr>
          <w:rFonts w:ascii="Times" w:hAnsi="Times"/>
          <w:lang w:val="en-US"/>
        </w:rPr>
        <w:instrText xml:space="preserve"> ADDIN ZOTERO_ITEM CSL_CITATION {"citationID":"wUOUxQvG","properties":{"formattedCitation":"(31,32)","plainCitation":"(31,32)","noteIndex":0},"citationItems":[{"id":1355,"uris":["http://zotero.org/users/4954704/items/QVDK4S33"],"itemData":{"id":1355,"type":"webpage","title":"Medicinrådets lægemiddelrekommandation og behandlingsvejledning vedrørende lægemidler til kronisk leddegigt. Version 2.1","URL":"https://medicinraadet.dk/media/s04jkmnh/medicinr%C3%A5dets_l%C3%A6gemiddelrek-_og_behandlingsvejl-_vedr-_kronisk_leddegigt_-_vers-_2-1_adlegacy.pdf","author":[{"family":"Medicinrådet","given":""}],"accessed":{"date-parts":[["2021",7,1]]}}},{"id":1228,"uris":["http://zotero.org/users/4954704/items/WMPEFHFL"],"itemData":{"id":1228,"type":"document","title":"Medicinrådets lægemiddelrekommandation og behandlingsvejledning vedrørende lægemidler til kronisk leddegigt. Version 2.2","URL":"https://medicinraadet.dk/media/nayjdwy2/medicinr%C3%A5dets_l%C3%A6gemiddelrek-_og_behandlingsvejl-_vedr-_kronisk_leddegigt-vers-_2-2_adlegacy.pdf","accessed":{"date-parts":[["2022",9,27]]}},"label":"page"}],"schema":"https://github.com/citation-style-language/schema/raw/master/csl-citation.json"} </w:instrText>
      </w:r>
      <w:r w:rsidR="003527AB">
        <w:rPr>
          <w:rFonts w:ascii="Times" w:hAnsi="Times"/>
          <w:lang w:val="en-US"/>
        </w:rPr>
        <w:fldChar w:fldCharType="separate"/>
      </w:r>
      <w:r w:rsidR="00296450">
        <w:rPr>
          <w:rFonts w:ascii="Times" w:hAnsi="Times"/>
          <w:noProof/>
          <w:lang w:val="en-US"/>
        </w:rPr>
        <w:t>(31,32)</w:t>
      </w:r>
      <w:r w:rsidR="003527AB">
        <w:rPr>
          <w:rFonts w:ascii="Times" w:hAnsi="Times"/>
          <w:lang w:val="en-US"/>
        </w:rPr>
        <w:fldChar w:fldCharType="end"/>
      </w:r>
      <w:r w:rsidR="00855BCA">
        <w:rPr>
          <w:rFonts w:ascii="Times" w:hAnsi="Times"/>
          <w:lang w:val="en-US"/>
        </w:rPr>
        <w:t xml:space="preserve">. In contrast, only 44% in the </w:t>
      </w:r>
      <w:r w:rsidR="00AF59B1">
        <w:rPr>
          <w:rFonts w:ascii="Times" w:hAnsi="Times"/>
          <w:lang w:val="en-US"/>
        </w:rPr>
        <w:t>adalimumab group</w:t>
      </w:r>
      <w:r w:rsidR="00855BCA">
        <w:rPr>
          <w:rFonts w:ascii="Times" w:hAnsi="Times"/>
          <w:lang w:val="en-US"/>
        </w:rPr>
        <w:t xml:space="preserve"> had previously received one or more biological treatments</w:t>
      </w:r>
      <w:r w:rsidR="002953CD">
        <w:rPr>
          <w:rFonts w:ascii="Times" w:hAnsi="Times"/>
          <w:lang w:val="en-US"/>
        </w:rPr>
        <w:t xml:space="preserve"> (</w:t>
      </w:r>
      <w:r w:rsidR="002953CD" w:rsidRPr="0076737E">
        <w:rPr>
          <w:rFonts w:ascii="Times" w:hAnsi="Times"/>
          <w:b/>
          <w:bCs/>
          <w:lang w:val="en-US"/>
        </w:rPr>
        <w:t>Table 2</w:t>
      </w:r>
      <w:r w:rsidR="002953CD">
        <w:rPr>
          <w:rFonts w:ascii="Times" w:hAnsi="Times"/>
          <w:lang w:val="en-US"/>
        </w:rPr>
        <w:t>)</w:t>
      </w:r>
      <w:r w:rsidR="00855BCA">
        <w:rPr>
          <w:rFonts w:ascii="Times" w:hAnsi="Times"/>
          <w:lang w:val="en-US"/>
        </w:rPr>
        <w:t xml:space="preserve">. </w:t>
      </w:r>
    </w:p>
    <w:p w14:paraId="7D17BA9D" w14:textId="77777777" w:rsidR="006D4381" w:rsidRDefault="006D4381" w:rsidP="009A2F16">
      <w:pPr>
        <w:spacing w:line="360" w:lineRule="auto"/>
        <w:jc w:val="both"/>
        <w:rPr>
          <w:rFonts w:ascii="Times" w:hAnsi="Times"/>
          <w:lang w:val="en-US"/>
        </w:rPr>
      </w:pPr>
    </w:p>
    <w:p w14:paraId="441B3840" w14:textId="6805EEFD" w:rsidR="00F54285" w:rsidRDefault="00F80080" w:rsidP="009A2F16">
      <w:pPr>
        <w:spacing w:line="360" w:lineRule="auto"/>
        <w:jc w:val="both"/>
        <w:rPr>
          <w:rFonts w:ascii="Times" w:hAnsi="Times"/>
          <w:lang w:val="en-US"/>
        </w:rPr>
      </w:pPr>
      <w:r w:rsidRPr="7FBC0748">
        <w:rPr>
          <w:rFonts w:ascii="Times" w:hAnsi="Times"/>
          <w:lang w:val="en-US"/>
        </w:rPr>
        <w:t xml:space="preserve">In the </w:t>
      </w:r>
      <w:r w:rsidR="00334EB5" w:rsidRPr="7FBC0748">
        <w:rPr>
          <w:rFonts w:ascii="Times" w:hAnsi="Times"/>
          <w:lang w:val="en-US"/>
        </w:rPr>
        <w:t xml:space="preserve">tocilizumab and </w:t>
      </w:r>
      <w:r w:rsidRPr="7FBC0748">
        <w:rPr>
          <w:rFonts w:ascii="Times" w:hAnsi="Times"/>
          <w:lang w:val="en-US"/>
        </w:rPr>
        <w:t>adalimumab group</w:t>
      </w:r>
      <w:r w:rsidR="00334EB5" w:rsidRPr="7FBC0748">
        <w:rPr>
          <w:rFonts w:ascii="Times" w:hAnsi="Times"/>
          <w:lang w:val="en-US"/>
        </w:rPr>
        <w:t>s</w:t>
      </w:r>
      <w:r w:rsidRPr="7FBC0748">
        <w:rPr>
          <w:rFonts w:ascii="Times" w:hAnsi="Times"/>
          <w:lang w:val="en-US"/>
        </w:rPr>
        <w:t xml:space="preserve">, </w:t>
      </w:r>
      <w:r w:rsidR="00334EB5" w:rsidRPr="7FBC0748">
        <w:rPr>
          <w:rFonts w:ascii="Times" w:hAnsi="Times"/>
          <w:lang w:val="en-US"/>
        </w:rPr>
        <w:t xml:space="preserve">the </w:t>
      </w:r>
      <w:r w:rsidRPr="7FBC0748">
        <w:rPr>
          <w:rFonts w:ascii="Times" w:hAnsi="Times"/>
          <w:lang w:val="en-US"/>
        </w:rPr>
        <w:t>4</w:t>
      </w:r>
      <w:r w:rsidRPr="7FBC0748">
        <w:rPr>
          <w:rFonts w:ascii="Symbol" w:eastAsia="Symbol" w:hAnsi="Symbol" w:cs="Symbol"/>
          <w:lang w:val="en-US"/>
        </w:rPr>
        <w:t></w:t>
      </w:r>
      <w:r w:rsidRPr="7FBC0748">
        <w:rPr>
          <w:rFonts w:ascii="Times" w:hAnsi="Times"/>
          <w:lang w:val="en-US"/>
        </w:rPr>
        <w:t xml:space="preserve">-hydroxycholesterol/cholesterol ratio remained </w:t>
      </w:r>
      <w:r w:rsidR="00D03C01" w:rsidRPr="7FBC0748">
        <w:rPr>
          <w:rFonts w:ascii="Times" w:hAnsi="Times"/>
          <w:lang w:val="en-US"/>
        </w:rPr>
        <w:t>stable</w:t>
      </w:r>
      <w:r w:rsidRPr="7FBC0748">
        <w:rPr>
          <w:rFonts w:ascii="Times" w:hAnsi="Times"/>
          <w:lang w:val="en-US"/>
        </w:rPr>
        <w:t xml:space="preserve"> after three and six months of treatment (</w:t>
      </w:r>
      <w:r w:rsidRPr="7FBC0748">
        <w:rPr>
          <w:rFonts w:ascii="Times" w:hAnsi="Times"/>
          <w:b/>
          <w:bCs/>
          <w:lang w:val="en-US"/>
        </w:rPr>
        <w:t>Table 3</w:t>
      </w:r>
      <w:r w:rsidRPr="7FBC0748">
        <w:rPr>
          <w:rFonts w:ascii="Times" w:hAnsi="Times"/>
          <w:lang w:val="en-US"/>
        </w:rPr>
        <w:t>)</w:t>
      </w:r>
      <w:r w:rsidR="000E052F" w:rsidRPr="7FBC0748">
        <w:rPr>
          <w:rFonts w:ascii="Times" w:hAnsi="Times"/>
          <w:lang w:val="en-US"/>
        </w:rPr>
        <w:t xml:space="preserve">, indicating no </w:t>
      </w:r>
      <w:r w:rsidR="44E886D1" w:rsidRPr="7FBC0748">
        <w:rPr>
          <w:rFonts w:ascii="Times" w:hAnsi="Times"/>
          <w:lang w:val="en-US"/>
        </w:rPr>
        <w:t xml:space="preserve">clinical meaningful </w:t>
      </w:r>
      <w:r w:rsidR="000E052F" w:rsidRPr="7FBC0748">
        <w:rPr>
          <w:rFonts w:ascii="Times" w:hAnsi="Times"/>
          <w:lang w:val="en-US"/>
        </w:rPr>
        <w:t>change in CYP3A4</w:t>
      </w:r>
      <w:r w:rsidR="0074305B" w:rsidRPr="7FBC0748">
        <w:rPr>
          <w:rFonts w:ascii="Times" w:hAnsi="Times"/>
          <w:lang w:val="en-US"/>
        </w:rPr>
        <w:t>-</w:t>
      </w:r>
      <w:r w:rsidR="000E052F" w:rsidRPr="7FBC0748">
        <w:rPr>
          <w:rFonts w:ascii="Times" w:hAnsi="Times"/>
          <w:lang w:val="en-US"/>
        </w:rPr>
        <w:t>mediated</w:t>
      </w:r>
      <w:r w:rsidR="0074305B" w:rsidRPr="7FBC0748">
        <w:rPr>
          <w:rFonts w:ascii="Times" w:hAnsi="Times"/>
          <w:lang w:val="en-US"/>
        </w:rPr>
        <w:t xml:space="preserve"> </w:t>
      </w:r>
      <w:r w:rsidR="000E052F" w:rsidRPr="7FBC0748">
        <w:rPr>
          <w:rFonts w:ascii="Times" w:hAnsi="Times"/>
          <w:lang w:val="en-US"/>
        </w:rPr>
        <w:t>metabolism</w:t>
      </w:r>
      <w:r w:rsidRPr="7FBC0748">
        <w:rPr>
          <w:rFonts w:ascii="Times" w:hAnsi="Times"/>
          <w:lang w:val="en-US"/>
        </w:rPr>
        <w:t xml:space="preserve">. </w:t>
      </w:r>
      <w:r w:rsidR="00E55185" w:rsidRPr="7FBC0748">
        <w:rPr>
          <w:rFonts w:ascii="Times" w:hAnsi="Times"/>
          <w:lang w:val="en-US"/>
        </w:rPr>
        <w:t xml:space="preserve">In the </w:t>
      </w:r>
      <w:r w:rsidR="00F175DF" w:rsidRPr="7FBC0748">
        <w:rPr>
          <w:rFonts w:ascii="Times" w:hAnsi="Times"/>
          <w:lang w:val="en-US"/>
        </w:rPr>
        <w:t>tocilizumab group</w:t>
      </w:r>
      <w:r w:rsidR="00E55185" w:rsidRPr="7FBC0748">
        <w:rPr>
          <w:rFonts w:ascii="Times" w:hAnsi="Times"/>
          <w:lang w:val="en-US"/>
        </w:rPr>
        <w:t>, 4</w:t>
      </w:r>
      <w:r w:rsidR="00E55185" w:rsidRPr="7FBC0748">
        <w:rPr>
          <w:rFonts w:ascii="Symbol" w:eastAsia="Symbol" w:hAnsi="Symbol" w:cs="Symbol"/>
          <w:lang w:val="en-US"/>
        </w:rPr>
        <w:t></w:t>
      </w:r>
      <w:r w:rsidR="00E55185" w:rsidRPr="7FBC0748">
        <w:rPr>
          <w:rFonts w:ascii="Times" w:hAnsi="Times"/>
          <w:lang w:val="en-US"/>
        </w:rPr>
        <w:t>-hydroxycholesterol increased</w:t>
      </w:r>
      <w:r w:rsidR="00C53334" w:rsidRPr="7FBC0748">
        <w:rPr>
          <w:rFonts w:ascii="Times" w:hAnsi="Times"/>
          <w:lang w:val="en-US"/>
        </w:rPr>
        <w:t xml:space="preserve"> </w:t>
      </w:r>
      <w:r w:rsidR="00E55185" w:rsidRPr="7FBC0748">
        <w:rPr>
          <w:rFonts w:ascii="Times" w:hAnsi="Times"/>
          <w:lang w:val="en-US"/>
        </w:rPr>
        <w:t xml:space="preserve">following three months of anti-IL-6R therapy (GMR 1.13, 95% CI </w:t>
      </w:r>
      <w:r w:rsidR="009D438A" w:rsidRPr="7FBC0748">
        <w:rPr>
          <w:rFonts w:ascii="Times" w:hAnsi="Times"/>
          <w:lang w:val="en-US"/>
        </w:rPr>
        <w:t>1.02-1.25)</w:t>
      </w:r>
      <w:r w:rsidR="008D0569" w:rsidRPr="7FBC0748">
        <w:rPr>
          <w:rFonts w:ascii="Times" w:hAnsi="Times"/>
          <w:lang w:val="en-US"/>
        </w:rPr>
        <w:t xml:space="preserve">, accompanied by a </w:t>
      </w:r>
      <w:r w:rsidR="001F017F" w:rsidRPr="7FBC0748">
        <w:rPr>
          <w:rFonts w:ascii="Times" w:hAnsi="Times"/>
          <w:lang w:val="en-US"/>
        </w:rPr>
        <w:t>continuous</w:t>
      </w:r>
      <w:r w:rsidR="00BF7A38" w:rsidRPr="7FBC0748">
        <w:rPr>
          <w:rFonts w:ascii="Times" w:hAnsi="Times"/>
          <w:lang w:val="en-US"/>
        </w:rPr>
        <w:t xml:space="preserve"> increase in cholesterol</w:t>
      </w:r>
      <w:r w:rsidR="001F017F" w:rsidRPr="7FBC0748">
        <w:rPr>
          <w:rFonts w:ascii="Times" w:hAnsi="Times"/>
          <w:lang w:val="en-US"/>
        </w:rPr>
        <w:t xml:space="preserve"> at three and six months</w:t>
      </w:r>
      <w:r w:rsidR="21680255" w:rsidRPr="7FBC0748">
        <w:rPr>
          <w:rFonts w:ascii="Times" w:hAnsi="Times"/>
          <w:lang w:val="en-US"/>
        </w:rPr>
        <w:t xml:space="preserve"> (</w:t>
      </w:r>
      <w:r w:rsidR="21680255" w:rsidRPr="00666B43">
        <w:rPr>
          <w:rFonts w:ascii="Times" w:hAnsi="Times"/>
          <w:b/>
          <w:bCs/>
          <w:lang w:val="en-US"/>
        </w:rPr>
        <w:t>Table 3</w:t>
      </w:r>
      <w:r w:rsidR="21680255" w:rsidRPr="7FBC0748">
        <w:rPr>
          <w:rFonts w:ascii="Times" w:hAnsi="Times"/>
          <w:lang w:val="en-US"/>
        </w:rPr>
        <w:t>)</w:t>
      </w:r>
      <w:r w:rsidR="00BF7A38" w:rsidRPr="7FBC0748">
        <w:rPr>
          <w:rFonts w:ascii="Times" w:hAnsi="Times"/>
          <w:lang w:val="en-US"/>
        </w:rPr>
        <w:t>. The 4</w:t>
      </w:r>
      <w:r w:rsidR="00BF7A38" w:rsidRPr="7FBC0748">
        <w:rPr>
          <w:rFonts w:ascii="Symbol" w:eastAsia="Symbol" w:hAnsi="Symbol" w:cs="Symbol"/>
          <w:lang w:val="en-US"/>
        </w:rPr>
        <w:t></w:t>
      </w:r>
      <w:r w:rsidR="004F798E" w:rsidRPr="7FBC0748">
        <w:rPr>
          <w:rFonts w:ascii="Symbol" w:eastAsia="Symbol" w:hAnsi="Symbol" w:cs="Symbol"/>
          <w:lang w:val="en-US"/>
        </w:rPr>
        <w:t>-</w:t>
      </w:r>
      <w:r w:rsidR="004F798E" w:rsidRPr="7FBC0748">
        <w:rPr>
          <w:rFonts w:eastAsia="Symbol"/>
          <w:lang w:val="en-US"/>
        </w:rPr>
        <w:t>hydroxycholesterol</w:t>
      </w:r>
      <w:r w:rsidR="004B3BBE" w:rsidRPr="7FBC0748">
        <w:rPr>
          <w:rFonts w:ascii="Times" w:hAnsi="Times"/>
          <w:lang w:val="en-US"/>
        </w:rPr>
        <w:t xml:space="preserve"> decreased </w:t>
      </w:r>
      <w:r w:rsidR="000A01E4" w:rsidRPr="7FBC0748">
        <w:rPr>
          <w:rFonts w:ascii="Times" w:hAnsi="Times"/>
          <w:lang w:val="en-US"/>
        </w:rPr>
        <w:t>slightly</w:t>
      </w:r>
      <w:r w:rsidR="004B3BBE" w:rsidRPr="7FBC0748">
        <w:rPr>
          <w:rFonts w:ascii="Times" w:hAnsi="Times"/>
          <w:lang w:val="en-US"/>
        </w:rPr>
        <w:t xml:space="preserve"> towards baseline after </w:t>
      </w:r>
      <w:r w:rsidR="000A01E4" w:rsidRPr="7FBC0748">
        <w:rPr>
          <w:rFonts w:ascii="Times" w:hAnsi="Times"/>
          <w:lang w:val="en-US"/>
        </w:rPr>
        <w:t>six</w:t>
      </w:r>
      <w:r w:rsidR="004B3BBE" w:rsidRPr="7FBC0748">
        <w:rPr>
          <w:rFonts w:ascii="Times" w:hAnsi="Times"/>
          <w:lang w:val="en-US"/>
        </w:rPr>
        <w:t xml:space="preserve"> months of anti-IL-6R therapy</w:t>
      </w:r>
      <w:r w:rsidR="54D3B485" w:rsidRPr="7FBC0748">
        <w:rPr>
          <w:rFonts w:ascii="Times" w:hAnsi="Times"/>
          <w:lang w:val="en-US"/>
        </w:rPr>
        <w:t xml:space="preserve"> (6 months/baseline GMR 1.04, 95% CI 0.89-1.22)</w:t>
      </w:r>
      <w:r w:rsidR="00CC72E3" w:rsidRPr="7FBC0748">
        <w:rPr>
          <w:rFonts w:ascii="Times" w:hAnsi="Times"/>
          <w:lang w:val="en-US"/>
        </w:rPr>
        <w:t>.</w:t>
      </w:r>
      <w:r w:rsidR="00321521" w:rsidRPr="7FBC0748">
        <w:rPr>
          <w:rFonts w:ascii="Times" w:hAnsi="Times"/>
          <w:lang w:val="en-US"/>
        </w:rPr>
        <w:t xml:space="preserve"> </w:t>
      </w:r>
      <w:r w:rsidR="00B64860" w:rsidRPr="7FBC0748">
        <w:rPr>
          <w:rFonts w:ascii="Times" w:hAnsi="Times"/>
          <w:lang w:val="en-US"/>
        </w:rPr>
        <w:t xml:space="preserve">No changes </w:t>
      </w:r>
      <w:r w:rsidR="003E6526" w:rsidRPr="7FBC0748">
        <w:rPr>
          <w:rFonts w:ascii="Times" w:hAnsi="Times"/>
          <w:lang w:val="en-US"/>
        </w:rPr>
        <w:t>in</w:t>
      </w:r>
      <w:r w:rsidR="00B64860" w:rsidRPr="7FBC0748">
        <w:rPr>
          <w:rFonts w:ascii="Times" w:hAnsi="Times"/>
          <w:lang w:val="en-US"/>
        </w:rPr>
        <w:t xml:space="preserve"> 4</w:t>
      </w:r>
      <w:r w:rsidR="00B64860" w:rsidRPr="7FBC0748">
        <w:rPr>
          <w:rFonts w:ascii="Symbol" w:eastAsia="Symbol" w:hAnsi="Symbol" w:cs="Symbol"/>
          <w:lang w:val="en-US"/>
        </w:rPr>
        <w:t></w:t>
      </w:r>
      <w:r w:rsidR="00B64860" w:rsidRPr="7FBC0748">
        <w:rPr>
          <w:rFonts w:eastAsia="Symbol"/>
          <w:lang w:val="en-US"/>
        </w:rPr>
        <w:t>-hydroxycholesterol</w:t>
      </w:r>
      <w:r w:rsidR="00B64860" w:rsidRPr="7FBC0748">
        <w:rPr>
          <w:rFonts w:ascii="Times" w:hAnsi="Times"/>
          <w:lang w:val="en-US"/>
        </w:rPr>
        <w:t>, cholesterol, or 4</w:t>
      </w:r>
      <w:r w:rsidR="00B64860" w:rsidRPr="7FBC0748">
        <w:rPr>
          <w:rFonts w:ascii="Symbol" w:eastAsia="Symbol" w:hAnsi="Symbol" w:cs="Symbol"/>
          <w:lang w:val="en-US"/>
        </w:rPr>
        <w:t></w:t>
      </w:r>
      <w:r w:rsidR="00B64860" w:rsidRPr="7FBC0748">
        <w:rPr>
          <w:rFonts w:eastAsia="Symbol"/>
          <w:lang w:val="en-US"/>
        </w:rPr>
        <w:t xml:space="preserve">-hydroxycholesterol/cholesterol ratio </w:t>
      </w:r>
      <w:r w:rsidR="003E6526" w:rsidRPr="7FBC0748">
        <w:rPr>
          <w:rFonts w:eastAsia="Symbol"/>
          <w:lang w:val="en-US"/>
        </w:rPr>
        <w:t>were</w:t>
      </w:r>
      <w:r w:rsidR="00B64860" w:rsidRPr="7FBC0748">
        <w:rPr>
          <w:rFonts w:eastAsia="Symbol"/>
          <w:lang w:val="en-US"/>
        </w:rPr>
        <w:t xml:space="preserve"> observed in the adalimumab group</w:t>
      </w:r>
      <w:r w:rsidR="23ED935B" w:rsidRPr="7FBC0748">
        <w:rPr>
          <w:rFonts w:eastAsia="Symbol"/>
          <w:lang w:val="en-US"/>
        </w:rPr>
        <w:t xml:space="preserve"> (</w:t>
      </w:r>
      <w:r w:rsidR="23ED935B" w:rsidRPr="00666B43">
        <w:rPr>
          <w:rFonts w:eastAsia="Symbol"/>
          <w:b/>
          <w:bCs/>
          <w:lang w:val="en-US"/>
        </w:rPr>
        <w:t>Table 3</w:t>
      </w:r>
      <w:r w:rsidR="23ED935B" w:rsidRPr="7FBC0748">
        <w:rPr>
          <w:rFonts w:eastAsia="Symbol"/>
          <w:lang w:val="en-US"/>
        </w:rPr>
        <w:t>)</w:t>
      </w:r>
      <w:r w:rsidR="00B64860" w:rsidRPr="7FBC0748">
        <w:rPr>
          <w:rFonts w:eastAsia="Symbol"/>
          <w:lang w:val="en-US"/>
        </w:rPr>
        <w:t>.</w:t>
      </w:r>
      <w:r w:rsidR="00B64860" w:rsidRPr="7FBC0748">
        <w:rPr>
          <w:rFonts w:ascii="Times" w:hAnsi="Times"/>
          <w:lang w:val="en-US"/>
        </w:rPr>
        <w:t xml:space="preserve"> </w:t>
      </w:r>
    </w:p>
    <w:p w14:paraId="2132C357" w14:textId="77777777" w:rsidR="00F54285" w:rsidRDefault="00F54285" w:rsidP="009A2F16">
      <w:pPr>
        <w:spacing w:line="360" w:lineRule="auto"/>
        <w:jc w:val="both"/>
        <w:rPr>
          <w:rFonts w:ascii="Times" w:hAnsi="Times"/>
          <w:lang w:val="en-US"/>
        </w:rPr>
      </w:pPr>
    </w:p>
    <w:p w14:paraId="17AD8335" w14:textId="71A7E989" w:rsidR="008356CB" w:rsidRDefault="00D7462F" w:rsidP="009A2F16">
      <w:pPr>
        <w:spacing w:line="360" w:lineRule="auto"/>
        <w:jc w:val="both"/>
        <w:rPr>
          <w:rFonts w:ascii="Times" w:hAnsi="Times"/>
          <w:lang w:val="en-US"/>
        </w:rPr>
      </w:pPr>
      <w:r>
        <w:rPr>
          <w:rFonts w:ascii="Times" w:hAnsi="Times"/>
          <w:lang w:val="en-US"/>
        </w:rPr>
        <w:t>I</w:t>
      </w:r>
      <w:r w:rsidR="007134B4">
        <w:rPr>
          <w:rFonts w:ascii="Times" w:hAnsi="Times"/>
          <w:lang w:val="en-US"/>
        </w:rPr>
        <w:t xml:space="preserve">nitiation of </w:t>
      </w:r>
      <w:r w:rsidR="00987873">
        <w:rPr>
          <w:rFonts w:ascii="Times" w:hAnsi="Times"/>
          <w:lang w:val="en-US"/>
        </w:rPr>
        <w:t xml:space="preserve">treatment </w:t>
      </w:r>
      <w:r w:rsidR="001C7ED0">
        <w:rPr>
          <w:rFonts w:ascii="Times" w:hAnsi="Times"/>
          <w:lang w:val="en-US"/>
        </w:rPr>
        <w:t xml:space="preserve">was </w:t>
      </w:r>
      <w:r w:rsidR="00987873">
        <w:rPr>
          <w:rFonts w:ascii="Times" w:hAnsi="Times"/>
          <w:lang w:val="en-US"/>
        </w:rPr>
        <w:t xml:space="preserve">associated with </w:t>
      </w:r>
      <w:r w:rsidR="00AB3836">
        <w:rPr>
          <w:rFonts w:ascii="Times" w:hAnsi="Times"/>
          <w:lang w:val="en-US"/>
        </w:rPr>
        <w:t xml:space="preserve">statistically </w:t>
      </w:r>
      <w:r w:rsidR="00987873">
        <w:rPr>
          <w:rFonts w:ascii="Times" w:hAnsi="Times"/>
          <w:lang w:val="en-US"/>
        </w:rPr>
        <w:t>significant changes in inflammation after three and six months of treatment</w:t>
      </w:r>
      <w:r>
        <w:rPr>
          <w:rFonts w:ascii="Times" w:hAnsi="Times"/>
          <w:lang w:val="en-US"/>
        </w:rPr>
        <w:t xml:space="preserve"> in</w:t>
      </w:r>
      <w:r w:rsidRPr="007134B4">
        <w:rPr>
          <w:rFonts w:ascii="Times" w:hAnsi="Times"/>
          <w:lang w:val="en-US"/>
        </w:rPr>
        <w:t xml:space="preserve"> the </w:t>
      </w:r>
      <w:r w:rsidR="001F017F">
        <w:rPr>
          <w:rFonts w:ascii="Times" w:hAnsi="Times"/>
          <w:lang w:val="en-US"/>
        </w:rPr>
        <w:t xml:space="preserve">tocilizumab </w:t>
      </w:r>
      <w:r w:rsidR="00EB21E3">
        <w:rPr>
          <w:rFonts w:ascii="Times" w:hAnsi="Times"/>
          <w:lang w:val="en-US"/>
        </w:rPr>
        <w:t>and the adalimumab groups</w:t>
      </w:r>
      <w:r w:rsidR="001F1FA3">
        <w:rPr>
          <w:rFonts w:ascii="Times" w:hAnsi="Times"/>
          <w:lang w:val="en-US"/>
        </w:rPr>
        <w:t xml:space="preserve"> (</w:t>
      </w:r>
      <w:r w:rsidR="001F1FA3" w:rsidRPr="001F1FA3">
        <w:rPr>
          <w:rFonts w:ascii="Times" w:hAnsi="Times"/>
          <w:b/>
          <w:bCs/>
          <w:lang w:val="en-US"/>
        </w:rPr>
        <w:t xml:space="preserve">Figure </w:t>
      </w:r>
      <w:r w:rsidR="003A257D">
        <w:rPr>
          <w:rFonts w:ascii="Times" w:hAnsi="Times"/>
          <w:b/>
          <w:bCs/>
          <w:lang w:val="en-US"/>
        </w:rPr>
        <w:t>3</w:t>
      </w:r>
      <w:r w:rsidR="001F1FA3">
        <w:rPr>
          <w:rFonts w:ascii="Times" w:hAnsi="Times"/>
          <w:lang w:val="en-US"/>
        </w:rPr>
        <w:t>)</w:t>
      </w:r>
      <w:r w:rsidR="00987873">
        <w:rPr>
          <w:rFonts w:ascii="Times" w:hAnsi="Times"/>
          <w:lang w:val="en-US"/>
        </w:rPr>
        <w:t xml:space="preserve">. In the </w:t>
      </w:r>
      <w:r w:rsidR="001F017F">
        <w:rPr>
          <w:rFonts w:ascii="Times" w:hAnsi="Times"/>
          <w:lang w:val="en-US"/>
        </w:rPr>
        <w:t>tocilizumab group</w:t>
      </w:r>
      <w:r>
        <w:rPr>
          <w:rFonts w:ascii="Times" w:hAnsi="Times"/>
          <w:lang w:val="en-US"/>
        </w:rPr>
        <w:t>,</w:t>
      </w:r>
      <w:r w:rsidR="00987873">
        <w:rPr>
          <w:rFonts w:ascii="Times" w:hAnsi="Times"/>
          <w:lang w:val="en-US"/>
        </w:rPr>
        <w:t xml:space="preserve"> </w:t>
      </w:r>
      <w:r w:rsidR="00F234E6">
        <w:rPr>
          <w:rFonts w:ascii="Times" w:hAnsi="Times"/>
          <w:lang w:val="en-US"/>
        </w:rPr>
        <w:t xml:space="preserve">hsCRP </w:t>
      </w:r>
      <w:r w:rsidR="004D6108">
        <w:rPr>
          <w:rFonts w:ascii="Times" w:hAnsi="Times"/>
          <w:lang w:val="en-US"/>
        </w:rPr>
        <w:t>was</w:t>
      </w:r>
      <w:r w:rsidR="00F234E6">
        <w:rPr>
          <w:rFonts w:ascii="Times" w:hAnsi="Times"/>
          <w:lang w:val="en-US"/>
        </w:rPr>
        <w:t xml:space="preserve"> suppressed at three months and six months, while IL-6 </w:t>
      </w:r>
      <w:r w:rsidR="00E95614">
        <w:rPr>
          <w:rFonts w:ascii="Times" w:hAnsi="Times"/>
          <w:lang w:val="en-US"/>
        </w:rPr>
        <w:t xml:space="preserve">was </w:t>
      </w:r>
      <w:r w:rsidR="008728DB">
        <w:rPr>
          <w:rFonts w:ascii="Times" w:hAnsi="Times"/>
          <w:lang w:val="en-US"/>
        </w:rPr>
        <w:t xml:space="preserve">higher at both follow-ups compared to baseline. </w:t>
      </w:r>
      <w:r w:rsidR="003030E3">
        <w:rPr>
          <w:rFonts w:ascii="Times" w:hAnsi="Times"/>
          <w:lang w:val="en-US"/>
        </w:rPr>
        <w:t>TNF-</w:t>
      </w:r>
      <w:r>
        <w:rPr>
          <w:rFonts w:ascii="Symbol" w:eastAsia="Symbol" w:hAnsi="Symbol" w:cs="Symbol"/>
          <w:lang w:val="en-US"/>
        </w:rPr>
        <w:t></w:t>
      </w:r>
      <w:r w:rsidR="003030E3">
        <w:rPr>
          <w:rFonts w:ascii="Times" w:hAnsi="Times"/>
          <w:lang w:val="en-US"/>
        </w:rPr>
        <w:t xml:space="preserve"> </w:t>
      </w:r>
      <w:r w:rsidR="004D6108">
        <w:rPr>
          <w:rFonts w:ascii="Times" w:hAnsi="Times"/>
          <w:lang w:val="en-US"/>
        </w:rPr>
        <w:t xml:space="preserve">was </w:t>
      </w:r>
      <w:r w:rsidR="003030E3">
        <w:rPr>
          <w:rFonts w:ascii="Times" w:hAnsi="Times"/>
          <w:lang w:val="en-US"/>
        </w:rPr>
        <w:t xml:space="preserve">lower following </w:t>
      </w:r>
      <w:r w:rsidR="004D6108">
        <w:rPr>
          <w:rFonts w:ascii="Times" w:hAnsi="Times"/>
          <w:lang w:val="en-US"/>
        </w:rPr>
        <w:t>six</w:t>
      </w:r>
      <w:r w:rsidR="003030E3">
        <w:rPr>
          <w:rFonts w:ascii="Times" w:hAnsi="Times"/>
          <w:lang w:val="en-US"/>
        </w:rPr>
        <w:t xml:space="preserve"> months of tocilizumab therapy compared to baseline. </w:t>
      </w:r>
      <w:r w:rsidR="00FC32C7">
        <w:rPr>
          <w:rFonts w:ascii="Times" w:hAnsi="Times"/>
          <w:lang w:val="en-US"/>
        </w:rPr>
        <w:t xml:space="preserve">In the </w:t>
      </w:r>
      <w:r w:rsidR="00495A40">
        <w:rPr>
          <w:rFonts w:ascii="Times" w:hAnsi="Times"/>
          <w:lang w:val="en-US"/>
        </w:rPr>
        <w:t>adalimumab group</w:t>
      </w:r>
      <w:r w:rsidR="001F1FA3">
        <w:rPr>
          <w:rFonts w:ascii="Times" w:hAnsi="Times"/>
          <w:lang w:val="en-US"/>
        </w:rPr>
        <w:t>,</w:t>
      </w:r>
      <w:r w:rsidR="00FC32C7">
        <w:rPr>
          <w:rFonts w:ascii="Times" w:hAnsi="Times"/>
          <w:lang w:val="en-US"/>
        </w:rPr>
        <w:t xml:space="preserve"> hsCRP, IL-6, and TNF-</w:t>
      </w:r>
      <w:r>
        <w:rPr>
          <w:rFonts w:ascii="Symbol" w:eastAsia="Symbol" w:hAnsi="Symbol" w:cs="Symbol"/>
          <w:lang w:val="en-US"/>
        </w:rPr>
        <w:t></w:t>
      </w:r>
      <w:r w:rsidR="00FC32C7">
        <w:rPr>
          <w:rFonts w:ascii="Times" w:hAnsi="Times"/>
          <w:lang w:val="en-US"/>
        </w:rPr>
        <w:t xml:space="preserve"> </w:t>
      </w:r>
      <w:r w:rsidR="00F71908">
        <w:rPr>
          <w:rFonts w:ascii="Times" w:hAnsi="Times"/>
          <w:lang w:val="en-US"/>
        </w:rPr>
        <w:t xml:space="preserve">were </w:t>
      </w:r>
      <w:r w:rsidR="00FC32C7">
        <w:rPr>
          <w:rFonts w:ascii="Times" w:hAnsi="Times"/>
          <w:lang w:val="en-US"/>
        </w:rPr>
        <w:t xml:space="preserve">lower </w:t>
      </w:r>
      <w:r w:rsidR="00761414">
        <w:rPr>
          <w:rFonts w:ascii="Times" w:hAnsi="Times"/>
          <w:lang w:val="en-US"/>
        </w:rPr>
        <w:t>after three and six months of treatment. In contrast, IFN-</w:t>
      </w:r>
      <w:r>
        <w:rPr>
          <w:rFonts w:ascii="Symbol" w:eastAsia="Symbol" w:hAnsi="Symbol" w:cs="Symbol"/>
          <w:lang w:val="en-US"/>
        </w:rPr>
        <w:t></w:t>
      </w:r>
      <w:r w:rsidR="00761414">
        <w:rPr>
          <w:rFonts w:ascii="Times" w:hAnsi="Times"/>
          <w:lang w:val="en-US"/>
        </w:rPr>
        <w:t xml:space="preserve"> </w:t>
      </w:r>
      <w:r w:rsidR="00A570DD">
        <w:rPr>
          <w:rFonts w:ascii="Times" w:hAnsi="Times"/>
          <w:lang w:val="en-US"/>
        </w:rPr>
        <w:t xml:space="preserve">was </w:t>
      </w:r>
      <w:r w:rsidR="00761414">
        <w:rPr>
          <w:rFonts w:ascii="Times" w:hAnsi="Times"/>
          <w:lang w:val="en-US"/>
        </w:rPr>
        <w:t>higher after three and six months of adalimumab therapy</w:t>
      </w:r>
      <w:r w:rsidR="00A570DD">
        <w:rPr>
          <w:rFonts w:ascii="Times" w:hAnsi="Times"/>
          <w:lang w:val="en-US"/>
        </w:rPr>
        <w:t xml:space="preserve"> compared to baseline</w:t>
      </w:r>
      <w:r w:rsidR="001F1FA3">
        <w:rPr>
          <w:rFonts w:ascii="Times" w:hAnsi="Times"/>
          <w:lang w:val="en-US"/>
        </w:rPr>
        <w:t xml:space="preserve"> (</w:t>
      </w:r>
      <w:r w:rsidR="001F1FA3" w:rsidRPr="001F1FA3">
        <w:rPr>
          <w:rFonts w:ascii="Times" w:hAnsi="Times"/>
          <w:b/>
          <w:bCs/>
          <w:lang w:val="en-US"/>
        </w:rPr>
        <w:t xml:space="preserve">Table </w:t>
      </w:r>
      <w:r w:rsidR="00AB44AA">
        <w:rPr>
          <w:rFonts w:ascii="Times" w:hAnsi="Times"/>
          <w:b/>
          <w:bCs/>
          <w:lang w:val="en-US"/>
        </w:rPr>
        <w:t>4</w:t>
      </w:r>
      <w:r w:rsidR="001F1FA3">
        <w:rPr>
          <w:rFonts w:ascii="Times" w:hAnsi="Times"/>
          <w:lang w:val="en-US"/>
        </w:rPr>
        <w:t xml:space="preserve"> and </w:t>
      </w:r>
      <w:r w:rsidR="001F1FA3" w:rsidRPr="001F1FA3">
        <w:rPr>
          <w:rFonts w:ascii="Times" w:hAnsi="Times"/>
          <w:b/>
          <w:bCs/>
          <w:lang w:val="en-US"/>
        </w:rPr>
        <w:t xml:space="preserve">Figure </w:t>
      </w:r>
      <w:r w:rsidR="003A257D">
        <w:rPr>
          <w:rFonts w:ascii="Times" w:hAnsi="Times"/>
          <w:b/>
          <w:bCs/>
          <w:lang w:val="en-US"/>
        </w:rPr>
        <w:t>3</w:t>
      </w:r>
      <w:r w:rsidR="001F1FA3">
        <w:rPr>
          <w:rFonts w:ascii="Times" w:hAnsi="Times"/>
          <w:lang w:val="en-US"/>
        </w:rPr>
        <w:t>)</w:t>
      </w:r>
      <w:r w:rsidR="00761414">
        <w:rPr>
          <w:rFonts w:ascii="Times" w:hAnsi="Times"/>
          <w:lang w:val="en-US"/>
        </w:rPr>
        <w:t xml:space="preserve">. </w:t>
      </w:r>
      <w:r w:rsidR="009C04C7">
        <w:rPr>
          <w:rFonts w:ascii="Times" w:hAnsi="Times"/>
          <w:lang w:val="en-US"/>
        </w:rPr>
        <w:t xml:space="preserve">In the </w:t>
      </w:r>
      <w:r w:rsidR="00495A40">
        <w:rPr>
          <w:rFonts w:ascii="Times" w:hAnsi="Times"/>
          <w:lang w:val="en-US"/>
        </w:rPr>
        <w:t>tocilizumab group</w:t>
      </w:r>
      <w:r w:rsidR="009C04C7">
        <w:rPr>
          <w:rFonts w:ascii="Times" w:hAnsi="Times"/>
          <w:lang w:val="en-US"/>
        </w:rPr>
        <w:t xml:space="preserve">, </w:t>
      </w:r>
      <w:r w:rsidR="000B4E9C">
        <w:rPr>
          <w:rFonts w:ascii="Times" w:hAnsi="Times"/>
          <w:lang w:val="en-US"/>
        </w:rPr>
        <w:t xml:space="preserve">the soluble IL-6 receptor concentrations </w:t>
      </w:r>
      <w:r w:rsidR="009C04C7">
        <w:rPr>
          <w:rFonts w:ascii="Times" w:hAnsi="Times"/>
          <w:lang w:val="en-US"/>
        </w:rPr>
        <w:t xml:space="preserve">increased during </w:t>
      </w:r>
      <w:r w:rsidR="0076330B">
        <w:rPr>
          <w:rFonts w:ascii="Times" w:hAnsi="Times"/>
          <w:lang w:val="en-US"/>
        </w:rPr>
        <w:t>anti-IL-6R therapy (</w:t>
      </w:r>
      <w:r w:rsidR="0076330B" w:rsidRPr="0076330B">
        <w:rPr>
          <w:rFonts w:ascii="Times" w:hAnsi="Times"/>
          <w:b/>
          <w:bCs/>
          <w:lang w:val="en-US"/>
        </w:rPr>
        <w:t>Table 4</w:t>
      </w:r>
      <w:r w:rsidR="0076330B">
        <w:rPr>
          <w:rFonts w:ascii="Times" w:hAnsi="Times"/>
          <w:lang w:val="en-US"/>
        </w:rPr>
        <w:t>).</w:t>
      </w:r>
    </w:p>
    <w:p w14:paraId="6009288A" w14:textId="77777777" w:rsidR="003A3090" w:rsidRDefault="003A3090" w:rsidP="003A3090">
      <w:pPr>
        <w:spacing w:line="360" w:lineRule="auto"/>
        <w:jc w:val="both"/>
        <w:rPr>
          <w:rFonts w:ascii="Times" w:hAnsi="Times"/>
          <w:lang w:val="en-US"/>
        </w:rPr>
      </w:pPr>
    </w:p>
    <w:p w14:paraId="58B65DB6" w14:textId="3DDB8354" w:rsidR="00A00ED8" w:rsidRPr="003A3090" w:rsidRDefault="00A00ED8" w:rsidP="003A3090">
      <w:pPr>
        <w:spacing w:line="360" w:lineRule="auto"/>
        <w:jc w:val="both"/>
        <w:rPr>
          <w:rFonts w:ascii="Times" w:hAnsi="Times"/>
          <w:b/>
          <w:bCs/>
          <w:lang w:val="en-US"/>
        </w:rPr>
      </w:pPr>
      <w:r w:rsidRPr="003A3090">
        <w:rPr>
          <w:rFonts w:ascii="Times" w:hAnsi="Times"/>
          <w:b/>
          <w:bCs/>
          <w:lang w:val="en-US"/>
        </w:rPr>
        <w:lastRenderedPageBreak/>
        <w:t>DISCUSSION</w:t>
      </w:r>
    </w:p>
    <w:p w14:paraId="7B1BDBA2" w14:textId="42DA43EB" w:rsidR="001C59CF" w:rsidRDefault="0030306C" w:rsidP="7FBC0748">
      <w:pPr>
        <w:spacing w:line="360" w:lineRule="auto"/>
        <w:jc w:val="both"/>
        <w:rPr>
          <w:rFonts w:ascii="Times" w:hAnsi="Times"/>
          <w:lang w:val="en-US"/>
        </w:rPr>
      </w:pPr>
      <w:r w:rsidRPr="7FBC0748">
        <w:rPr>
          <w:rFonts w:ascii="Times" w:hAnsi="Times"/>
          <w:lang w:val="en-US"/>
        </w:rPr>
        <w:t>In this study,</w:t>
      </w:r>
      <w:r w:rsidR="00A66744" w:rsidRPr="7FBC0748">
        <w:rPr>
          <w:rFonts w:ascii="Times" w:hAnsi="Times"/>
          <w:lang w:val="en-US"/>
        </w:rPr>
        <w:t xml:space="preserve"> we</w:t>
      </w:r>
      <w:r w:rsidRPr="7FBC0748">
        <w:rPr>
          <w:rFonts w:ascii="Times" w:hAnsi="Times"/>
          <w:lang w:val="en-US"/>
        </w:rPr>
        <w:t xml:space="preserve"> </w:t>
      </w:r>
      <w:r w:rsidR="00A66744" w:rsidRPr="7FBC0748">
        <w:rPr>
          <w:rFonts w:ascii="Times" w:hAnsi="Times"/>
          <w:lang w:val="en-US"/>
        </w:rPr>
        <w:t xml:space="preserve">combined </w:t>
      </w:r>
      <w:r w:rsidR="00583690" w:rsidRPr="7FBC0748">
        <w:rPr>
          <w:rFonts w:ascii="Times" w:hAnsi="Times"/>
          <w:lang w:val="en-US"/>
        </w:rPr>
        <w:t xml:space="preserve">a </w:t>
      </w:r>
      <w:r w:rsidR="007F40A2" w:rsidRPr="7FBC0748">
        <w:rPr>
          <w:rFonts w:ascii="Times" w:hAnsi="Times"/>
          <w:lang w:val="en-US"/>
        </w:rPr>
        <w:t xml:space="preserve">clinical pharmacokinetic trial </w:t>
      </w:r>
      <w:r w:rsidRPr="7FBC0748">
        <w:rPr>
          <w:rFonts w:ascii="Times" w:hAnsi="Times"/>
          <w:lang w:val="en-US"/>
        </w:rPr>
        <w:t xml:space="preserve">and </w:t>
      </w:r>
      <w:r w:rsidR="00583690" w:rsidRPr="7FBC0748">
        <w:rPr>
          <w:rFonts w:ascii="Times" w:hAnsi="Times"/>
          <w:lang w:val="en-US"/>
        </w:rPr>
        <w:t xml:space="preserve">a </w:t>
      </w:r>
      <w:r w:rsidRPr="7FBC0748">
        <w:rPr>
          <w:rFonts w:ascii="Times" w:hAnsi="Times"/>
          <w:lang w:val="en-US"/>
        </w:rPr>
        <w:t xml:space="preserve">retrospective observational </w:t>
      </w:r>
      <w:r w:rsidR="00830E29" w:rsidRPr="7FBC0748">
        <w:rPr>
          <w:rFonts w:ascii="Times" w:hAnsi="Times"/>
          <w:lang w:val="en-US"/>
        </w:rPr>
        <w:t xml:space="preserve">study </w:t>
      </w:r>
      <w:r w:rsidR="00F67AA1" w:rsidRPr="7FBC0748">
        <w:rPr>
          <w:rFonts w:ascii="Times" w:hAnsi="Times"/>
          <w:lang w:val="en-US"/>
        </w:rPr>
        <w:t xml:space="preserve">to assess the impact of continuous anti-IL-6R therapy on </w:t>
      </w:r>
      <w:r w:rsidR="00FC34D0" w:rsidRPr="7FBC0748">
        <w:rPr>
          <w:rFonts w:ascii="Times" w:hAnsi="Times"/>
          <w:lang w:val="en-US"/>
        </w:rPr>
        <w:t xml:space="preserve">CYP-mediated </w:t>
      </w:r>
      <w:r w:rsidR="00FC4D9E" w:rsidRPr="7FBC0748">
        <w:rPr>
          <w:rFonts w:ascii="Times" w:hAnsi="Times"/>
          <w:lang w:val="en-US"/>
        </w:rPr>
        <w:t xml:space="preserve">drug </w:t>
      </w:r>
      <w:r w:rsidR="00FC34D0" w:rsidRPr="7FBC0748">
        <w:rPr>
          <w:rFonts w:ascii="Times" w:hAnsi="Times"/>
          <w:lang w:val="en-US"/>
        </w:rPr>
        <w:t>metabolism.</w:t>
      </w:r>
      <w:r w:rsidR="00A81E8A" w:rsidRPr="7FBC0748">
        <w:rPr>
          <w:rFonts w:ascii="Times" w:hAnsi="Times"/>
          <w:lang w:val="en-US"/>
        </w:rPr>
        <w:t xml:space="preserve"> Based on the primary endpoint </w:t>
      </w:r>
      <w:r w:rsidR="005A31A3" w:rsidRPr="7FBC0748">
        <w:rPr>
          <w:rFonts w:ascii="Times" w:hAnsi="Times"/>
          <w:lang w:val="en-US"/>
        </w:rPr>
        <w:t xml:space="preserve">midazolam metabolic ratio </w:t>
      </w:r>
      <w:r w:rsidR="006529E5" w:rsidRPr="7FBC0748">
        <w:rPr>
          <w:rFonts w:eastAsia="Symbol"/>
          <w:lang w:val="en-US"/>
        </w:rPr>
        <w:t xml:space="preserve"> </w:t>
      </w:r>
      <w:r w:rsidR="00FF06B7" w:rsidRPr="7FBC0748">
        <w:rPr>
          <w:rFonts w:eastAsia="Symbol"/>
          <w:lang w:val="en-US"/>
        </w:rPr>
        <w:t xml:space="preserve">we observe a slight trend towards </w:t>
      </w:r>
      <w:r w:rsidR="77C9BF41" w:rsidRPr="7FBC0748">
        <w:rPr>
          <w:rFonts w:eastAsia="Symbol"/>
          <w:lang w:val="en-US"/>
        </w:rPr>
        <w:t xml:space="preserve">a weak </w:t>
      </w:r>
      <w:r w:rsidR="00FF06B7" w:rsidRPr="7FBC0748">
        <w:rPr>
          <w:rFonts w:eastAsia="Symbol"/>
          <w:lang w:val="en-US"/>
        </w:rPr>
        <w:t>increase</w:t>
      </w:r>
      <w:r w:rsidR="6732F28F" w:rsidRPr="7FBC0748">
        <w:rPr>
          <w:rFonts w:eastAsia="Symbol"/>
          <w:lang w:val="en-US"/>
        </w:rPr>
        <w:t xml:space="preserve"> in</w:t>
      </w:r>
      <w:r w:rsidR="00FF06B7" w:rsidRPr="7FBC0748">
        <w:rPr>
          <w:rFonts w:eastAsia="Symbol"/>
          <w:lang w:val="en-US"/>
        </w:rPr>
        <w:t xml:space="preserve"> CYP3A4 activity in patients with rheumatoid arthritis after three weeks of anti-IL-6R therapy. CYP3A4 activity seems to return to baseline levels after 12 weeks of </w:t>
      </w:r>
      <w:r w:rsidR="00495A40" w:rsidRPr="7FBC0748">
        <w:rPr>
          <w:rFonts w:eastAsia="Symbol"/>
          <w:lang w:val="en-US"/>
        </w:rPr>
        <w:t>treatment</w:t>
      </w:r>
      <w:r w:rsidR="00FF06B7" w:rsidRPr="7FBC0748">
        <w:rPr>
          <w:rFonts w:eastAsia="Symbol"/>
          <w:lang w:val="en-US"/>
        </w:rPr>
        <w:t xml:space="preserve">. </w:t>
      </w:r>
      <w:r w:rsidR="00A53032" w:rsidRPr="7FBC0748">
        <w:rPr>
          <w:rFonts w:eastAsia="Symbol"/>
          <w:lang w:val="en-US"/>
        </w:rPr>
        <w:t xml:space="preserve">However, the limited number of trial subjects restricts any clear conclusions, and further studies are needed to elucidate this potentially transient effect on CYP3A4 activity. </w:t>
      </w:r>
      <w:r w:rsidR="1665D38D" w:rsidRPr="7FBC0748">
        <w:rPr>
          <w:rFonts w:eastAsia="Symbol"/>
          <w:lang w:val="en-US"/>
        </w:rPr>
        <w:t>We observe</w:t>
      </w:r>
      <w:r w:rsidR="7614BD8A" w:rsidRPr="7FBC0748">
        <w:rPr>
          <w:rFonts w:eastAsia="Symbol"/>
          <w:lang w:val="en-US"/>
        </w:rPr>
        <w:t>d</w:t>
      </w:r>
      <w:r w:rsidR="1665D38D" w:rsidRPr="7FBC0748">
        <w:rPr>
          <w:rFonts w:eastAsia="Symbol"/>
          <w:lang w:val="en-US"/>
        </w:rPr>
        <w:t xml:space="preserve"> no clinically meaningful changes in </w:t>
      </w:r>
      <w:r w:rsidR="1665D38D" w:rsidRPr="7FBC0748">
        <w:rPr>
          <w:rFonts w:ascii="Times" w:hAnsi="Times"/>
          <w:lang w:val="en-US"/>
        </w:rPr>
        <w:t>4</w:t>
      </w:r>
      <w:r w:rsidR="1665D38D" w:rsidRPr="7FBC0748">
        <w:rPr>
          <w:rFonts w:ascii="Symbol" w:eastAsia="Symbol" w:hAnsi="Symbol" w:cs="Symbol"/>
          <w:lang w:val="en-US"/>
        </w:rPr>
        <w:t></w:t>
      </w:r>
      <w:r w:rsidR="1665D38D" w:rsidRPr="7FBC0748">
        <w:rPr>
          <w:rFonts w:ascii="Times" w:hAnsi="Times"/>
          <w:lang w:val="en-US"/>
        </w:rPr>
        <w:t>-hydroxycholesterol/cholesterol ratio</w:t>
      </w:r>
      <w:r w:rsidR="7FDCDFF0" w:rsidRPr="7FBC0748">
        <w:rPr>
          <w:rFonts w:ascii="Times" w:hAnsi="Times"/>
          <w:lang w:val="en-US"/>
        </w:rPr>
        <w:t>.</w:t>
      </w:r>
    </w:p>
    <w:p w14:paraId="0E91FD7B" w14:textId="11B6113B" w:rsidR="001C59CF" w:rsidRDefault="001C59CF" w:rsidP="009A2F16">
      <w:pPr>
        <w:spacing w:line="360" w:lineRule="auto"/>
        <w:jc w:val="both"/>
        <w:rPr>
          <w:rFonts w:ascii="Times" w:hAnsi="Times"/>
          <w:lang w:val="en-US"/>
        </w:rPr>
      </w:pPr>
    </w:p>
    <w:p w14:paraId="1AF38E11" w14:textId="426A974E" w:rsidR="001C59CF" w:rsidRPr="0064709E" w:rsidRDefault="001D047A">
      <w:pPr>
        <w:spacing w:line="360" w:lineRule="auto"/>
        <w:jc w:val="both"/>
        <w:rPr>
          <w:rFonts w:ascii="Times" w:hAnsi="Times"/>
          <w:lang w:val="en-US"/>
        </w:rPr>
      </w:pPr>
      <w:r w:rsidRPr="7FBC0748">
        <w:rPr>
          <w:rFonts w:ascii="Times" w:hAnsi="Times"/>
          <w:lang w:val="en-US"/>
        </w:rPr>
        <w:t xml:space="preserve">Inflammation and IL-6 have been linked to decreased CYP </w:t>
      </w:r>
      <w:r w:rsidR="00E45F5F" w:rsidRPr="7FBC0748">
        <w:rPr>
          <w:rFonts w:ascii="Times" w:hAnsi="Times"/>
          <w:lang w:val="en-US"/>
        </w:rPr>
        <w:t xml:space="preserve">enzyme </w:t>
      </w:r>
      <w:r w:rsidR="004D128B" w:rsidRPr="7FBC0748">
        <w:rPr>
          <w:rFonts w:ascii="Times" w:hAnsi="Times"/>
          <w:lang w:val="en-US"/>
        </w:rPr>
        <w:t>a</w:t>
      </w:r>
      <w:r w:rsidRPr="7FBC0748">
        <w:rPr>
          <w:rFonts w:ascii="Times" w:hAnsi="Times"/>
          <w:lang w:val="en-US"/>
        </w:rPr>
        <w:t>ctivity</w:t>
      </w:r>
      <w:r w:rsidR="00E551D2" w:rsidRPr="7FBC0748">
        <w:rPr>
          <w:rFonts w:ascii="Times" w:hAnsi="Times"/>
          <w:lang w:val="en-US"/>
        </w:rPr>
        <w:t>,</w:t>
      </w:r>
      <w:r w:rsidRPr="7FBC0748">
        <w:rPr>
          <w:rFonts w:ascii="Times" w:hAnsi="Times"/>
          <w:lang w:val="en-US"/>
        </w:rPr>
        <w:t xml:space="preserve"> and </w:t>
      </w:r>
      <w:r w:rsidR="00171B65" w:rsidRPr="7FBC0748">
        <w:rPr>
          <w:rFonts w:ascii="Times" w:hAnsi="Times"/>
          <w:lang w:val="en-US"/>
        </w:rPr>
        <w:t xml:space="preserve">anti-IL-6R therapy </w:t>
      </w:r>
      <w:r w:rsidR="001C0414" w:rsidRPr="7FBC0748">
        <w:rPr>
          <w:rFonts w:ascii="Times" w:hAnsi="Times"/>
          <w:lang w:val="en-US"/>
        </w:rPr>
        <w:t>reverse</w:t>
      </w:r>
      <w:r w:rsidR="00037B58" w:rsidRPr="7FBC0748">
        <w:rPr>
          <w:rFonts w:ascii="Times" w:hAnsi="Times"/>
          <w:lang w:val="en-US"/>
        </w:rPr>
        <w:t>s</w:t>
      </w:r>
      <w:r w:rsidR="00171B65" w:rsidRPr="7FBC0748">
        <w:rPr>
          <w:rFonts w:ascii="Times" w:hAnsi="Times"/>
          <w:lang w:val="en-US"/>
        </w:rPr>
        <w:t xml:space="preserve"> </w:t>
      </w:r>
      <w:r w:rsidR="001B43B9" w:rsidRPr="7FBC0748">
        <w:rPr>
          <w:rFonts w:ascii="Times" w:hAnsi="Times"/>
          <w:lang w:val="en-US"/>
        </w:rPr>
        <w:t>the suppression of CYP enzymes</w:t>
      </w:r>
      <w:r w:rsidR="001C0414" w:rsidRPr="7FBC0748">
        <w:rPr>
          <w:rFonts w:ascii="Times" w:hAnsi="Times"/>
          <w:lang w:val="en-US"/>
        </w:rPr>
        <w:t xml:space="preserve">, hence normalizing CYP </w:t>
      </w:r>
      <w:r w:rsidR="004D128B" w:rsidRPr="7FBC0748">
        <w:rPr>
          <w:rFonts w:ascii="Times" w:hAnsi="Times"/>
          <w:lang w:val="en-US"/>
        </w:rPr>
        <w:t xml:space="preserve">enzyme </w:t>
      </w:r>
      <w:r w:rsidR="001C0414" w:rsidRPr="7FBC0748">
        <w:rPr>
          <w:rFonts w:ascii="Times" w:hAnsi="Times"/>
          <w:lang w:val="en-US"/>
        </w:rPr>
        <w:t>activity</w:t>
      </w:r>
      <w:r w:rsidR="00BE17DA" w:rsidRPr="7FBC0748">
        <w:rPr>
          <w:rFonts w:ascii="Times" w:hAnsi="Times"/>
          <w:lang w:val="en-US"/>
        </w:rPr>
        <w:t xml:space="preserve"> </w:t>
      </w:r>
      <w:r w:rsidRPr="7FBC0748">
        <w:rPr>
          <w:rFonts w:ascii="Times" w:hAnsi="Times"/>
          <w:lang w:val="en-US"/>
        </w:rPr>
        <w:fldChar w:fldCharType="begin"/>
      </w:r>
      <w:r w:rsidRPr="7FBC0748">
        <w:rPr>
          <w:rFonts w:ascii="Times" w:hAnsi="Times"/>
          <w:lang w:val="en-US"/>
        </w:rPr>
        <w:instrText xml:space="preserve"> ADDIN ZOTERO_ITEM CSL_CITATION {"citationID":"MbkilnxW","properties":{"formattedCitation":"(12,13)","plainCitation":"(12,13)","noteIndex":0},"citationItems":[{"id":8,"uris":["http://zotero.org/users/4954704/items/Z7HFABBX"],"itemData":{"id":8,"type":"article-journal","abstract":"In rheumatoid arthritis (RA), interleukin-6 (IL-6) concentration is elevated, which may cause reduced cytochrome P450 (CYP) activity and increased exposure (peak plasma concentration and area under the plasma concentration-vs.-time curve (AUC)) to certain drugs. Tocilizumab may reverse IL-6-induced suppression of CYP3A4 activity. In this study, exposure to simvastatin was significantly reduced at 1 and 5 weeks after tocilizumab infusion in 12 patients with RA. The mean effect ratio for simvastatin AUClast was 43% (90% confidence interval (CI), 34–55%) at 1 week after tocilizumab infusion (day 15) and 61% (90% CI, 47–78%) at 5 weeks after tocilizumab infusion, as compared with baseline (day 1); both ratios were significantly lower than the bioequivalence boundary (80–125%). Mean plasma C-reactive protein (CRP) levels normalized within 1 week after tocilizumab was initiated; the time course of tocilizumab's CRP-reducing effect paralleled that of simvastatin pharmacokinetics. The study findings suggest that caution should be exercised when starting tocilizumab in RA patients who are taking simvastatin. Clinical Pharmacology &amp; Therapeutics (2011) 89 5, 735–740. doi:10.1038/clpt.2011.35","container-title":"Clinical Pharmacology &amp; Therapeutics","DOI":"10.1038/clpt.2011.35","ISSN":"1532-6535","issue":"5","language":"en","page":"735-740","source":"Wiley Online Library","title":"Disease–Drug–Drug Interaction Involving Tocilizumab and Simvastatin in Patients With Rheumatoid Arthritis","volume":"89","author":[{"family":"Schmitt","given":"C."},{"family":"Kuhn","given":"B."},{"family":"Zhang","given":"X."},{"family":"Kivitz","given":"A. J."},{"family":"Grange","given":"S."}],"issued":{"date-parts":[["2011",5]]}}},{"id":351,"uris":["http://zotero.org/users/4954704/items/THXC8IEN"],"itemData":{"id":351,"type":"article-journal","abstract":"Introduction Elevated interleukin (IL)-6 occurs in patients with active rheumatoid arthritis (RA), which has been shown to lead to a decrease in cytochrome P450 (CYP) enzyme activity and alterations in drug concentrations metabolized by CYP. IL-6 signaling blockade by IL-6 receptor (IL-6R) antagonists may reverse this effect of IL-6 and restore CYP activity. This study evaluated the pharmacokinetic proﬁle of simvastatin (a CYP3A4 substrate) before and 1 week after a single dose of sarilumab (a human monoclonal antibody [mAb] blocking the IL-6Ra) in patients with RA, to assess potential interaction.","container-title":"Clinical Pharmacokinetics","DOI":"10.1007/s40262-016-0462-8","ISSN":"0312-5963, 1179-1926","issue":"6","journalAbbreviation":"Clin Pharmacokinet","language":"en","page":"607-615","source":"DOI.org (Crossref)","title":"Disease–Drug Interaction of Sarilumab and Simvastatin in Patients with Rheumatoid Arthritis","volume":"56","author":[{"family":"Lee","given":"Eun Bong"},{"family":"Daskalakis","given":"Nikki"},{"family":"Xu","given":"Christine"},{"family":"Paccaly","given":"Anne"},{"family":"Miller","given":"Barry"},{"family":"Fleischmann","given":"Roy"},{"family":"Bodrug","given":"Inga"},{"family":"Kivitz","given":"Alan"}],"issued":{"date-parts":[["2017",6]]}}}],"schema":"https://github.com/citation-style-language/schema/raw/master/csl-citation.json"} </w:instrText>
      </w:r>
      <w:r w:rsidRPr="7FBC0748">
        <w:rPr>
          <w:rFonts w:ascii="Times" w:hAnsi="Times"/>
          <w:lang w:val="en-US"/>
        </w:rPr>
        <w:fldChar w:fldCharType="separate"/>
      </w:r>
      <w:r w:rsidR="00F62980" w:rsidRPr="7FBC0748">
        <w:rPr>
          <w:rFonts w:ascii="Times" w:hAnsi="Times"/>
          <w:noProof/>
          <w:lang w:val="en-US"/>
        </w:rPr>
        <w:t>(12,13)</w:t>
      </w:r>
      <w:r w:rsidRPr="7FBC0748">
        <w:rPr>
          <w:rFonts w:ascii="Times" w:hAnsi="Times"/>
          <w:lang w:val="en-US"/>
        </w:rPr>
        <w:fldChar w:fldCharType="end"/>
      </w:r>
      <w:r w:rsidR="00BE17DA" w:rsidRPr="7FBC0748">
        <w:rPr>
          <w:rFonts w:ascii="Times" w:hAnsi="Times"/>
          <w:lang w:val="en-US"/>
        </w:rPr>
        <w:t>.</w:t>
      </w:r>
      <w:r w:rsidR="001B43B9" w:rsidRPr="7FBC0748">
        <w:rPr>
          <w:rFonts w:ascii="Times" w:hAnsi="Times"/>
          <w:lang w:val="en-US"/>
        </w:rPr>
        <w:t xml:space="preserve"> </w:t>
      </w:r>
      <w:r w:rsidR="00A53032" w:rsidRPr="7FBC0748">
        <w:rPr>
          <w:rFonts w:ascii="Times" w:hAnsi="Times"/>
          <w:lang w:val="en-US"/>
        </w:rPr>
        <w:t>Our results</w:t>
      </w:r>
      <w:r w:rsidR="00BE17DA" w:rsidRPr="7FBC0748">
        <w:rPr>
          <w:rFonts w:ascii="Times" w:hAnsi="Times"/>
          <w:lang w:val="en-US"/>
        </w:rPr>
        <w:t xml:space="preserve"> </w:t>
      </w:r>
      <w:r w:rsidR="344A8889" w:rsidRPr="7FBC0748">
        <w:rPr>
          <w:rFonts w:ascii="Times" w:hAnsi="Times"/>
          <w:lang w:val="en-US"/>
        </w:rPr>
        <w:t>indicat</w:t>
      </w:r>
      <w:r w:rsidR="00A53032" w:rsidRPr="7FBC0748">
        <w:rPr>
          <w:rFonts w:ascii="Times" w:hAnsi="Times"/>
          <w:lang w:val="en-US"/>
        </w:rPr>
        <w:t>e</w:t>
      </w:r>
      <w:r w:rsidR="344A8889" w:rsidRPr="7FBC0748">
        <w:rPr>
          <w:rFonts w:ascii="Times" w:hAnsi="Times"/>
          <w:lang w:val="en-US"/>
        </w:rPr>
        <w:t xml:space="preserve"> </w:t>
      </w:r>
      <w:r w:rsidR="00C65609" w:rsidRPr="7FBC0748">
        <w:rPr>
          <w:rFonts w:ascii="Times" w:hAnsi="Times"/>
          <w:lang w:val="en-US"/>
        </w:rPr>
        <w:t xml:space="preserve">that </w:t>
      </w:r>
      <w:r w:rsidR="00BE17DA" w:rsidRPr="7FBC0748">
        <w:rPr>
          <w:rFonts w:ascii="Times" w:hAnsi="Times"/>
          <w:lang w:val="en-US"/>
        </w:rPr>
        <w:t xml:space="preserve">this </w:t>
      </w:r>
      <w:r w:rsidR="00E22B3D" w:rsidRPr="7FBC0748">
        <w:rPr>
          <w:rFonts w:ascii="Times" w:hAnsi="Times"/>
          <w:lang w:val="en-US"/>
        </w:rPr>
        <w:t>normalization of</w:t>
      </w:r>
      <w:r w:rsidR="000850D7" w:rsidRPr="7FBC0748">
        <w:rPr>
          <w:rFonts w:ascii="Times" w:hAnsi="Times"/>
          <w:lang w:val="en-US"/>
        </w:rPr>
        <w:t xml:space="preserve"> CYP activity</w:t>
      </w:r>
      <w:r w:rsidR="00BE17DA" w:rsidRPr="7FBC0748">
        <w:rPr>
          <w:rFonts w:ascii="Times" w:hAnsi="Times"/>
          <w:lang w:val="en-US"/>
        </w:rPr>
        <w:t xml:space="preserve"> </w:t>
      </w:r>
      <w:r w:rsidR="004B2303" w:rsidRPr="7FBC0748">
        <w:rPr>
          <w:rFonts w:ascii="Times" w:hAnsi="Times"/>
          <w:lang w:val="en-US"/>
        </w:rPr>
        <w:t xml:space="preserve">appears </w:t>
      </w:r>
      <w:r w:rsidR="62A5B27B" w:rsidRPr="7FBC0748">
        <w:rPr>
          <w:rFonts w:ascii="Times" w:hAnsi="Times"/>
          <w:lang w:val="en-US"/>
        </w:rPr>
        <w:t xml:space="preserve">to be </w:t>
      </w:r>
      <w:r w:rsidR="00C129F3" w:rsidRPr="7FBC0748">
        <w:rPr>
          <w:rFonts w:ascii="Times" w:hAnsi="Times"/>
          <w:lang w:val="en-US"/>
        </w:rPr>
        <w:t xml:space="preserve">temporary and </w:t>
      </w:r>
      <w:r w:rsidR="008B1466" w:rsidRPr="7FBC0748">
        <w:rPr>
          <w:rFonts w:ascii="Times" w:hAnsi="Times"/>
          <w:lang w:val="en-US"/>
        </w:rPr>
        <w:t xml:space="preserve">that it </w:t>
      </w:r>
      <w:r w:rsidR="00C129F3" w:rsidRPr="7FBC0748">
        <w:rPr>
          <w:rFonts w:ascii="Times" w:hAnsi="Times"/>
          <w:lang w:val="en-US"/>
        </w:rPr>
        <w:t>return</w:t>
      </w:r>
      <w:r w:rsidR="004B2303" w:rsidRPr="7FBC0748">
        <w:rPr>
          <w:rFonts w:ascii="Times" w:hAnsi="Times"/>
          <w:lang w:val="en-US"/>
        </w:rPr>
        <w:t>s</w:t>
      </w:r>
      <w:r w:rsidR="00B649E0" w:rsidRPr="7FBC0748">
        <w:rPr>
          <w:rFonts w:ascii="Times" w:hAnsi="Times"/>
          <w:lang w:val="en-US"/>
        </w:rPr>
        <w:t xml:space="preserve"> to baseline</w:t>
      </w:r>
      <w:r w:rsidR="00540E9A" w:rsidRPr="7FBC0748">
        <w:rPr>
          <w:rFonts w:ascii="Times" w:hAnsi="Times"/>
          <w:lang w:val="en-US"/>
        </w:rPr>
        <w:t xml:space="preserve"> during </w:t>
      </w:r>
      <w:r w:rsidR="00037B58" w:rsidRPr="7FBC0748">
        <w:rPr>
          <w:rFonts w:ascii="Times" w:hAnsi="Times"/>
          <w:lang w:val="en-US"/>
        </w:rPr>
        <w:t>prolonged</w:t>
      </w:r>
      <w:r w:rsidR="00540E9A" w:rsidRPr="7FBC0748">
        <w:rPr>
          <w:rFonts w:ascii="Times" w:hAnsi="Times"/>
          <w:lang w:val="en-US"/>
        </w:rPr>
        <w:t xml:space="preserve"> treatment</w:t>
      </w:r>
      <w:r w:rsidR="00B649E0" w:rsidRPr="7FBC0748">
        <w:rPr>
          <w:rFonts w:ascii="Times" w:hAnsi="Times"/>
          <w:lang w:val="en-US"/>
        </w:rPr>
        <w:t>.</w:t>
      </w:r>
      <w:r w:rsidR="00CC0C4C" w:rsidRPr="7FBC0748">
        <w:rPr>
          <w:rFonts w:ascii="Times" w:hAnsi="Times"/>
          <w:lang w:val="en-US"/>
        </w:rPr>
        <w:t xml:space="preserve"> </w:t>
      </w:r>
      <w:r w:rsidR="00821E08" w:rsidRPr="7FBC0748">
        <w:rPr>
          <w:rFonts w:ascii="Times" w:hAnsi="Times"/>
          <w:lang w:val="en-US"/>
        </w:rPr>
        <w:t>Previous studies have shown that CYP activity increases one week after a single dose of anti-IL-6R</w:t>
      </w:r>
      <w:r w:rsidR="00600F6A" w:rsidRPr="7FBC0748">
        <w:rPr>
          <w:rFonts w:ascii="Times" w:hAnsi="Times"/>
          <w:lang w:val="en-US"/>
        </w:rPr>
        <w:t xml:space="preserve"> </w:t>
      </w:r>
      <w:r w:rsidRPr="7FBC0748">
        <w:rPr>
          <w:rFonts w:ascii="Times" w:hAnsi="Times"/>
          <w:lang w:val="en-US"/>
        </w:rPr>
        <w:fldChar w:fldCharType="begin"/>
      </w:r>
      <w:r w:rsidRPr="7FBC0748">
        <w:rPr>
          <w:rFonts w:ascii="Times" w:hAnsi="Times"/>
          <w:lang w:val="en-US"/>
        </w:rPr>
        <w:instrText xml:space="preserve"> ADDIN ZOTERO_ITEM CSL_CITATION {"citationID":"oiiecQry","properties":{"formattedCitation":"(12,13)","plainCitation":"(12,13)","noteIndex":0},"citationItems":[{"id":8,"uris":["http://zotero.org/users/4954704/items/Z7HFABBX"],"itemData":{"id":8,"type":"article-journal","abstract":"In rheumatoid arthritis (RA), interleukin-6 (IL-6) concentration is elevated, which may cause reduced cytochrome P450 (CYP) activity and increased exposure (peak plasma concentration and area under the plasma concentration-vs.-time curve (AUC)) to certain drugs. Tocilizumab may reverse IL-6-induced suppression of CYP3A4 activity. In this study, exposure to simvastatin was significantly reduced at 1 and 5 weeks after tocilizumab infusion in 12 patients with RA. The mean effect ratio for simvastatin AUClast was 43% (90% confidence interval (CI), 34–55%) at 1 week after tocilizumab infusion (day 15) and 61% (90% CI, 47–78%) at 5 weeks after tocilizumab infusion, as compared with baseline (day 1); both ratios were significantly lower than the bioequivalence boundary (80–125%). Mean plasma C-reactive protein (CRP) levels normalized within 1 week after tocilizumab was initiated; the time course of tocilizumab's CRP-reducing effect paralleled that of simvastatin pharmacokinetics. The study findings suggest that caution should be exercised when starting tocilizumab in RA patients who are taking simvastatin. Clinical Pharmacology &amp; Therapeutics (2011) 89 5, 735–740. doi:10.1038/clpt.2011.35","container-title":"Clinical Pharmacology &amp; Therapeutics","DOI":"10.1038/clpt.2011.35","ISSN":"1532-6535","issue":"5","language":"en","page":"735-740","source":"Wiley Online Library","title":"Disease–Drug–Drug Interaction Involving Tocilizumab and Simvastatin in Patients With Rheumatoid Arthritis","volume":"89","author":[{"family":"Schmitt","given":"C."},{"family":"Kuhn","given":"B."},{"family":"Zhang","given":"X."},{"family":"Kivitz","given":"A. J."},{"family":"Grange","given":"S."}],"issued":{"date-parts":[["2011",5]]}}},{"id":351,"uris":["http://zotero.org/users/4954704/items/THXC8IEN"],"itemData":{"id":351,"type":"article-journal","abstract":"Introduction Elevated interleukin (IL)-6 occurs in patients with active rheumatoid arthritis (RA), which has been shown to lead to a decrease in cytochrome P450 (CYP) enzyme activity and alterations in drug concentrations metabolized by CYP. IL-6 signaling blockade by IL-6 receptor (IL-6R) antagonists may reverse this effect of IL-6 and restore CYP activity. This study evaluated the pharmacokinetic proﬁle of simvastatin (a CYP3A4 substrate) before and 1 week after a single dose of sarilumab (a human monoclonal antibody [mAb] blocking the IL-6Ra) in patients with RA, to assess potential interaction.","container-title":"Clinical Pharmacokinetics","DOI":"10.1007/s40262-016-0462-8","ISSN":"0312-5963, 1179-1926","issue":"6","journalAbbreviation":"Clin Pharmacokinet","language":"en","page":"607-615","source":"DOI.org (Crossref)","title":"Disease–Drug Interaction of Sarilumab and Simvastatin in Patients with Rheumatoid Arthritis","volume":"56","author":[{"family":"Lee","given":"Eun Bong"},{"family":"Daskalakis","given":"Nikki"},{"family":"Xu","given":"Christine"},{"family":"Paccaly","given":"Anne"},{"family":"Miller","given":"Barry"},{"family":"Fleischmann","given":"Roy"},{"family":"Bodrug","given":"Inga"},{"family":"Kivitz","given":"Alan"}],"issued":{"date-parts":[["2017",6]]}}}],"schema":"https://github.com/citation-style-language/schema/raw/master/csl-citation.json"} </w:instrText>
      </w:r>
      <w:r w:rsidRPr="7FBC0748">
        <w:rPr>
          <w:rFonts w:ascii="Times" w:hAnsi="Times"/>
          <w:lang w:val="en-US"/>
        </w:rPr>
        <w:fldChar w:fldCharType="separate"/>
      </w:r>
      <w:r w:rsidR="005636F0" w:rsidRPr="7FBC0748">
        <w:rPr>
          <w:rFonts w:ascii="Times" w:hAnsi="Times"/>
          <w:noProof/>
          <w:lang w:val="en-US"/>
        </w:rPr>
        <w:t>(12,13)</w:t>
      </w:r>
      <w:r w:rsidRPr="7FBC0748">
        <w:rPr>
          <w:rFonts w:ascii="Times" w:hAnsi="Times"/>
          <w:lang w:val="en-US"/>
        </w:rPr>
        <w:fldChar w:fldCharType="end"/>
      </w:r>
      <w:r w:rsidR="00821E08" w:rsidRPr="7FBC0748">
        <w:rPr>
          <w:rFonts w:ascii="Times" w:hAnsi="Times"/>
          <w:lang w:val="en-US"/>
        </w:rPr>
        <w:t xml:space="preserve">. </w:t>
      </w:r>
      <w:r w:rsidR="009600DD" w:rsidRPr="7FBC0748">
        <w:rPr>
          <w:rFonts w:ascii="Times" w:hAnsi="Times"/>
          <w:lang w:val="en-US"/>
        </w:rPr>
        <w:t xml:space="preserve">The activity remains increased </w:t>
      </w:r>
      <w:r w:rsidR="00266E5E" w:rsidRPr="7FBC0748">
        <w:rPr>
          <w:rFonts w:ascii="Times" w:hAnsi="Times"/>
          <w:lang w:val="en-US"/>
        </w:rPr>
        <w:t>five</w:t>
      </w:r>
      <w:r w:rsidR="009600DD" w:rsidRPr="7FBC0748">
        <w:rPr>
          <w:rFonts w:ascii="Times" w:hAnsi="Times"/>
          <w:lang w:val="en-US"/>
        </w:rPr>
        <w:t xml:space="preserve"> weeks after a single dose</w:t>
      </w:r>
      <w:r w:rsidR="0076735C" w:rsidRPr="7FBC0748">
        <w:rPr>
          <w:rFonts w:ascii="Times" w:hAnsi="Times"/>
          <w:lang w:val="en-US"/>
        </w:rPr>
        <w:t>,</w:t>
      </w:r>
      <w:r w:rsidR="007C6954" w:rsidRPr="7FBC0748">
        <w:rPr>
          <w:rFonts w:ascii="Times" w:hAnsi="Times"/>
          <w:lang w:val="en-US"/>
        </w:rPr>
        <w:t xml:space="preserve"> though less pronounced </w:t>
      </w:r>
      <w:r w:rsidRPr="7FBC0748">
        <w:rPr>
          <w:rFonts w:ascii="Times" w:hAnsi="Times"/>
          <w:lang w:val="en-US"/>
        </w:rPr>
        <w:fldChar w:fldCharType="begin"/>
      </w:r>
      <w:r w:rsidRPr="7FBC0748">
        <w:rPr>
          <w:rFonts w:ascii="Times" w:hAnsi="Times"/>
          <w:lang w:val="en-US"/>
        </w:rPr>
        <w:instrText xml:space="preserve"> ADDIN ZOTERO_ITEM CSL_CITATION {"citationID":"oX3IrX17","properties":{"formattedCitation":"(12)","plainCitation":"(12)","noteIndex":0},"citationItems":[{"id":8,"uris":["http://zotero.org/users/4954704/items/Z7HFABBX"],"itemData":{"id":8,"type":"article-journal","abstract":"In rheumatoid arthritis (RA), interleukin-6 (IL-6) concentration is elevated, which may cause reduced cytochrome P450 (CYP) activity and increased exposure (peak plasma concentration and area under the plasma concentration-vs.-time curve (AUC)) to certain drugs. Tocilizumab may reverse IL-6-induced suppression of CYP3A4 activity. In this study, exposure to simvastatin was significantly reduced at 1 and 5 weeks after tocilizumab infusion in 12 patients with RA. The mean effect ratio for simvastatin AUClast was 43% (90% confidence interval (CI), 34–55%) at 1 week after tocilizumab infusion (day 15) and 61% (90% CI, 47–78%) at 5 weeks after tocilizumab infusion, as compared with baseline (day 1); both ratios were significantly lower than the bioequivalence boundary (80–125%). Mean plasma C-reactive protein (CRP) levels normalized within 1 week after tocilizumab was initiated; the time course of tocilizumab's CRP-reducing effect paralleled that of simvastatin pharmacokinetics. The study findings suggest that caution should be exercised when starting tocilizumab in RA patients who are taking simvastatin. Clinical Pharmacology &amp; Therapeutics (2011) 89 5, 735–740. doi:10.1038/clpt.2011.35","container-title":"Clinical Pharmacology &amp; Therapeutics","DOI":"10.1038/clpt.2011.35","ISSN":"1532-6535","issue":"5","language":"en","page":"735-740","source":"Wiley Online Library","title":"Disease–Drug–Drug Interaction Involving Tocilizumab and Simvastatin in Patients With Rheumatoid Arthritis","volume":"89","author":[{"family":"Schmitt","given":"C."},{"family":"Kuhn","given":"B."},{"family":"Zhang","given":"X."},{"family":"Kivitz","given":"A. J."},{"family":"Grange","given":"S."}],"issued":{"date-parts":[["2011",5]]}}}],"schema":"https://github.com/citation-style-language/schema/raw/master/csl-citation.json"} </w:instrText>
      </w:r>
      <w:r w:rsidRPr="7FBC0748">
        <w:rPr>
          <w:rFonts w:ascii="Times" w:hAnsi="Times"/>
          <w:lang w:val="en-US"/>
        </w:rPr>
        <w:fldChar w:fldCharType="separate"/>
      </w:r>
      <w:r w:rsidR="005636F0" w:rsidRPr="7FBC0748">
        <w:rPr>
          <w:rFonts w:ascii="Times" w:hAnsi="Times"/>
          <w:noProof/>
          <w:lang w:val="en-US"/>
        </w:rPr>
        <w:t>(12)</w:t>
      </w:r>
      <w:r w:rsidRPr="7FBC0748">
        <w:rPr>
          <w:rFonts w:ascii="Times" w:hAnsi="Times"/>
          <w:lang w:val="en-US"/>
        </w:rPr>
        <w:fldChar w:fldCharType="end"/>
      </w:r>
      <w:r w:rsidR="009600DD" w:rsidRPr="7FBC0748">
        <w:rPr>
          <w:rFonts w:ascii="Times" w:hAnsi="Times"/>
          <w:lang w:val="en-US"/>
        </w:rPr>
        <w:t xml:space="preserve">. </w:t>
      </w:r>
      <w:r w:rsidR="008109BE" w:rsidRPr="7FBC0748">
        <w:rPr>
          <w:rFonts w:ascii="Times" w:hAnsi="Times"/>
          <w:lang w:val="en-US"/>
        </w:rPr>
        <w:t>Th</w:t>
      </w:r>
      <w:r w:rsidR="007C6954" w:rsidRPr="7FBC0748">
        <w:rPr>
          <w:rFonts w:ascii="Times" w:hAnsi="Times"/>
          <w:lang w:val="en-US"/>
        </w:rPr>
        <w:t xml:space="preserve">e return of </w:t>
      </w:r>
      <w:r w:rsidR="00E45F5F" w:rsidRPr="7FBC0748">
        <w:rPr>
          <w:rFonts w:ascii="Times" w:hAnsi="Times"/>
          <w:lang w:val="en-US"/>
        </w:rPr>
        <w:t>CYP enzyme activity</w:t>
      </w:r>
      <w:r w:rsidR="008109BE" w:rsidRPr="7FBC0748">
        <w:rPr>
          <w:rFonts w:ascii="Times" w:hAnsi="Times"/>
          <w:lang w:val="en-US"/>
        </w:rPr>
        <w:t xml:space="preserve"> towards the baseline level</w:t>
      </w:r>
      <w:r w:rsidR="00510730" w:rsidRPr="7FBC0748">
        <w:rPr>
          <w:rFonts w:ascii="Times" w:hAnsi="Times"/>
          <w:lang w:val="en-US"/>
        </w:rPr>
        <w:t xml:space="preserve"> </w:t>
      </w:r>
      <w:r w:rsidR="00266E5E" w:rsidRPr="7FBC0748">
        <w:rPr>
          <w:rFonts w:ascii="Times" w:hAnsi="Times"/>
          <w:lang w:val="en-US"/>
        </w:rPr>
        <w:t>has</w:t>
      </w:r>
      <w:r w:rsidR="00510730" w:rsidRPr="7FBC0748">
        <w:rPr>
          <w:rFonts w:ascii="Times" w:hAnsi="Times"/>
          <w:lang w:val="en-US"/>
        </w:rPr>
        <w:t xml:space="preserve"> previously </w:t>
      </w:r>
      <w:r w:rsidR="007C6954" w:rsidRPr="7FBC0748">
        <w:rPr>
          <w:rFonts w:ascii="Times" w:hAnsi="Times"/>
          <w:lang w:val="en-US"/>
        </w:rPr>
        <w:t xml:space="preserve">been </w:t>
      </w:r>
      <w:r w:rsidR="00510730" w:rsidRPr="7FBC0748">
        <w:rPr>
          <w:rFonts w:ascii="Times" w:hAnsi="Times"/>
          <w:lang w:val="en-US"/>
        </w:rPr>
        <w:t xml:space="preserve">interpreted </w:t>
      </w:r>
      <w:r w:rsidR="00A72894" w:rsidRPr="7FBC0748">
        <w:rPr>
          <w:rFonts w:ascii="Times" w:hAnsi="Times"/>
          <w:lang w:val="en-US"/>
        </w:rPr>
        <w:t>to be a</w:t>
      </w:r>
      <w:r w:rsidR="00510730" w:rsidRPr="7FBC0748">
        <w:rPr>
          <w:rFonts w:ascii="Times" w:hAnsi="Times"/>
          <w:lang w:val="en-US"/>
        </w:rPr>
        <w:t xml:space="preserve"> consequence of </w:t>
      </w:r>
      <w:r w:rsidR="00E43D9B" w:rsidRPr="7FBC0748">
        <w:rPr>
          <w:rFonts w:ascii="Times" w:hAnsi="Times"/>
          <w:lang w:val="en-US"/>
        </w:rPr>
        <w:t xml:space="preserve">the </w:t>
      </w:r>
      <w:r w:rsidR="00A72894" w:rsidRPr="7FBC0748">
        <w:rPr>
          <w:rFonts w:ascii="Times" w:hAnsi="Times"/>
          <w:lang w:val="en-US"/>
        </w:rPr>
        <w:t xml:space="preserve">diminishing </w:t>
      </w:r>
      <w:r w:rsidR="00077C70" w:rsidRPr="7FBC0748">
        <w:rPr>
          <w:rFonts w:ascii="Times" w:hAnsi="Times"/>
          <w:lang w:val="en-US"/>
        </w:rPr>
        <w:t xml:space="preserve">effect </w:t>
      </w:r>
      <w:r w:rsidR="007C6954" w:rsidRPr="7FBC0748">
        <w:rPr>
          <w:rFonts w:ascii="Times" w:hAnsi="Times"/>
          <w:lang w:val="en-US"/>
        </w:rPr>
        <w:t xml:space="preserve">and clearance </w:t>
      </w:r>
      <w:r w:rsidR="00077C70" w:rsidRPr="7FBC0748">
        <w:rPr>
          <w:rFonts w:ascii="Times" w:hAnsi="Times"/>
          <w:lang w:val="en-US"/>
        </w:rPr>
        <w:t xml:space="preserve">of the </w:t>
      </w:r>
      <w:r w:rsidR="00A72894" w:rsidRPr="7FBC0748">
        <w:rPr>
          <w:rFonts w:ascii="Times" w:hAnsi="Times"/>
          <w:lang w:val="en-US"/>
        </w:rPr>
        <w:t xml:space="preserve">single dose </w:t>
      </w:r>
      <w:r w:rsidR="007C6954" w:rsidRPr="7FBC0748">
        <w:rPr>
          <w:rFonts w:ascii="Times" w:hAnsi="Times"/>
          <w:lang w:val="en-US"/>
        </w:rPr>
        <w:t xml:space="preserve">of </w:t>
      </w:r>
      <w:r w:rsidR="00CC0C4C" w:rsidRPr="7FBC0748">
        <w:rPr>
          <w:rFonts w:ascii="Times" w:hAnsi="Times"/>
          <w:lang w:val="en-US"/>
        </w:rPr>
        <w:t>anti-IL-6R</w:t>
      </w:r>
      <w:r w:rsidR="000D62A5" w:rsidRPr="7FBC0748">
        <w:rPr>
          <w:rFonts w:ascii="Times" w:hAnsi="Times"/>
          <w:lang w:val="en-US"/>
        </w:rPr>
        <w:t xml:space="preserve">. However, </w:t>
      </w:r>
      <w:r w:rsidR="00E43D9B" w:rsidRPr="7FBC0748">
        <w:rPr>
          <w:rFonts w:ascii="Times" w:hAnsi="Times"/>
          <w:lang w:val="en-US"/>
        </w:rPr>
        <w:t xml:space="preserve">our data </w:t>
      </w:r>
      <w:r w:rsidR="5749EAC3" w:rsidRPr="7FBC0748">
        <w:rPr>
          <w:rFonts w:ascii="Times" w:hAnsi="Times"/>
          <w:lang w:val="en-US"/>
        </w:rPr>
        <w:t xml:space="preserve">indicate </w:t>
      </w:r>
      <w:r w:rsidR="007C6954" w:rsidRPr="7FBC0748">
        <w:rPr>
          <w:rFonts w:ascii="Times" w:hAnsi="Times"/>
          <w:lang w:val="en-US"/>
        </w:rPr>
        <w:t xml:space="preserve">that </w:t>
      </w:r>
      <w:r w:rsidR="00365B42" w:rsidRPr="7FBC0748">
        <w:rPr>
          <w:rFonts w:ascii="Times" w:hAnsi="Times"/>
          <w:lang w:val="en-US"/>
        </w:rPr>
        <w:t xml:space="preserve">CYP </w:t>
      </w:r>
      <w:r w:rsidR="00E45F5F" w:rsidRPr="7FBC0748">
        <w:rPr>
          <w:rFonts w:ascii="Times" w:hAnsi="Times"/>
          <w:lang w:val="en-US"/>
        </w:rPr>
        <w:t xml:space="preserve">enzyme </w:t>
      </w:r>
      <w:r w:rsidR="00365B42" w:rsidRPr="7FBC0748">
        <w:rPr>
          <w:rFonts w:ascii="Times" w:hAnsi="Times"/>
          <w:lang w:val="en-US"/>
        </w:rPr>
        <w:t>activity</w:t>
      </w:r>
      <w:r w:rsidR="00C23423" w:rsidRPr="7FBC0748">
        <w:rPr>
          <w:rFonts w:ascii="Times" w:hAnsi="Times"/>
          <w:lang w:val="en-US"/>
        </w:rPr>
        <w:t xml:space="preserve"> </w:t>
      </w:r>
      <w:r w:rsidR="007C6954" w:rsidRPr="7FBC0748">
        <w:rPr>
          <w:rFonts w:ascii="Times" w:hAnsi="Times"/>
          <w:lang w:val="en-US"/>
        </w:rPr>
        <w:t xml:space="preserve">will return to baseline </w:t>
      </w:r>
      <w:r w:rsidR="00C23423" w:rsidRPr="7FBC0748">
        <w:rPr>
          <w:rFonts w:ascii="Times" w:hAnsi="Times"/>
          <w:lang w:val="en-US"/>
        </w:rPr>
        <w:t xml:space="preserve">following </w:t>
      </w:r>
      <w:r w:rsidR="0053096B" w:rsidRPr="7FBC0748">
        <w:rPr>
          <w:rFonts w:ascii="Times" w:hAnsi="Times"/>
          <w:lang w:val="en-US"/>
        </w:rPr>
        <w:t xml:space="preserve">12 weeks of </w:t>
      </w:r>
      <w:r w:rsidR="00C23423" w:rsidRPr="7FBC0748">
        <w:rPr>
          <w:rFonts w:ascii="Times" w:hAnsi="Times"/>
          <w:lang w:val="en-US"/>
        </w:rPr>
        <w:t>continuous</w:t>
      </w:r>
      <w:r w:rsidR="0053096B" w:rsidRPr="7FBC0748">
        <w:rPr>
          <w:rFonts w:ascii="Times" w:hAnsi="Times"/>
          <w:lang w:val="en-US"/>
        </w:rPr>
        <w:t xml:space="preserve"> IL-6R</w:t>
      </w:r>
      <w:r w:rsidR="00C23423" w:rsidRPr="7FBC0748">
        <w:rPr>
          <w:rFonts w:ascii="Times" w:hAnsi="Times"/>
          <w:lang w:val="en-US"/>
        </w:rPr>
        <w:t xml:space="preserve"> therapy </w:t>
      </w:r>
      <w:r w:rsidR="00B55F3C" w:rsidRPr="7FBC0748">
        <w:rPr>
          <w:rFonts w:ascii="Times" w:hAnsi="Times"/>
          <w:lang w:val="en-US"/>
        </w:rPr>
        <w:t>despite</w:t>
      </w:r>
      <w:r w:rsidR="00C01277" w:rsidRPr="7FBC0748">
        <w:rPr>
          <w:rFonts w:ascii="Times" w:hAnsi="Times"/>
          <w:lang w:val="en-US"/>
        </w:rPr>
        <w:t xml:space="preserve"> IL-6 levels </w:t>
      </w:r>
      <w:r w:rsidR="00B55F3C" w:rsidRPr="7FBC0748">
        <w:rPr>
          <w:rFonts w:ascii="Times" w:hAnsi="Times"/>
          <w:lang w:val="en-US"/>
        </w:rPr>
        <w:t>remaining</w:t>
      </w:r>
      <w:r w:rsidR="00C01277" w:rsidRPr="7FBC0748">
        <w:rPr>
          <w:rFonts w:ascii="Times" w:hAnsi="Times"/>
          <w:lang w:val="en-US"/>
        </w:rPr>
        <w:t xml:space="preserve"> high</w:t>
      </w:r>
      <w:r w:rsidR="002C0408" w:rsidRPr="7FBC0748">
        <w:rPr>
          <w:rFonts w:ascii="Times" w:hAnsi="Times"/>
          <w:lang w:val="en-US"/>
        </w:rPr>
        <w:t xml:space="preserve"> throughout the study period</w:t>
      </w:r>
      <w:r w:rsidR="00E423AD" w:rsidRPr="7FBC0748">
        <w:rPr>
          <w:rFonts w:ascii="Times" w:hAnsi="Times"/>
          <w:lang w:val="en-US"/>
        </w:rPr>
        <w:t>.</w:t>
      </w:r>
      <w:r w:rsidR="00D7443D" w:rsidRPr="7FBC0748">
        <w:rPr>
          <w:rFonts w:ascii="Times" w:hAnsi="Times"/>
          <w:lang w:val="en-US"/>
        </w:rPr>
        <w:t xml:space="preserve"> </w:t>
      </w:r>
      <w:r w:rsidR="1AFC4576" w:rsidRPr="7FBC0748">
        <w:rPr>
          <w:rFonts w:ascii="Times" w:hAnsi="Times"/>
          <w:lang w:val="en-US"/>
        </w:rPr>
        <w:t>While some uncertainty remains on the effect size</w:t>
      </w:r>
      <w:r w:rsidR="2CAAA29A" w:rsidRPr="7FBC0748">
        <w:rPr>
          <w:rFonts w:ascii="Times" w:hAnsi="Times"/>
          <w:lang w:val="en-US"/>
        </w:rPr>
        <w:t>, due to the limited sample size</w:t>
      </w:r>
      <w:r w:rsidR="1AFC4576" w:rsidRPr="7FBC0748">
        <w:rPr>
          <w:rFonts w:ascii="Times" w:hAnsi="Times"/>
          <w:lang w:val="en-US"/>
        </w:rPr>
        <w:t xml:space="preserve">, the change in CYP3A4 activity </w:t>
      </w:r>
      <w:r w:rsidR="3B9B99C3" w:rsidRPr="7FBC0748">
        <w:rPr>
          <w:rFonts w:ascii="Times" w:hAnsi="Times"/>
          <w:lang w:val="en-US"/>
        </w:rPr>
        <w:t xml:space="preserve">seems to be </w:t>
      </w:r>
      <w:r w:rsidR="1AFC4576" w:rsidRPr="7FBC0748">
        <w:rPr>
          <w:rFonts w:ascii="Times" w:hAnsi="Times"/>
          <w:lang w:val="en-US"/>
        </w:rPr>
        <w:t xml:space="preserve">less than 2-fold, corresponding to a weak interaction. As such, </w:t>
      </w:r>
      <w:r w:rsidR="00B27083">
        <w:rPr>
          <w:rFonts w:ascii="Times" w:hAnsi="Times"/>
          <w:lang w:val="en-US"/>
        </w:rPr>
        <w:t xml:space="preserve">this </w:t>
      </w:r>
      <w:r w:rsidR="46F1999D" w:rsidRPr="7FBC0748">
        <w:rPr>
          <w:rFonts w:ascii="Times" w:hAnsi="Times"/>
          <w:lang w:val="en-US"/>
        </w:rPr>
        <w:t xml:space="preserve">interaction </w:t>
      </w:r>
      <w:r w:rsidR="00B27083">
        <w:rPr>
          <w:rFonts w:ascii="Times" w:hAnsi="Times"/>
          <w:lang w:val="en-US"/>
        </w:rPr>
        <w:t xml:space="preserve">will likely only be clinically relevant for </w:t>
      </w:r>
      <w:r w:rsidR="46F1999D" w:rsidRPr="7FBC0748">
        <w:rPr>
          <w:rFonts w:ascii="Times" w:hAnsi="Times"/>
          <w:lang w:val="en-US"/>
        </w:rPr>
        <w:t xml:space="preserve">concomitant drugs with a narrow therapeutic </w:t>
      </w:r>
      <w:r w:rsidR="5C4F481B" w:rsidRPr="7FBC0748">
        <w:rPr>
          <w:rFonts w:ascii="Times" w:hAnsi="Times"/>
          <w:lang w:val="en-US"/>
        </w:rPr>
        <w:t>index</w:t>
      </w:r>
      <w:r w:rsidR="46F1999D" w:rsidRPr="7FBC0748">
        <w:rPr>
          <w:rFonts w:ascii="Times" w:hAnsi="Times"/>
          <w:lang w:val="en-US"/>
        </w:rPr>
        <w:t xml:space="preserve">. </w:t>
      </w:r>
    </w:p>
    <w:p w14:paraId="10BFCB18" w14:textId="4A6C6331" w:rsidR="001C59CF" w:rsidRPr="0064709E" w:rsidRDefault="061AB0F1" w:rsidP="7FBC0748">
      <w:pPr>
        <w:spacing w:line="360" w:lineRule="auto"/>
        <w:jc w:val="both"/>
        <w:rPr>
          <w:rFonts w:ascii="Times" w:hAnsi="Times"/>
          <w:lang w:val="en-US"/>
        </w:rPr>
      </w:pPr>
      <w:r w:rsidRPr="7FBC0748">
        <w:rPr>
          <w:rFonts w:ascii="Times" w:hAnsi="Times"/>
          <w:lang w:val="en-US"/>
        </w:rPr>
        <w:t xml:space="preserve">At </w:t>
      </w:r>
      <w:r w:rsidR="51F9C1FA" w:rsidRPr="7FBC0748">
        <w:rPr>
          <w:rFonts w:ascii="Times" w:hAnsi="Times"/>
          <w:lang w:val="en-US"/>
        </w:rPr>
        <w:t>b</w:t>
      </w:r>
      <w:r w:rsidR="00466B4A" w:rsidRPr="7FBC0748">
        <w:rPr>
          <w:rFonts w:ascii="Times" w:hAnsi="Times"/>
          <w:lang w:val="en-US"/>
        </w:rPr>
        <w:t>aseline</w:t>
      </w:r>
      <w:r w:rsidR="0D259D88" w:rsidRPr="7FBC0748">
        <w:rPr>
          <w:rFonts w:ascii="Times" w:hAnsi="Times"/>
          <w:lang w:val="en-US"/>
        </w:rPr>
        <w:t>, the</w:t>
      </w:r>
      <w:r w:rsidR="00466B4A" w:rsidRPr="7FBC0748">
        <w:rPr>
          <w:rFonts w:ascii="Times" w:hAnsi="Times"/>
          <w:lang w:val="en-US"/>
        </w:rPr>
        <w:t xml:space="preserve"> </w:t>
      </w:r>
      <w:r w:rsidR="00D7443D" w:rsidRPr="7FBC0748">
        <w:rPr>
          <w:rFonts w:ascii="Times" w:hAnsi="Times"/>
          <w:lang w:val="en-US"/>
        </w:rPr>
        <w:t>IL-6</w:t>
      </w:r>
      <w:r w:rsidR="00466B4A" w:rsidRPr="7FBC0748">
        <w:rPr>
          <w:rFonts w:ascii="Times" w:hAnsi="Times"/>
          <w:lang w:val="en-US"/>
        </w:rPr>
        <w:t xml:space="preserve"> levels</w:t>
      </w:r>
      <w:r w:rsidR="003C717D" w:rsidRPr="7FBC0748">
        <w:rPr>
          <w:rFonts w:ascii="Times" w:hAnsi="Times"/>
          <w:lang w:val="en-US"/>
        </w:rPr>
        <w:t xml:space="preserve"> (median 4.1 pg/mL)</w:t>
      </w:r>
      <w:r w:rsidR="00466B4A" w:rsidRPr="7FBC0748">
        <w:rPr>
          <w:rFonts w:ascii="Times" w:hAnsi="Times"/>
          <w:lang w:val="en-US"/>
        </w:rPr>
        <w:t xml:space="preserve"> </w:t>
      </w:r>
      <w:r w:rsidR="0054585B" w:rsidRPr="7FBC0748">
        <w:rPr>
          <w:rFonts w:ascii="Times" w:hAnsi="Times"/>
          <w:lang w:val="en-US"/>
        </w:rPr>
        <w:t xml:space="preserve">in </w:t>
      </w:r>
      <w:r w:rsidR="004B444C" w:rsidRPr="7FBC0748">
        <w:rPr>
          <w:rFonts w:ascii="Times" w:hAnsi="Times"/>
          <w:lang w:val="en-US"/>
        </w:rPr>
        <w:t>the</w:t>
      </w:r>
      <w:r w:rsidR="0054585B" w:rsidRPr="7FBC0748">
        <w:rPr>
          <w:rFonts w:ascii="Times" w:hAnsi="Times"/>
          <w:lang w:val="en-US"/>
        </w:rPr>
        <w:t xml:space="preserve"> three patients </w:t>
      </w:r>
      <w:r w:rsidR="00466B4A" w:rsidRPr="7FBC0748">
        <w:rPr>
          <w:rFonts w:ascii="Times" w:hAnsi="Times"/>
          <w:lang w:val="en-US"/>
        </w:rPr>
        <w:t>were below</w:t>
      </w:r>
      <w:r w:rsidR="00567C84" w:rsidRPr="7FBC0748">
        <w:rPr>
          <w:rFonts w:ascii="Times" w:hAnsi="Times"/>
          <w:lang w:val="en-US"/>
        </w:rPr>
        <w:t xml:space="preserve"> what has previously been described in patients with </w:t>
      </w:r>
      <w:r w:rsidR="00211CF1" w:rsidRPr="7FBC0748">
        <w:rPr>
          <w:rFonts w:ascii="Times" w:hAnsi="Times"/>
          <w:lang w:val="en-US"/>
        </w:rPr>
        <w:t>rheumatoid arthritis</w:t>
      </w:r>
      <w:r w:rsidR="00655CB5" w:rsidRPr="7FBC0748">
        <w:rPr>
          <w:rFonts w:ascii="Times" w:hAnsi="Times"/>
          <w:lang w:val="en-US"/>
        </w:rPr>
        <w:t xml:space="preserve"> </w:t>
      </w:r>
      <w:r w:rsidR="00D27273" w:rsidRPr="7FBC0748">
        <w:rPr>
          <w:rFonts w:ascii="Times" w:hAnsi="Times"/>
          <w:lang w:val="en-US"/>
        </w:rPr>
        <w:t>(</w:t>
      </w:r>
      <w:r w:rsidR="00655CB5" w:rsidRPr="7FBC0748">
        <w:rPr>
          <w:rFonts w:ascii="Times" w:hAnsi="Times"/>
          <w:lang w:val="en-US"/>
        </w:rPr>
        <w:t>~</w:t>
      </w:r>
      <w:r w:rsidR="00C22C04" w:rsidRPr="7FBC0748">
        <w:rPr>
          <w:rFonts w:ascii="Times" w:hAnsi="Times"/>
          <w:lang w:val="en-US"/>
        </w:rPr>
        <w:t>5</w:t>
      </w:r>
      <w:r w:rsidR="00655CB5" w:rsidRPr="7FBC0748">
        <w:rPr>
          <w:rFonts w:ascii="Times" w:hAnsi="Times"/>
          <w:lang w:val="en-US"/>
        </w:rPr>
        <w:t xml:space="preserve">0 </w:t>
      </w:r>
      <w:r w:rsidR="00A646D1" w:rsidRPr="7FBC0748">
        <w:rPr>
          <w:rFonts w:ascii="Times" w:hAnsi="Times"/>
          <w:lang w:val="en-US"/>
        </w:rPr>
        <w:t>p</w:t>
      </w:r>
      <w:r w:rsidR="00655CB5" w:rsidRPr="7FBC0748">
        <w:rPr>
          <w:rFonts w:ascii="Times" w:hAnsi="Times"/>
          <w:lang w:val="en-US"/>
        </w:rPr>
        <w:t>g/ml</w:t>
      </w:r>
      <w:r w:rsidR="00D27273" w:rsidRPr="7FBC0748">
        <w:rPr>
          <w:rFonts w:ascii="Times" w:hAnsi="Times"/>
          <w:lang w:val="en-US"/>
        </w:rPr>
        <w:t>)</w:t>
      </w:r>
      <w:r w:rsidR="00C22C04" w:rsidRPr="7FBC0748">
        <w:rPr>
          <w:rFonts w:ascii="Times" w:hAnsi="Times"/>
          <w:lang w:val="en-US"/>
        </w:rPr>
        <w:t xml:space="preserve"> </w:t>
      </w:r>
      <w:r w:rsidR="001D047A" w:rsidRPr="7FBC0748">
        <w:rPr>
          <w:rFonts w:ascii="Times" w:hAnsi="Times"/>
          <w:lang w:val="en-US"/>
        </w:rPr>
        <w:fldChar w:fldCharType="begin"/>
      </w:r>
      <w:r w:rsidR="001D047A" w:rsidRPr="7FBC0748">
        <w:rPr>
          <w:rFonts w:ascii="Times" w:hAnsi="Times"/>
          <w:lang w:val="en-US"/>
        </w:rPr>
        <w:instrText xml:space="preserve"> ADDIN ZOTERO_ITEM CSL_CITATION {"citationID":"BY5Wrr60","properties":{"formattedCitation":"(12,13)","plainCitation":"(12,13)","noteIndex":0},"citationItems":[{"id":8,"uris":["http://zotero.org/users/4954704/items/Z7HFABBX"],"itemData":{"id":8,"type":"article-journal","abstract":"In rheumatoid arthritis (RA), interleukin-6 (IL-6) concentration is elevated, which may cause reduced cytochrome P450 (CYP) activity and increased exposure (peak plasma concentration and area under the plasma concentration-vs.-time curve (AUC)) to certain drugs. Tocilizumab may reverse IL-6-induced suppression of CYP3A4 activity. In this study, exposure to simvastatin was significantly reduced at 1 and 5 weeks after tocilizumab infusion in 12 patients with RA. The mean effect ratio for simvastatin AUClast was 43% (90% confidence interval (CI), 34–55%) at 1 week after tocilizumab infusion (day 15) and 61% (90% CI, 47–78%) at 5 weeks after tocilizumab infusion, as compared with baseline (day 1); both ratios were significantly lower than the bioequivalence boundary (80–125%). Mean plasma C-reactive protein (CRP) levels normalized within 1 week after tocilizumab was initiated; the time course of tocilizumab's CRP-reducing effect paralleled that of simvastatin pharmacokinetics. The study findings suggest that caution should be exercised when starting tocilizumab in RA patients who are taking simvastatin. Clinical Pharmacology &amp; Therapeutics (2011) 89 5, 735–740. doi:10.1038/clpt.2011.35","container-title":"Clinical Pharmacology &amp; Therapeutics","DOI":"10.1038/clpt.2011.35","ISSN":"1532-6535","issue":"5","language":"en","page":"735-740","source":"Wiley Online Library","title":"Disease–Drug–Drug Interaction Involving Tocilizumab and Simvastatin in Patients With Rheumatoid Arthritis","volume":"89","author":[{"family":"Schmitt","given":"C."},{"family":"Kuhn","given":"B."},{"family":"Zhang","given":"X."},{"family":"Kivitz","given":"A. J."},{"family":"Grange","given":"S."}],"issued":{"date-parts":[["2011",5]]}}},{"id":351,"uris":["http://zotero.org/users/4954704/items/THXC8IEN"],"itemData":{"id":351,"type":"article-journal","abstract":"Introduction Elevated interleukin (IL)-6 occurs in patients with active rheumatoid arthritis (RA), which has been shown to lead to a decrease in cytochrome P450 (CYP) enzyme activity and alterations in drug concentrations metabolized by CYP. IL-6 signaling blockade by IL-6 receptor (IL-6R) antagonists may reverse this effect of IL-6 and restore CYP activity. This study evaluated the pharmacokinetic proﬁle of simvastatin (a CYP3A4 substrate) before and 1 week after a single dose of sarilumab (a human monoclonal antibody [mAb] blocking the IL-6Ra) in patients with RA, to assess potential interaction.","container-title":"Clinical Pharmacokinetics","DOI":"10.1007/s40262-016-0462-8","ISSN":"0312-5963, 1179-1926","issue":"6","journalAbbreviation":"Clin Pharmacokinet","language":"en","page":"607-615","source":"DOI.org (Crossref)","title":"Disease–Drug Interaction of Sarilumab and Simvastatin in Patients with Rheumatoid Arthritis","volume":"56","author":[{"family":"Lee","given":"Eun Bong"},{"family":"Daskalakis","given":"Nikki"},{"family":"Xu","given":"Christine"},{"family":"Paccaly","given":"Anne"},{"family":"Miller","given":"Barry"},{"family":"Fleischmann","given":"Roy"},{"family":"Bodrug","given":"Inga"},{"family":"Kivitz","given":"Alan"}],"issued":{"date-parts":[["2017",6]]}}}],"schema":"https://github.com/citation-style-language/schema/raw/master/csl-citation.json"} </w:instrText>
      </w:r>
      <w:r w:rsidR="001D047A" w:rsidRPr="7FBC0748">
        <w:rPr>
          <w:rFonts w:ascii="Times" w:hAnsi="Times"/>
          <w:lang w:val="en-US"/>
        </w:rPr>
        <w:fldChar w:fldCharType="separate"/>
      </w:r>
      <w:r w:rsidR="00D27273" w:rsidRPr="7FBC0748">
        <w:rPr>
          <w:rFonts w:ascii="Times" w:hAnsi="Times"/>
          <w:noProof/>
          <w:lang w:val="en-US"/>
        </w:rPr>
        <w:t>(12,13)</w:t>
      </w:r>
      <w:r w:rsidR="001D047A" w:rsidRPr="7FBC0748">
        <w:rPr>
          <w:rFonts w:ascii="Times" w:hAnsi="Times"/>
          <w:lang w:val="en-US"/>
        </w:rPr>
        <w:fldChar w:fldCharType="end"/>
      </w:r>
      <w:r w:rsidR="00064020" w:rsidRPr="7FBC0748">
        <w:rPr>
          <w:rFonts w:ascii="Times" w:hAnsi="Times"/>
          <w:lang w:val="en-US"/>
        </w:rPr>
        <w:t xml:space="preserve">. It is unclear if baseline inflammation levels play </w:t>
      </w:r>
      <w:r w:rsidR="00DF13B8" w:rsidRPr="7FBC0748">
        <w:rPr>
          <w:rFonts w:ascii="Times" w:hAnsi="Times"/>
          <w:lang w:val="en-US"/>
        </w:rPr>
        <w:t xml:space="preserve">a part in the impact on </w:t>
      </w:r>
      <w:r w:rsidR="00F36AB5" w:rsidRPr="7FBC0748">
        <w:rPr>
          <w:rFonts w:ascii="Times" w:hAnsi="Times"/>
          <w:lang w:val="en-US"/>
        </w:rPr>
        <w:t>CYP3A4</w:t>
      </w:r>
      <w:r w:rsidR="00DF13B8" w:rsidRPr="7FBC0748">
        <w:rPr>
          <w:rFonts w:ascii="Times" w:hAnsi="Times"/>
          <w:lang w:val="en-US"/>
        </w:rPr>
        <w:t xml:space="preserve"> and</w:t>
      </w:r>
      <w:r w:rsidR="00211CF1" w:rsidRPr="7FBC0748">
        <w:rPr>
          <w:rFonts w:ascii="Times" w:hAnsi="Times"/>
          <w:lang w:val="en-US"/>
        </w:rPr>
        <w:t xml:space="preserve"> if this </w:t>
      </w:r>
      <w:r w:rsidR="00235802" w:rsidRPr="7FBC0748">
        <w:rPr>
          <w:rFonts w:ascii="Times" w:hAnsi="Times"/>
          <w:lang w:val="en-US"/>
        </w:rPr>
        <w:t xml:space="preserve">lower grade of inflammation </w:t>
      </w:r>
      <w:r w:rsidR="00211CF1" w:rsidRPr="7FBC0748">
        <w:rPr>
          <w:rFonts w:ascii="Times" w:hAnsi="Times"/>
          <w:lang w:val="en-US"/>
        </w:rPr>
        <w:t>might bias the results</w:t>
      </w:r>
      <w:r w:rsidR="003A6616" w:rsidRPr="7FBC0748">
        <w:rPr>
          <w:rFonts w:ascii="Times" w:hAnsi="Times"/>
          <w:lang w:val="en-US"/>
        </w:rPr>
        <w:t xml:space="preserve"> and impact the observed transient effect</w:t>
      </w:r>
      <w:r w:rsidR="00211CF1" w:rsidRPr="7FBC0748">
        <w:rPr>
          <w:rFonts w:ascii="Times" w:hAnsi="Times"/>
          <w:lang w:val="en-US"/>
        </w:rPr>
        <w:t>.</w:t>
      </w:r>
      <w:r w:rsidR="00235802" w:rsidRPr="7FBC0748">
        <w:rPr>
          <w:rFonts w:ascii="Times" w:hAnsi="Times"/>
          <w:lang w:val="en-US"/>
        </w:rPr>
        <w:t xml:space="preserve"> </w:t>
      </w:r>
      <w:r w:rsidR="00A53032" w:rsidRPr="7FBC0748">
        <w:rPr>
          <w:rFonts w:ascii="Times" w:hAnsi="Times"/>
          <w:lang w:val="en-US"/>
        </w:rPr>
        <w:t xml:space="preserve">No </w:t>
      </w:r>
      <w:r w:rsidR="009155C4" w:rsidRPr="7FBC0748">
        <w:rPr>
          <w:rFonts w:ascii="Times" w:hAnsi="Times"/>
          <w:lang w:val="en-US"/>
        </w:rPr>
        <w:t>apparent</w:t>
      </w:r>
      <w:r w:rsidR="00A53032" w:rsidRPr="7FBC0748">
        <w:rPr>
          <w:rFonts w:ascii="Times" w:hAnsi="Times"/>
          <w:lang w:val="en-US"/>
        </w:rPr>
        <w:t xml:space="preserve"> effect was observed in the retrospective study assessing </w:t>
      </w:r>
      <w:r w:rsidR="00801224" w:rsidRPr="7FBC0748">
        <w:rPr>
          <w:rFonts w:ascii="Times" w:hAnsi="Times"/>
          <w:lang w:val="en-US"/>
        </w:rPr>
        <w:t xml:space="preserve">the </w:t>
      </w:r>
      <w:r w:rsidR="00A53032" w:rsidRPr="7FBC0748">
        <w:rPr>
          <w:rFonts w:ascii="Times" w:hAnsi="Times"/>
          <w:lang w:val="en-US"/>
        </w:rPr>
        <w:t>4</w:t>
      </w:r>
      <w:r w:rsidR="00A53032" w:rsidRPr="7FBC0748">
        <w:rPr>
          <w:rFonts w:ascii="Symbol" w:eastAsia="Symbol" w:hAnsi="Symbol" w:cs="Symbol"/>
          <w:lang w:val="en-US"/>
        </w:rPr>
        <w:t></w:t>
      </w:r>
      <w:r w:rsidR="00A53032" w:rsidRPr="7FBC0748">
        <w:rPr>
          <w:rFonts w:ascii="Times" w:hAnsi="Times"/>
          <w:lang w:val="en-US"/>
        </w:rPr>
        <w:t>-hydroxycholesterol/cholesterol ratio</w:t>
      </w:r>
      <w:r w:rsidR="000020B5" w:rsidRPr="7FBC0748">
        <w:rPr>
          <w:rFonts w:ascii="Times" w:hAnsi="Times"/>
          <w:lang w:val="en-US"/>
        </w:rPr>
        <w:t xml:space="preserve">, </w:t>
      </w:r>
      <w:r w:rsidR="00A024C2" w:rsidRPr="7FBC0748">
        <w:rPr>
          <w:rFonts w:ascii="Times" w:hAnsi="Times"/>
          <w:lang w:val="en-US"/>
        </w:rPr>
        <w:t>possibly</w:t>
      </w:r>
      <w:r w:rsidR="00A53032" w:rsidRPr="7FBC0748">
        <w:rPr>
          <w:rFonts w:ascii="Times" w:hAnsi="Times"/>
          <w:lang w:val="en-US"/>
        </w:rPr>
        <w:t xml:space="preserve"> due to the prolonged elimination half-life of 4</w:t>
      </w:r>
      <w:r w:rsidR="00A53032" w:rsidRPr="7FBC0748">
        <w:rPr>
          <w:rFonts w:ascii="Symbol" w:eastAsia="Symbol" w:hAnsi="Symbol" w:cs="Symbol"/>
          <w:lang w:val="en-US"/>
        </w:rPr>
        <w:t></w:t>
      </w:r>
      <w:r w:rsidR="00A53032" w:rsidRPr="7FBC0748">
        <w:rPr>
          <w:rFonts w:ascii="Times" w:hAnsi="Times"/>
          <w:lang w:val="en-US"/>
        </w:rPr>
        <w:t>-hydroxycholesterol</w:t>
      </w:r>
      <w:r w:rsidR="000020B5" w:rsidRPr="7FBC0748">
        <w:rPr>
          <w:rFonts w:ascii="Times" w:hAnsi="Times"/>
          <w:lang w:val="en-US"/>
        </w:rPr>
        <w:t xml:space="preserve">. </w:t>
      </w:r>
      <w:r w:rsidR="00100061" w:rsidRPr="7FBC0748">
        <w:rPr>
          <w:rFonts w:ascii="Times" w:hAnsi="Times"/>
          <w:lang w:val="en-US"/>
        </w:rPr>
        <w:t xml:space="preserve">As the </w:t>
      </w:r>
      <w:r w:rsidR="00236317" w:rsidRPr="7FBC0748">
        <w:rPr>
          <w:rFonts w:ascii="Times" w:hAnsi="Times"/>
          <w:lang w:val="en-US"/>
        </w:rPr>
        <w:t xml:space="preserve">observed increase in CYP metabolism is transient, the effect </w:t>
      </w:r>
      <w:r w:rsidR="00D02CDF" w:rsidRPr="7FBC0748">
        <w:rPr>
          <w:rFonts w:ascii="Times" w:hAnsi="Times"/>
          <w:lang w:val="en-US"/>
        </w:rPr>
        <w:t>cannot</w:t>
      </w:r>
      <w:r w:rsidR="00236317" w:rsidRPr="7FBC0748">
        <w:rPr>
          <w:rFonts w:ascii="Times" w:hAnsi="Times"/>
          <w:lang w:val="en-US"/>
        </w:rPr>
        <w:t xml:space="preserve"> </w:t>
      </w:r>
      <w:r w:rsidR="00C90F04" w:rsidRPr="7FBC0748">
        <w:rPr>
          <w:rFonts w:ascii="Times" w:hAnsi="Times"/>
          <w:lang w:val="en-US"/>
        </w:rPr>
        <w:t xml:space="preserve">substantially affect </w:t>
      </w:r>
      <w:r w:rsidR="00C90F04" w:rsidRPr="7FBC0748">
        <w:rPr>
          <w:rFonts w:ascii="Symbol" w:eastAsia="Symbol" w:hAnsi="Symbol" w:cs="Symbol"/>
          <w:lang w:val="en-US"/>
        </w:rPr>
        <w:t></w:t>
      </w:r>
      <w:r w:rsidR="00C90F04" w:rsidRPr="7FBC0748">
        <w:rPr>
          <w:rFonts w:ascii="Times" w:hAnsi="Times"/>
          <w:lang w:val="en-US"/>
        </w:rPr>
        <w:t>-hydroxycholesterol concentrations</w:t>
      </w:r>
      <w:r w:rsidR="00A671EC" w:rsidRPr="7FBC0748">
        <w:rPr>
          <w:rFonts w:ascii="Times" w:hAnsi="Times"/>
          <w:lang w:val="en-US"/>
        </w:rPr>
        <w:t xml:space="preserve">, as the altered </w:t>
      </w:r>
      <w:r w:rsidR="00150398" w:rsidRPr="7FBC0748">
        <w:rPr>
          <w:rFonts w:ascii="Times" w:hAnsi="Times"/>
          <w:lang w:val="en-US"/>
        </w:rPr>
        <w:t>CYP activity</w:t>
      </w:r>
      <w:r w:rsidR="00A671EC" w:rsidRPr="7FBC0748">
        <w:rPr>
          <w:rFonts w:ascii="Times" w:hAnsi="Times"/>
          <w:lang w:val="en-US"/>
        </w:rPr>
        <w:t xml:space="preserve"> </w:t>
      </w:r>
      <w:r w:rsidR="00150398" w:rsidRPr="7FBC0748">
        <w:rPr>
          <w:rFonts w:ascii="Times" w:hAnsi="Times"/>
          <w:lang w:val="en-US"/>
        </w:rPr>
        <w:t xml:space="preserve">persists for a shorter </w:t>
      </w:r>
      <w:r w:rsidR="00A671EC" w:rsidRPr="7FBC0748">
        <w:rPr>
          <w:rFonts w:ascii="Times" w:hAnsi="Times"/>
          <w:lang w:val="en-US"/>
        </w:rPr>
        <w:t xml:space="preserve">period than the half-life of </w:t>
      </w:r>
      <w:r w:rsidR="00150398" w:rsidRPr="7FBC0748">
        <w:rPr>
          <w:rFonts w:ascii="Times" w:hAnsi="Times"/>
          <w:lang w:val="en-US"/>
        </w:rPr>
        <w:t>4</w:t>
      </w:r>
      <w:r w:rsidR="00A671EC" w:rsidRPr="7FBC0748">
        <w:rPr>
          <w:rFonts w:ascii="Symbol" w:eastAsia="Symbol" w:hAnsi="Symbol" w:cs="Symbol"/>
          <w:lang w:val="en-US"/>
        </w:rPr>
        <w:t></w:t>
      </w:r>
      <w:r w:rsidR="00A671EC" w:rsidRPr="7FBC0748">
        <w:rPr>
          <w:rFonts w:ascii="Times" w:hAnsi="Times"/>
          <w:lang w:val="en-US"/>
        </w:rPr>
        <w:t xml:space="preserve">-hydroxycholesterol. </w:t>
      </w:r>
      <w:r w:rsidR="00F827FE" w:rsidRPr="7FBC0748">
        <w:rPr>
          <w:rFonts w:ascii="Times" w:hAnsi="Times"/>
          <w:lang w:val="en-US"/>
        </w:rPr>
        <w:t xml:space="preserve">Overall, these </w:t>
      </w:r>
      <w:r w:rsidR="00C23423" w:rsidRPr="7FBC0748">
        <w:rPr>
          <w:rFonts w:ascii="Times" w:hAnsi="Times"/>
          <w:lang w:val="en-US"/>
        </w:rPr>
        <w:t>observation</w:t>
      </w:r>
      <w:r w:rsidR="002C0408" w:rsidRPr="7FBC0748">
        <w:rPr>
          <w:rFonts w:ascii="Times" w:hAnsi="Times"/>
          <w:lang w:val="en-US"/>
        </w:rPr>
        <w:t>s</w:t>
      </w:r>
      <w:r w:rsidR="005F2F00" w:rsidRPr="7FBC0748">
        <w:rPr>
          <w:rFonts w:ascii="Times" w:hAnsi="Times"/>
          <w:lang w:val="en-US"/>
        </w:rPr>
        <w:t xml:space="preserve"> </w:t>
      </w:r>
      <w:r w:rsidR="00F827FE" w:rsidRPr="7FBC0748">
        <w:rPr>
          <w:rFonts w:ascii="Times" w:hAnsi="Times"/>
          <w:lang w:val="en-US"/>
        </w:rPr>
        <w:t xml:space="preserve">could </w:t>
      </w:r>
      <w:r w:rsidR="002C0408" w:rsidRPr="7FBC0748">
        <w:rPr>
          <w:rFonts w:ascii="Times" w:hAnsi="Times"/>
          <w:lang w:val="en-US"/>
        </w:rPr>
        <w:t xml:space="preserve">indicate </w:t>
      </w:r>
      <w:r w:rsidR="000301FE" w:rsidRPr="7FBC0748">
        <w:rPr>
          <w:rFonts w:ascii="Times" w:hAnsi="Times"/>
          <w:lang w:val="en-US"/>
        </w:rPr>
        <w:t>a complex, interconnected regulation of CYP enzymes</w:t>
      </w:r>
      <w:r w:rsidR="002C0408" w:rsidRPr="7FBC0748">
        <w:rPr>
          <w:rFonts w:ascii="Times" w:hAnsi="Times"/>
          <w:lang w:val="en-US"/>
        </w:rPr>
        <w:t xml:space="preserve"> by </w:t>
      </w:r>
      <w:r w:rsidR="002C0408" w:rsidRPr="7FBC0748">
        <w:rPr>
          <w:rFonts w:ascii="Times" w:hAnsi="Times"/>
          <w:lang w:val="en-US"/>
        </w:rPr>
        <w:lastRenderedPageBreak/>
        <w:t>cytokines such as IL-6</w:t>
      </w:r>
      <w:r w:rsidR="000301FE" w:rsidRPr="7FBC0748">
        <w:rPr>
          <w:rFonts w:ascii="Times" w:hAnsi="Times"/>
          <w:lang w:val="en-US"/>
        </w:rPr>
        <w:t xml:space="preserve">. It might be hypothesized </w:t>
      </w:r>
      <w:r w:rsidR="00243270" w:rsidRPr="7FBC0748">
        <w:rPr>
          <w:rFonts w:ascii="Times" w:hAnsi="Times"/>
          <w:lang w:val="en-US"/>
        </w:rPr>
        <w:t xml:space="preserve">that </w:t>
      </w:r>
      <w:r w:rsidR="0076735C" w:rsidRPr="7FBC0748">
        <w:rPr>
          <w:rFonts w:ascii="Times" w:hAnsi="Times"/>
          <w:lang w:val="en-US"/>
        </w:rPr>
        <w:t>a fine-tuned negative feedback system mutually regulates the cytokine receptors</w:t>
      </w:r>
      <w:r w:rsidR="002C0408" w:rsidRPr="7FBC0748">
        <w:rPr>
          <w:rFonts w:ascii="Times" w:hAnsi="Times"/>
          <w:lang w:val="en-US"/>
        </w:rPr>
        <w:t xml:space="preserve"> in hepatocytes</w:t>
      </w:r>
      <w:r w:rsidR="004A0C32" w:rsidRPr="7FBC0748">
        <w:rPr>
          <w:rFonts w:ascii="Times" w:hAnsi="Times"/>
          <w:lang w:val="en-US"/>
        </w:rPr>
        <w:t>,</w:t>
      </w:r>
      <w:r w:rsidR="002C0408" w:rsidRPr="7FBC0748">
        <w:rPr>
          <w:rFonts w:ascii="Times" w:hAnsi="Times"/>
          <w:lang w:val="en-US"/>
        </w:rPr>
        <w:t xml:space="preserve"> </w:t>
      </w:r>
      <w:r w:rsidR="0076735C" w:rsidRPr="7FBC0748">
        <w:rPr>
          <w:rFonts w:ascii="Times" w:hAnsi="Times"/>
          <w:lang w:val="en-US"/>
        </w:rPr>
        <w:t>regulating</w:t>
      </w:r>
      <w:r w:rsidR="002C0408" w:rsidRPr="7FBC0748">
        <w:rPr>
          <w:rFonts w:ascii="Times" w:hAnsi="Times"/>
          <w:lang w:val="en-US"/>
        </w:rPr>
        <w:t xml:space="preserve"> CYP expression and activity</w:t>
      </w:r>
      <w:r w:rsidR="00243270" w:rsidRPr="7FBC0748">
        <w:rPr>
          <w:rFonts w:ascii="Times" w:hAnsi="Times"/>
          <w:lang w:val="en-US"/>
        </w:rPr>
        <w:t xml:space="preserve">. </w:t>
      </w:r>
      <w:r w:rsidR="001D047A" w:rsidRPr="7FBC0748">
        <w:rPr>
          <w:rFonts w:ascii="Times" w:hAnsi="Times"/>
          <w:lang w:val="en-US"/>
        </w:rPr>
        <w:t>No studies have previously shown that the increase</w:t>
      </w:r>
      <w:r w:rsidR="00B64860" w:rsidRPr="7FBC0748">
        <w:rPr>
          <w:rFonts w:ascii="Times" w:hAnsi="Times"/>
          <w:lang w:val="en-US"/>
        </w:rPr>
        <w:t xml:space="preserve"> or normalization</w:t>
      </w:r>
      <w:r w:rsidR="001D047A" w:rsidRPr="7FBC0748">
        <w:rPr>
          <w:rFonts w:ascii="Times" w:hAnsi="Times"/>
          <w:lang w:val="en-US"/>
        </w:rPr>
        <w:t xml:space="preserve"> in CYP3A4 activity caused by anti-IL-6R </w:t>
      </w:r>
      <w:r w:rsidR="00B64860" w:rsidRPr="7FBC0748">
        <w:rPr>
          <w:rFonts w:ascii="Times" w:hAnsi="Times"/>
          <w:lang w:val="en-US"/>
        </w:rPr>
        <w:t>returns</w:t>
      </w:r>
      <w:r w:rsidR="00091B5C" w:rsidRPr="7FBC0748">
        <w:rPr>
          <w:rFonts w:ascii="Times" w:hAnsi="Times"/>
          <w:lang w:val="en-US"/>
        </w:rPr>
        <w:t xml:space="preserve"> to baseline </w:t>
      </w:r>
      <w:r w:rsidR="001D047A" w:rsidRPr="7FBC0748">
        <w:rPr>
          <w:rFonts w:ascii="Times" w:hAnsi="Times"/>
          <w:lang w:val="en-US"/>
        </w:rPr>
        <w:t>following continuous treatment</w:t>
      </w:r>
      <w:r w:rsidR="00E00E7C" w:rsidRPr="7FBC0748">
        <w:rPr>
          <w:rFonts w:ascii="Times" w:hAnsi="Times"/>
          <w:lang w:val="en-US"/>
        </w:rPr>
        <w:t xml:space="preserve">. Further studies are warranted to confirm this </w:t>
      </w:r>
      <w:r w:rsidR="009E5B5B" w:rsidRPr="7FBC0748">
        <w:rPr>
          <w:rFonts w:ascii="Times" w:hAnsi="Times"/>
          <w:lang w:val="en-US"/>
        </w:rPr>
        <w:t xml:space="preserve">preliminary </w:t>
      </w:r>
      <w:r w:rsidR="00E00E7C" w:rsidRPr="7FBC0748">
        <w:rPr>
          <w:rFonts w:ascii="Times" w:hAnsi="Times"/>
          <w:lang w:val="en-US"/>
        </w:rPr>
        <w:t xml:space="preserve">finding and </w:t>
      </w:r>
      <w:r w:rsidR="0009432A" w:rsidRPr="7FBC0748">
        <w:rPr>
          <w:rFonts w:ascii="Times" w:hAnsi="Times"/>
          <w:lang w:val="en-US"/>
        </w:rPr>
        <w:t>elucidate the underlying mechanism</w:t>
      </w:r>
      <w:r w:rsidR="001D047A" w:rsidRPr="7FBC0748">
        <w:rPr>
          <w:rFonts w:ascii="Times" w:hAnsi="Times"/>
          <w:lang w:val="en-US"/>
        </w:rPr>
        <w:t>.</w:t>
      </w:r>
      <w:r w:rsidR="00A27B3A" w:rsidRPr="7FBC0748">
        <w:rPr>
          <w:rFonts w:ascii="Times" w:hAnsi="Times"/>
          <w:lang w:val="en-US"/>
        </w:rPr>
        <w:t xml:space="preserve"> </w:t>
      </w:r>
    </w:p>
    <w:p w14:paraId="363A1C52" w14:textId="77777777" w:rsidR="00111A14" w:rsidRPr="0064709E" w:rsidRDefault="00111A14" w:rsidP="009A2F16">
      <w:pPr>
        <w:spacing w:line="360" w:lineRule="auto"/>
        <w:jc w:val="both"/>
        <w:rPr>
          <w:rFonts w:ascii="Times" w:hAnsi="Times"/>
          <w:lang w:val="en-US"/>
        </w:rPr>
      </w:pPr>
    </w:p>
    <w:p w14:paraId="4A9B7462" w14:textId="531035C6" w:rsidR="00A27B3A" w:rsidRDefault="004B1D07" w:rsidP="009A2F16">
      <w:pPr>
        <w:spacing w:line="360" w:lineRule="auto"/>
        <w:jc w:val="both"/>
        <w:rPr>
          <w:rFonts w:ascii="Times" w:hAnsi="Times"/>
          <w:lang w:val="en-US"/>
        </w:rPr>
      </w:pPr>
      <w:r w:rsidRPr="4AFDAE6C">
        <w:rPr>
          <w:rFonts w:ascii="Times" w:hAnsi="Times"/>
          <w:lang w:val="en-US"/>
        </w:rPr>
        <w:t xml:space="preserve">The main limitation of the </w:t>
      </w:r>
      <w:r w:rsidR="00D06425" w:rsidRPr="4AFDAE6C">
        <w:rPr>
          <w:rFonts w:ascii="Times" w:hAnsi="Times"/>
          <w:lang w:val="en-US"/>
        </w:rPr>
        <w:t>clinical pharmacokinetic trial</w:t>
      </w:r>
      <w:r w:rsidR="00F7595B" w:rsidRPr="4AFDAE6C">
        <w:rPr>
          <w:rFonts w:ascii="Times" w:hAnsi="Times"/>
          <w:lang w:val="en-US"/>
        </w:rPr>
        <w:t xml:space="preserve"> is the limited sample size of only three patients with rheumatoid arthritis</w:t>
      </w:r>
      <w:r w:rsidR="00C449DF">
        <w:rPr>
          <w:rFonts w:ascii="Times" w:hAnsi="Times"/>
          <w:lang w:val="en-US"/>
        </w:rPr>
        <w:t xml:space="preserve">, and the obtained results </w:t>
      </w:r>
      <w:r w:rsidR="00B64860">
        <w:rPr>
          <w:rFonts w:ascii="Times" w:hAnsi="Times"/>
          <w:lang w:val="en-US"/>
        </w:rPr>
        <w:t>may</w:t>
      </w:r>
      <w:r w:rsidR="00D328B8">
        <w:rPr>
          <w:rFonts w:ascii="Times" w:hAnsi="Times"/>
          <w:lang w:val="en-US"/>
        </w:rPr>
        <w:t xml:space="preserve"> only be considered preliminary</w:t>
      </w:r>
      <w:r w:rsidR="00F7595B" w:rsidRPr="4AFDAE6C">
        <w:rPr>
          <w:rFonts w:ascii="Times" w:hAnsi="Times"/>
          <w:lang w:val="en-US"/>
        </w:rPr>
        <w:t xml:space="preserve">. </w:t>
      </w:r>
      <w:r w:rsidR="00826404" w:rsidRPr="4AFDAE6C">
        <w:rPr>
          <w:rFonts w:ascii="Times" w:hAnsi="Times"/>
          <w:lang w:val="en-US"/>
        </w:rPr>
        <w:t>Anti-IL-6R therapies are not the primary choice-of-therapy in Denmark</w:t>
      </w:r>
      <w:r w:rsidR="00191763">
        <w:rPr>
          <w:rFonts w:ascii="Times" w:hAnsi="Times"/>
          <w:lang w:val="en-US"/>
        </w:rPr>
        <w:t>,</w:t>
      </w:r>
      <w:r w:rsidR="00B64860">
        <w:rPr>
          <w:rFonts w:ascii="Times" w:hAnsi="Times"/>
          <w:lang w:val="en-US"/>
        </w:rPr>
        <w:t xml:space="preserve"> and</w:t>
      </w:r>
      <w:r w:rsidR="00826404" w:rsidRPr="4AFDAE6C">
        <w:rPr>
          <w:rFonts w:ascii="Times" w:hAnsi="Times"/>
          <w:lang w:val="en-US"/>
        </w:rPr>
        <w:t xml:space="preserve"> the </w:t>
      </w:r>
      <w:r w:rsidR="708C2047" w:rsidRPr="4AFDAE6C">
        <w:rPr>
          <w:rFonts w:ascii="Times" w:hAnsi="Times"/>
          <w:lang w:val="en-US"/>
        </w:rPr>
        <w:t xml:space="preserve">enrollment </w:t>
      </w:r>
      <w:r w:rsidR="00826404" w:rsidRPr="4AFDAE6C">
        <w:rPr>
          <w:rFonts w:ascii="Times" w:hAnsi="Times"/>
          <w:lang w:val="en-US"/>
        </w:rPr>
        <w:t xml:space="preserve">of trial subjects was </w:t>
      </w:r>
      <w:r w:rsidR="00E00E7C" w:rsidRPr="4AFDAE6C">
        <w:rPr>
          <w:rFonts w:ascii="Times" w:hAnsi="Times"/>
          <w:lang w:val="en-US"/>
        </w:rPr>
        <w:t>challeng</w:t>
      </w:r>
      <w:r w:rsidR="00B64860">
        <w:rPr>
          <w:rFonts w:ascii="Times" w:hAnsi="Times"/>
          <w:lang w:val="en-US"/>
        </w:rPr>
        <w:t xml:space="preserve">ed by their high </w:t>
      </w:r>
      <w:r w:rsidR="001F7684">
        <w:rPr>
          <w:rFonts w:ascii="Times" w:hAnsi="Times"/>
          <w:lang w:val="en-US"/>
        </w:rPr>
        <w:t>disease burden</w:t>
      </w:r>
      <w:r w:rsidR="00B64860">
        <w:rPr>
          <w:rFonts w:ascii="Times" w:hAnsi="Times"/>
          <w:lang w:val="en-US"/>
        </w:rPr>
        <w:t xml:space="preserve"> at the time of screening</w:t>
      </w:r>
      <w:r w:rsidR="00045A72">
        <w:rPr>
          <w:rFonts w:ascii="Times" w:hAnsi="Times"/>
          <w:lang w:val="en-US"/>
        </w:rPr>
        <w:t>, hindering their willingness to participate in the trial</w:t>
      </w:r>
      <w:r w:rsidR="00B64860">
        <w:rPr>
          <w:rFonts w:ascii="Times" w:hAnsi="Times"/>
          <w:lang w:val="en-US"/>
        </w:rPr>
        <w:t>. As such, the trial</w:t>
      </w:r>
      <w:r w:rsidR="00826404" w:rsidRPr="4AFDAE6C">
        <w:rPr>
          <w:rFonts w:ascii="Times" w:hAnsi="Times"/>
          <w:lang w:val="en-US"/>
        </w:rPr>
        <w:t xml:space="preserve"> failed to reach the sample size</w:t>
      </w:r>
      <w:r w:rsidR="00132C6B">
        <w:rPr>
          <w:rFonts w:ascii="Times" w:hAnsi="Times"/>
          <w:lang w:val="en-US"/>
        </w:rPr>
        <w:t>,</w:t>
      </w:r>
      <w:r w:rsidR="00B64860">
        <w:rPr>
          <w:rFonts w:ascii="Times" w:hAnsi="Times"/>
          <w:lang w:val="en-US"/>
        </w:rPr>
        <w:t xml:space="preserve"> and mo</w:t>
      </w:r>
      <w:r w:rsidR="002D1768" w:rsidRPr="4AFDAE6C">
        <w:rPr>
          <w:rFonts w:ascii="Times" w:hAnsi="Times"/>
          <w:lang w:val="en-US"/>
        </w:rPr>
        <w:t>re extensive</w:t>
      </w:r>
      <w:r w:rsidR="00826404" w:rsidRPr="4AFDAE6C">
        <w:rPr>
          <w:rFonts w:ascii="Times" w:hAnsi="Times"/>
          <w:lang w:val="en-US"/>
        </w:rPr>
        <w:t xml:space="preserve"> studies are warranted</w:t>
      </w:r>
      <w:r w:rsidR="00B64860">
        <w:rPr>
          <w:rFonts w:ascii="Times" w:hAnsi="Times"/>
          <w:lang w:val="en-US"/>
        </w:rPr>
        <w:t>.</w:t>
      </w:r>
      <w:r w:rsidR="00826404" w:rsidRPr="4AFDAE6C">
        <w:rPr>
          <w:rFonts w:ascii="Times" w:hAnsi="Times"/>
          <w:lang w:val="en-US"/>
        </w:rPr>
        <w:t xml:space="preserve"> </w:t>
      </w:r>
      <w:r w:rsidR="003314A5" w:rsidRPr="4AFDAE6C">
        <w:rPr>
          <w:rFonts w:ascii="Times" w:hAnsi="Times"/>
          <w:lang w:val="en-US"/>
        </w:rPr>
        <w:t>While we observed a</w:t>
      </w:r>
      <w:r w:rsidR="76F2B6AB" w:rsidRPr="4AFDAE6C">
        <w:rPr>
          <w:rFonts w:ascii="Times" w:hAnsi="Times"/>
          <w:lang w:val="en-US"/>
        </w:rPr>
        <w:t>n</w:t>
      </w:r>
      <w:r w:rsidR="003314A5" w:rsidRPr="4AFDAE6C">
        <w:rPr>
          <w:rFonts w:ascii="Times" w:hAnsi="Times"/>
          <w:lang w:val="en-US"/>
        </w:rPr>
        <w:t xml:space="preserve"> effect on CYP3A4 activity assessed by midazolam pharmacokinetics among the three patients in the clinical trial, th</w:t>
      </w:r>
      <w:r w:rsidR="47C2FAC5" w:rsidRPr="4AFDAE6C">
        <w:rPr>
          <w:rFonts w:ascii="Times" w:hAnsi="Times"/>
          <w:lang w:val="en-US"/>
        </w:rPr>
        <w:t xml:space="preserve">is </w:t>
      </w:r>
      <w:r w:rsidR="003314A5" w:rsidRPr="4AFDAE6C">
        <w:rPr>
          <w:rFonts w:ascii="Times" w:hAnsi="Times"/>
          <w:lang w:val="en-US"/>
        </w:rPr>
        <w:t xml:space="preserve">was </w:t>
      </w:r>
      <w:r w:rsidR="00F36742">
        <w:rPr>
          <w:rFonts w:ascii="Times" w:hAnsi="Times"/>
          <w:lang w:val="en-US"/>
        </w:rPr>
        <w:t xml:space="preserve">not </w:t>
      </w:r>
      <w:r w:rsidR="3DF13807" w:rsidRPr="4AFDAE6C">
        <w:rPr>
          <w:rFonts w:ascii="Times" w:hAnsi="Times"/>
          <w:lang w:val="en-US"/>
        </w:rPr>
        <w:t xml:space="preserve">supported by the assessment of </w:t>
      </w:r>
      <w:r w:rsidR="00A40C71" w:rsidRPr="4AFDAE6C">
        <w:rPr>
          <w:rFonts w:ascii="Times" w:hAnsi="Times"/>
          <w:lang w:val="en-US"/>
        </w:rPr>
        <w:t>4</w:t>
      </w:r>
      <w:r w:rsidR="00A40C71" w:rsidRPr="4AFDAE6C">
        <w:rPr>
          <w:rFonts w:ascii="Symbol" w:eastAsia="Symbol" w:hAnsi="Symbol" w:cs="Symbol"/>
          <w:lang w:val="en-US"/>
        </w:rPr>
        <w:t></w:t>
      </w:r>
      <w:r w:rsidR="00A40C71" w:rsidRPr="4AFDAE6C">
        <w:rPr>
          <w:rFonts w:ascii="Times" w:hAnsi="Times"/>
          <w:lang w:val="en-US"/>
        </w:rPr>
        <w:t>-hydroxycholesterol</w:t>
      </w:r>
      <w:r w:rsidR="663B12EC" w:rsidRPr="4AFDAE6C">
        <w:rPr>
          <w:rFonts w:ascii="Times" w:hAnsi="Times"/>
          <w:lang w:val="en-US"/>
        </w:rPr>
        <w:t xml:space="preserve"> in the clinical pharmacokinetic trial</w:t>
      </w:r>
      <w:r w:rsidR="000C422A" w:rsidRPr="4AFDAE6C">
        <w:rPr>
          <w:rFonts w:ascii="Times" w:hAnsi="Times"/>
          <w:lang w:val="en-US"/>
        </w:rPr>
        <w:t>.</w:t>
      </w:r>
      <w:r w:rsidR="008A65FA" w:rsidRPr="008A65FA">
        <w:rPr>
          <w:rFonts w:ascii="Times" w:hAnsi="Times"/>
          <w:lang w:val="en-US"/>
        </w:rPr>
        <w:t xml:space="preserve"> </w:t>
      </w:r>
      <w:r w:rsidR="008A65FA">
        <w:rPr>
          <w:rFonts w:ascii="Times" w:hAnsi="Times"/>
          <w:lang w:val="en-US"/>
        </w:rPr>
        <w:t>Furthermore, we could not assess the CYP2D6 metabolism due to low concentrations of metoprolol and the metabolite OH-metoprolol</w:t>
      </w:r>
      <w:r w:rsidR="001F7684">
        <w:rPr>
          <w:rFonts w:ascii="Times" w:hAnsi="Times"/>
          <w:lang w:val="en-US"/>
        </w:rPr>
        <w:t>. However,</w:t>
      </w:r>
      <w:r w:rsidR="00045A72">
        <w:rPr>
          <w:rFonts w:ascii="Times" w:hAnsi="Times"/>
          <w:lang w:val="en-US"/>
        </w:rPr>
        <w:t xml:space="preserve"> previous </w:t>
      </w:r>
      <w:r w:rsidR="00045A72" w:rsidRPr="008A65FA">
        <w:rPr>
          <w:rFonts w:ascii="Times" w:hAnsi="Times"/>
          <w:i/>
          <w:iCs/>
          <w:lang w:val="en-US"/>
        </w:rPr>
        <w:t>in vitro</w:t>
      </w:r>
      <w:r w:rsidR="00045A72">
        <w:rPr>
          <w:rFonts w:ascii="Times" w:hAnsi="Times"/>
          <w:lang w:val="en-US"/>
        </w:rPr>
        <w:t xml:space="preserve"> studies have not shown an effect on CYP2D6 activity</w:t>
      </w:r>
      <w:r w:rsidR="00191763">
        <w:rPr>
          <w:rFonts w:ascii="Times" w:hAnsi="Times"/>
          <w:lang w:val="en-US"/>
        </w:rPr>
        <w:t xml:space="preserve"> </w:t>
      </w:r>
      <w:r w:rsidR="008A65FA">
        <w:rPr>
          <w:rFonts w:ascii="Times" w:hAnsi="Times"/>
          <w:lang w:val="en-US"/>
        </w:rPr>
        <w:fldChar w:fldCharType="begin"/>
      </w:r>
      <w:r w:rsidR="000F338C">
        <w:rPr>
          <w:rFonts w:ascii="Times" w:hAnsi="Times"/>
          <w:lang w:val="en-US"/>
        </w:rPr>
        <w:instrText xml:space="preserve"> ADDIN ZOTERO_ITEM CSL_CITATION {"citationID":"KJyZ2qSa","properties":{"formattedCitation":"(6,7,11)","plainCitation":"(6,7,11)","noteIndex":0},"citationItems":[{"id":1330,"uris":["http://zotero.org/users/4954704/items/PWCDEYDU"],"itemData":{"id":1330,"type":"webpage","title":"RoActemra Summary of Product Characteristics","URL":"https://www.ema.europa.eu/en/documents/product-information/roactemra-epar-product-information_en.pdf","author":[{"family":"European Medicines Agency (EMA)","given":""}],"accessed":{"date-parts":[["2020",7,31]]}}},{"id":1078,"uris":["http://zotero.org/users/4954704/items/DU53IJBT"],"itemData":{"id":1078,"type":"webpage","title":"Kevzara Summary of Product Characteristics","URL":"https://www.ema.europa.eu/en/documents/product-information/kevzara-epar-product-information_en.pdf","author":[{"family":"European Medicines Agency (EMA)","given":""}],"accessed":{"date-parts":[["2020",8,17]]}}},{"id":394,"uris":["http://zotero.org/users/4954704/items/Z8JI2CRN"],"itemData":{"id":394,"type":"article-journal","abstract":"The expression of hepatic cytochrome P450 (CYP) enzymes is altered under pathological conditions with increased levels of cytokines. In this study, we analyzed the effects of cytokines (interleukin [IL]-1b, IL-6 and tumor necrosis factor a) on the expression of CYP3A4 using newly introduced three-dimensionally cultured human hepatocarcinoma FLC-4 cells. The mRNA level of CYP3A4 was signiﬁcantly decreased by IL-1b, IL-6 and tumor necrosis factor-a. Formation of a-hydroxytriazolam catalyzed by CYP3A was decreased by IL-1b and IL-6. Pre-treatment with IL-6 enhanced the cytotoxic effects of geﬁtinib and paclitaxel. In addition, tocilizumab and IL-1 receptor antagonist restored the decreased expression of CYP3A4 mRNA by IL-6 and IL-1b, respectively. These results obtained by using three-dimensionally cultured FLC-4 cells are consistent with results obtained by using primary human hepatocytes and results of clinical studies. Therefore, three-dimensionally cultured FLC-4 cell system may be a promising cellular tool to assess the effects of cytokines on CYP3A4 expression.","container-title":"Drug Metabolism and Pharmacokinetics","DOI":"10.1016/j.dmpk.2014.09.004","ISSN":"13474367","issue":"1","journalAbbreviation":"Drug Metabolism and Pharmacokinetics","language":"en","page":"105-110","source":"DOI.org (Crossref)","title":"Effects of cytokines on CYP3A4 expression and reversal of the effects by anti-cytokine agents in the three-dimensionally cultured human hepatoma cell line FLC-4","volume":"30","author":[{"family":"Mimura","given":"Hanaka"},{"family":"Kobayashi","given":"Kaoru"},{"family":"Xu","given":"Linxiaoqing"},{"family":"Hashimoto","given":"Mari"},{"family":"Ejiri","given":"Yoko"},{"family":"Hosoda","given":"Masaya"},{"family":"Chiba","given":"Kan"}],"issued":{"date-parts":[["2015",2]]}}}],"schema":"https://github.com/citation-style-language/schema/raw/master/csl-citation.json"} </w:instrText>
      </w:r>
      <w:r w:rsidR="008A65FA">
        <w:rPr>
          <w:rFonts w:ascii="Times" w:hAnsi="Times"/>
          <w:lang w:val="en-US"/>
        </w:rPr>
        <w:fldChar w:fldCharType="separate"/>
      </w:r>
      <w:r w:rsidR="000F338C">
        <w:rPr>
          <w:rFonts w:ascii="Times" w:hAnsi="Times"/>
          <w:noProof/>
          <w:lang w:val="en-US"/>
        </w:rPr>
        <w:t>(6,7,11)</w:t>
      </w:r>
      <w:r w:rsidR="008A65FA">
        <w:rPr>
          <w:rFonts w:ascii="Times" w:hAnsi="Times"/>
          <w:lang w:val="en-US"/>
        </w:rPr>
        <w:fldChar w:fldCharType="end"/>
      </w:r>
      <w:r w:rsidR="00F827FE">
        <w:rPr>
          <w:rFonts w:ascii="Times" w:hAnsi="Times"/>
          <w:lang w:val="en-US"/>
        </w:rPr>
        <w:t>.</w:t>
      </w:r>
      <w:r w:rsidR="001F7684">
        <w:rPr>
          <w:rFonts w:ascii="Times" w:hAnsi="Times"/>
          <w:lang w:val="en-US"/>
        </w:rPr>
        <w:t xml:space="preserve"> T</w:t>
      </w:r>
      <w:r w:rsidR="003D3609" w:rsidRPr="4AFDAE6C">
        <w:rPr>
          <w:rFonts w:ascii="Times" w:hAnsi="Times"/>
          <w:lang w:val="en-US"/>
        </w:rPr>
        <w:t>he</w:t>
      </w:r>
      <w:r w:rsidR="00797415" w:rsidRPr="4AFDAE6C">
        <w:rPr>
          <w:rFonts w:ascii="Times" w:hAnsi="Times"/>
          <w:lang w:val="en-US"/>
        </w:rPr>
        <w:t xml:space="preserve"> trial</w:t>
      </w:r>
      <w:r w:rsidR="003D3609" w:rsidRPr="4AFDAE6C">
        <w:rPr>
          <w:rFonts w:ascii="Times" w:hAnsi="Times"/>
          <w:lang w:val="en-US"/>
        </w:rPr>
        <w:t xml:space="preserve"> also</w:t>
      </w:r>
      <w:r w:rsidR="00797415" w:rsidRPr="4AFDAE6C">
        <w:rPr>
          <w:rFonts w:ascii="Times" w:hAnsi="Times"/>
          <w:lang w:val="en-US"/>
        </w:rPr>
        <w:t xml:space="preserve"> has several strengths. First, </w:t>
      </w:r>
      <w:r w:rsidR="007948A0" w:rsidRPr="4AFDAE6C">
        <w:rPr>
          <w:rFonts w:ascii="Times" w:hAnsi="Times"/>
          <w:lang w:val="en-US"/>
        </w:rPr>
        <w:t xml:space="preserve">the long duration of the </w:t>
      </w:r>
      <w:r w:rsidR="18933EDF" w:rsidRPr="4AFDAE6C">
        <w:rPr>
          <w:rFonts w:ascii="Times" w:hAnsi="Times"/>
          <w:lang w:val="en-US"/>
        </w:rPr>
        <w:t xml:space="preserve">trial </w:t>
      </w:r>
      <w:r w:rsidR="007948A0" w:rsidRPr="4AFDAE6C">
        <w:rPr>
          <w:rFonts w:ascii="Times" w:hAnsi="Times"/>
          <w:lang w:val="en-US"/>
        </w:rPr>
        <w:t xml:space="preserve">with continuous therapy mimics the treatment course in </w:t>
      </w:r>
      <w:r w:rsidR="005D113F" w:rsidRPr="4AFDAE6C">
        <w:rPr>
          <w:rFonts w:ascii="Times" w:hAnsi="Times"/>
          <w:lang w:val="en-US"/>
        </w:rPr>
        <w:t xml:space="preserve">patients </w:t>
      </w:r>
      <w:r w:rsidR="005B72B4" w:rsidRPr="4AFDAE6C">
        <w:rPr>
          <w:rFonts w:ascii="Times" w:hAnsi="Times"/>
          <w:lang w:val="en-US"/>
        </w:rPr>
        <w:t xml:space="preserve">with rheumatoid arthritis. </w:t>
      </w:r>
      <w:r w:rsidR="005D113F" w:rsidRPr="4AFDAE6C">
        <w:rPr>
          <w:rFonts w:ascii="Times" w:hAnsi="Times"/>
          <w:lang w:val="en-US"/>
        </w:rPr>
        <w:t xml:space="preserve">Second, we </w:t>
      </w:r>
      <w:r w:rsidR="0009086E" w:rsidRPr="4AFDAE6C">
        <w:rPr>
          <w:rFonts w:ascii="Times" w:hAnsi="Times"/>
          <w:lang w:val="en-US"/>
        </w:rPr>
        <w:t xml:space="preserve">included </w:t>
      </w:r>
      <w:r w:rsidR="0DB6D162" w:rsidRPr="4AFDAE6C">
        <w:rPr>
          <w:rFonts w:ascii="Times" w:hAnsi="Times"/>
          <w:lang w:val="en-US"/>
        </w:rPr>
        <w:t xml:space="preserve">rheumatoid arthritis </w:t>
      </w:r>
      <w:r w:rsidR="005B72B4" w:rsidRPr="4AFDAE6C">
        <w:rPr>
          <w:rFonts w:ascii="Times" w:hAnsi="Times"/>
          <w:lang w:val="en-US"/>
        </w:rPr>
        <w:t>patients</w:t>
      </w:r>
      <w:r w:rsidR="3022F0D8" w:rsidRPr="4AFDAE6C">
        <w:rPr>
          <w:rFonts w:ascii="Times" w:hAnsi="Times"/>
          <w:lang w:val="en-US"/>
        </w:rPr>
        <w:t xml:space="preserve"> with a clinical indication for anti-IL-6R therapy</w:t>
      </w:r>
      <w:r w:rsidR="00132C6B">
        <w:rPr>
          <w:rFonts w:ascii="Times" w:hAnsi="Times"/>
          <w:lang w:val="en-US"/>
        </w:rPr>
        <w:t>; thus</w:t>
      </w:r>
      <w:r w:rsidR="01F208DE" w:rsidRPr="4AFDAE6C">
        <w:rPr>
          <w:rFonts w:ascii="Times" w:hAnsi="Times"/>
          <w:lang w:val="en-US"/>
        </w:rPr>
        <w:t xml:space="preserve">, the results are </w:t>
      </w:r>
      <w:r w:rsidR="005B72B4" w:rsidRPr="4AFDAE6C">
        <w:rPr>
          <w:rFonts w:ascii="Times" w:hAnsi="Times"/>
          <w:lang w:val="en-US"/>
        </w:rPr>
        <w:t>generalizabl</w:t>
      </w:r>
      <w:r w:rsidR="7382158F" w:rsidRPr="4AFDAE6C">
        <w:rPr>
          <w:rFonts w:ascii="Times" w:hAnsi="Times"/>
          <w:lang w:val="en-US"/>
        </w:rPr>
        <w:t>e</w:t>
      </w:r>
      <w:r w:rsidR="005B72B4" w:rsidRPr="4AFDAE6C">
        <w:rPr>
          <w:rFonts w:ascii="Times" w:hAnsi="Times"/>
          <w:lang w:val="en-US"/>
        </w:rPr>
        <w:t xml:space="preserve"> to </w:t>
      </w:r>
      <w:r w:rsidR="00D83C1B" w:rsidRPr="4AFDAE6C">
        <w:rPr>
          <w:rFonts w:ascii="Times" w:hAnsi="Times"/>
          <w:lang w:val="en-US"/>
        </w:rPr>
        <w:t xml:space="preserve">the </w:t>
      </w:r>
      <w:r w:rsidR="59A83711" w:rsidRPr="4AFDAE6C">
        <w:rPr>
          <w:rFonts w:ascii="Times" w:hAnsi="Times"/>
          <w:lang w:val="en-US"/>
        </w:rPr>
        <w:t>intended population</w:t>
      </w:r>
      <w:r w:rsidR="00D83C1B" w:rsidRPr="4AFDAE6C">
        <w:rPr>
          <w:rFonts w:ascii="Times" w:hAnsi="Times"/>
          <w:lang w:val="en-US"/>
        </w:rPr>
        <w:t>.</w:t>
      </w:r>
      <w:r w:rsidR="004953CC" w:rsidRPr="4AFDAE6C">
        <w:rPr>
          <w:rFonts w:ascii="Times" w:hAnsi="Times"/>
          <w:lang w:val="en-US"/>
        </w:rPr>
        <w:t xml:space="preserve"> </w:t>
      </w:r>
      <w:r w:rsidR="00156097" w:rsidRPr="4AFDAE6C">
        <w:rPr>
          <w:rFonts w:ascii="Times" w:hAnsi="Times"/>
          <w:lang w:val="en-US"/>
        </w:rPr>
        <w:t xml:space="preserve">Third, we </w:t>
      </w:r>
      <w:r w:rsidR="00570328" w:rsidRPr="4AFDAE6C">
        <w:rPr>
          <w:rFonts w:ascii="Times" w:hAnsi="Times"/>
          <w:lang w:val="en-US"/>
        </w:rPr>
        <w:t xml:space="preserve">sampled for </w:t>
      </w:r>
      <w:r w:rsidR="00BB2DD2" w:rsidRPr="4AFDAE6C">
        <w:rPr>
          <w:rFonts w:ascii="Times" w:hAnsi="Times"/>
          <w:lang w:val="en-US"/>
        </w:rPr>
        <w:t>six</w:t>
      </w:r>
      <w:r w:rsidR="00570328" w:rsidRPr="4AFDAE6C">
        <w:rPr>
          <w:rFonts w:ascii="Times" w:hAnsi="Times"/>
          <w:lang w:val="en-US"/>
        </w:rPr>
        <w:t xml:space="preserve"> hours following </w:t>
      </w:r>
      <w:r w:rsidR="008378C1" w:rsidRPr="4AFDAE6C">
        <w:rPr>
          <w:rFonts w:ascii="Times" w:hAnsi="Times"/>
          <w:lang w:val="en-US"/>
        </w:rPr>
        <w:t xml:space="preserve">the </w:t>
      </w:r>
      <w:r w:rsidR="00570328" w:rsidRPr="4AFDAE6C">
        <w:rPr>
          <w:rFonts w:ascii="Times" w:hAnsi="Times"/>
          <w:lang w:val="en-US"/>
        </w:rPr>
        <w:t>administration of the Basel cocktail</w:t>
      </w:r>
      <w:r w:rsidR="000F43CB" w:rsidRPr="4AFDAE6C">
        <w:rPr>
          <w:rFonts w:ascii="Times" w:hAnsi="Times"/>
          <w:lang w:val="en-US"/>
        </w:rPr>
        <w:t xml:space="preserve"> to increase </w:t>
      </w:r>
      <w:r w:rsidR="008378C1" w:rsidRPr="4AFDAE6C">
        <w:rPr>
          <w:rFonts w:ascii="Times" w:hAnsi="Times"/>
          <w:lang w:val="en-US"/>
        </w:rPr>
        <w:t xml:space="preserve">the </w:t>
      </w:r>
      <w:r w:rsidR="000F43CB" w:rsidRPr="4AFDAE6C">
        <w:rPr>
          <w:rFonts w:ascii="Times" w:hAnsi="Times"/>
          <w:lang w:val="en-US"/>
        </w:rPr>
        <w:t xml:space="preserve">feasibility for the </w:t>
      </w:r>
      <w:r w:rsidR="00210ECF" w:rsidRPr="4AFDAE6C">
        <w:rPr>
          <w:rFonts w:ascii="Times" w:hAnsi="Times"/>
          <w:lang w:val="en-US"/>
        </w:rPr>
        <w:t>patient</w:t>
      </w:r>
      <w:r w:rsidR="000F43CB" w:rsidRPr="4AFDAE6C">
        <w:rPr>
          <w:rFonts w:ascii="Times" w:hAnsi="Times"/>
          <w:lang w:val="en-US"/>
        </w:rPr>
        <w:t>.</w:t>
      </w:r>
      <w:r w:rsidR="00D83C1B" w:rsidRPr="4AFDAE6C">
        <w:rPr>
          <w:rFonts w:ascii="Times" w:hAnsi="Times"/>
          <w:lang w:val="en-US"/>
        </w:rPr>
        <w:t xml:space="preserve"> </w:t>
      </w:r>
      <w:r w:rsidR="00156097" w:rsidRPr="4AFDAE6C">
        <w:rPr>
          <w:rFonts w:ascii="Times" w:hAnsi="Times"/>
          <w:lang w:val="en-US"/>
        </w:rPr>
        <w:t>Last, t</w:t>
      </w:r>
      <w:r w:rsidR="00826404" w:rsidRPr="4AFDAE6C">
        <w:rPr>
          <w:rFonts w:ascii="Times" w:hAnsi="Times"/>
          <w:lang w:val="en-US"/>
        </w:rPr>
        <w:t>he main strength of this study is the translational approach, which combines prospective and retrospective observational studies.</w:t>
      </w:r>
    </w:p>
    <w:p w14:paraId="2527F56A" w14:textId="11D67297" w:rsidR="00A00ED8" w:rsidRPr="007976AC" w:rsidRDefault="00476590" w:rsidP="009A2F16">
      <w:pPr>
        <w:spacing w:line="360" w:lineRule="auto"/>
        <w:jc w:val="both"/>
        <w:rPr>
          <w:rFonts w:ascii="Times" w:hAnsi="Times"/>
          <w:lang w:val="en-US"/>
        </w:rPr>
      </w:pPr>
      <w:r w:rsidRPr="4AFDAE6C">
        <w:rPr>
          <w:rFonts w:ascii="Times" w:hAnsi="Times"/>
          <w:lang w:val="en-US"/>
        </w:rPr>
        <w:t>The main strength of the retrospective study is the utilization of the unique Danish registers and databases, allowing us to assess potential drug-drug interactions during the initiation of biological DMARDs</w:t>
      </w:r>
      <w:r w:rsidR="00F827FE">
        <w:rPr>
          <w:rFonts w:ascii="Times" w:hAnsi="Times"/>
          <w:lang w:val="en-US"/>
        </w:rPr>
        <w:t xml:space="preserve">. </w:t>
      </w:r>
      <w:bookmarkStart w:id="1" w:name="_Hlk144888260"/>
      <w:r w:rsidR="003E270F">
        <w:rPr>
          <w:rFonts w:ascii="Times" w:hAnsi="Times"/>
          <w:lang w:val="en-US"/>
        </w:rPr>
        <w:t>However</w:t>
      </w:r>
      <w:r w:rsidR="00F827FE">
        <w:rPr>
          <w:rFonts w:ascii="Times" w:hAnsi="Times"/>
          <w:lang w:val="en-US"/>
        </w:rPr>
        <w:t>,</w:t>
      </w:r>
      <w:r w:rsidR="00E837C6">
        <w:rPr>
          <w:rFonts w:ascii="Times" w:hAnsi="Times"/>
          <w:lang w:val="en-US"/>
        </w:rPr>
        <w:t xml:space="preserve"> only</w:t>
      </w:r>
      <w:r w:rsidR="00F827FE">
        <w:rPr>
          <w:rFonts w:ascii="Times" w:hAnsi="Times"/>
          <w:lang w:val="en-US"/>
        </w:rPr>
        <w:t xml:space="preserve"> patients </w:t>
      </w:r>
      <w:r w:rsidR="00BF3DA5">
        <w:rPr>
          <w:rFonts w:ascii="Times" w:hAnsi="Times"/>
          <w:lang w:val="en-US"/>
        </w:rPr>
        <w:t xml:space="preserve">treated at </w:t>
      </w:r>
      <w:r w:rsidR="00F827FE">
        <w:rPr>
          <w:rFonts w:ascii="Times" w:hAnsi="Times"/>
          <w:lang w:val="en-US"/>
        </w:rPr>
        <w:t xml:space="preserve">one Danish hospital </w:t>
      </w:r>
      <w:r w:rsidR="003E270F">
        <w:rPr>
          <w:rFonts w:ascii="Times" w:hAnsi="Times"/>
          <w:lang w:val="en-US"/>
        </w:rPr>
        <w:t>were</w:t>
      </w:r>
      <w:r w:rsidR="00F827FE">
        <w:rPr>
          <w:rFonts w:ascii="Times" w:hAnsi="Times"/>
          <w:lang w:val="en-US"/>
        </w:rPr>
        <w:t xml:space="preserve"> included</w:t>
      </w:r>
      <w:r w:rsidRPr="4AFDAE6C">
        <w:rPr>
          <w:rFonts w:ascii="Times" w:hAnsi="Times"/>
          <w:lang w:val="en-US"/>
        </w:rPr>
        <w:t>.</w:t>
      </w:r>
      <w:bookmarkEnd w:id="1"/>
      <w:r w:rsidRPr="4AFDAE6C">
        <w:rPr>
          <w:rFonts w:ascii="Times" w:hAnsi="Times"/>
          <w:lang w:val="en-US"/>
        </w:rPr>
        <w:t xml:space="preserve"> </w:t>
      </w:r>
      <w:r w:rsidR="0001301D" w:rsidRPr="4AFDAE6C">
        <w:rPr>
          <w:rFonts w:ascii="Times" w:hAnsi="Times"/>
          <w:lang w:val="en-US"/>
        </w:rPr>
        <w:t xml:space="preserve">Another strength is the use of a control group, patients treated with adalimumab, a biological drug previously </w:t>
      </w:r>
      <w:r w:rsidR="0060772F" w:rsidRPr="4AFDAE6C">
        <w:rPr>
          <w:rFonts w:ascii="Times" w:hAnsi="Times"/>
          <w:lang w:val="en-US"/>
        </w:rPr>
        <w:t xml:space="preserve">not </w:t>
      </w:r>
      <w:r w:rsidR="0001301D" w:rsidRPr="4AFDAE6C">
        <w:rPr>
          <w:rFonts w:ascii="Times" w:hAnsi="Times"/>
          <w:lang w:val="en-US"/>
        </w:rPr>
        <w:t xml:space="preserve">shown to cause drug-drug interactions </w:t>
      </w:r>
      <w:r w:rsidRPr="4AFDAE6C">
        <w:rPr>
          <w:rFonts w:ascii="Times" w:hAnsi="Times"/>
          <w:lang w:val="en-US"/>
        </w:rPr>
        <w:fldChar w:fldCharType="begin"/>
      </w:r>
      <w:r w:rsidR="000A5F14">
        <w:rPr>
          <w:rFonts w:ascii="Times" w:hAnsi="Times"/>
          <w:lang w:val="en-US"/>
        </w:rPr>
        <w:instrText xml:space="preserve"> ADDIN ZOTERO_ITEM CSL_CITATION {"citationID":"NOcGqhXe","properties":{"formattedCitation":"(5,33)","plainCitation":"(5,33)","noteIndex":0},"citationItems":[{"id":1024,"uris":["http://zotero.org/users/4954704/items/NWVBFWKS"],"itemData":{"id":1024,"type":"article-journal","container-title":"Clinical Pharmacology &amp; Therapeutics","DOI":"10.1002/cpt.2432","ISSN":"0009-9236, 1532-6535","issue":"2","journalAbbreviation":"Clin Pharmacol Ther","language":"en","page":"277-290","source":"DOI.org (Crossref)","title":"Clinical and Molecular Perspectives on Inflammation‐Mediated Regulation of Drug Metabolism and Transport","volume":"112","author":[{"family":"Dunvald","given":"Ann‐Cathrine Dalgård"},{"family":"Järvinen","given":"Erkka"},{"family":"Mortensen","given":"Christina"},{"family":"Stage","given":"Tore B."}],"issued":{"date-parts":[["2022",8]]}}},{"id":990,"uris":["http://zotero.org/users/4954704/items/WT9AK3YN"],"itemData":{"id":990,"type":"document","title":"humira-epar-product-information_en.pdf","URL":"https://www.ema.europa.eu/en/documents/product-information/humira-epar-product-information_en.pdf","accessed":{"date-parts":[["2021",7,1]]}}}],"schema":"https://github.com/citation-style-language/schema/raw/master/csl-citation.json"} </w:instrText>
      </w:r>
      <w:r w:rsidRPr="4AFDAE6C">
        <w:rPr>
          <w:rFonts w:ascii="Times" w:hAnsi="Times"/>
          <w:lang w:val="en-US"/>
        </w:rPr>
        <w:fldChar w:fldCharType="separate"/>
      </w:r>
      <w:r w:rsidR="000A5F14">
        <w:rPr>
          <w:rFonts w:ascii="Times" w:hAnsi="Times"/>
          <w:noProof/>
          <w:lang w:val="en-US"/>
        </w:rPr>
        <w:t>(5,33)</w:t>
      </w:r>
      <w:r w:rsidRPr="4AFDAE6C">
        <w:rPr>
          <w:rFonts w:ascii="Times" w:hAnsi="Times"/>
          <w:lang w:val="en-US"/>
        </w:rPr>
        <w:fldChar w:fldCharType="end"/>
      </w:r>
      <w:r w:rsidR="00401CB8" w:rsidRPr="4AFDAE6C">
        <w:rPr>
          <w:rFonts w:ascii="Times" w:hAnsi="Times"/>
          <w:lang w:val="en-US"/>
        </w:rPr>
        <w:t>. The major limitation of the retrospective study was the use of 4</w:t>
      </w:r>
      <w:r w:rsidR="00401CB8" w:rsidRPr="4AFDAE6C">
        <w:rPr>
          <w:rFonts w:ascii="Symbol" w:eastAsia="Symbol" w:hAnsi="Symbol" w:cs="Symbol"/>
          <w:lang w:val="en-US"/>
        </w:rPr>
        <w:t></w:t>
      </w:r>
      <w:r w:rsidR="00401CB8" w:rsidRPr="4AFDAE6C">
        <w:rPr>
          <w:rFonts w:ascii="Times" w:hAnsi="Times"/>
          <w:lang w:val="en-US"/>
        </w:rPr>
        <w:t>-hydroxycholesterol</w:t>
      </w:r>
      <w:r w:rsidR="00FC5EC7" w:rsidRPr="4AFDAE6C">
        <w:rPr>
          <w:rFonts w:ascii="Times" w:hAnsi="Times"/>
          <w:lang w:val="en-US"/>
        </w:rPr>
        <w:t xml:space="preserve"> to assess the altered activity of CYP3A4. </w:t>
      </w:r>
      <w:r w:rsidR="00312558" w:rsidRPr="4AFDAE6C">
        <w:rPr>
          <w:rFonts w:ascii="Times" w:hAnsi="Times"/>
          <w:lang w:val="en-US"/>
        </w:rPr>
        <w:t>4</w:t>
      </w:r>
      <w:r w:rsidR="00312558" w:rsidRPr="4AFDAE6C">
        <w:rPr>
          <w:rFonts w:ascii="Symbol" w:eastAsia="Symbol" w:hAnsi="Symbol" w:cs="Symbol"/>
          <w:lang w:val="en-US"/>
        </w:rPr>
        <w:t></w:t>
      </w:r>
      <w:r w:rsidR="00312558" w:rsidRPr="4AFDAE6C">
        <w:rPr>
          <w:rFonts w:ascii="Times" w:hAnsi="Times"/>
          <w:lang w:val="en-US"/>
        </w:rPr>
        <w:t xml:space="preserve">-hydroxycholesterol concentrations not only </w:t>
      </w:r>
      <w:r w:rsidR="00DD451F" w:rsidRPr="4AFDAE6C">
        <w:rPr>
          <w:rFonts w:ascii="Times" w:hAnsi="Times"/>
          <w:lang w:val="en-US"/>
        </w:rPr>
        <w:t>depend</w:t>
      </w:r>
      <w:r w:rsidR="00312558" w:rsidRPr="4AFDAE6C">
        <w:rPr>
          <w:rFonts w:ascii="Times" w:hAnsi="Times"/>
          <w:lang w:val="en-US"/>
        </w:rPr>
        <w:t xml:space="preserve"> on CYP3A4 activity but also cholesterol concentrations. </w:t>
      </w:r>
      <w:r w:rsidR="00DD451F" w:rsidRPr="4AFDAE6C">
        <w:rPr>
          <w:rFonts w:ascii="Times" w:hAnsi="Times"/>
          <w:lang w:val="en-US"/>
        </w:rPr>
        <w:t>Cholesterol concentrations increase within the first months of tocilizumab treatment</w:t>
      </w:r>
      <w:r w:rsidR="00B41E36" w:rsidRPr="4AFDAE6C">
        <w:rPr>
          <w:rFonts w:ascii="Times" w:hAnsi="Times"/>
          <w:lang w:val="en-US"/>
        </w:rPr>
        <w:t xml:space="preserve"> </w:t>
      </w:r>
      <w:r w:rsidRPr="4AFDAE6C">
        <w:rPr>
          <w:rFonts w:ascii="Times" w:hAnsi="Times"/>
          <w:lang w:val="en-US"/>
        </w:rPr>
        <w:fldChar w:fldCharType="begin"/>
      </w:r>
      <w:r w:rsidR="00492B1E">
        <w:rPr>
          <w:rFonts w:ascii="Times" w:hAnsi="Times"/>
          <w:lang w:val="en-US"/>
        </w:rPr>
        <w:instrText xml:space="preserve"> ADDIN ZOTERO_ITEM CSL_CITATION {"citationID":"pphWvIDm","properties":{"formattedCitation":"(34)","plainCitation":"(34)","noteIndex":0},"citationItems":[{"id":1358,"uris":["http://zotero.org/users/4954704/items/S4VY6ARJ"],"itemData":{"id":1358,"type":"article-journal","abstract":"Objective Compare changes in lipids and lipidassociated cardiovascular (CV) risk markers in patients with rheumatoid arthritis (RA) treated with tocilizumab or adalimumab.\nMethods Post-hoc analysis was performed in patients with RA who received tocilizumab intravenously every 4 weeks or adalimumab subcutaneously every 2 weeks for 24 weeks in the ADACTA trial. Lipid and lipidassociated CV risk biomarkers, including high-density lipoprotein-associated serum amyloid-A (HDL-SAA), secretory phospholipase A2 IIA (sPLA2 IIA) and lipoprotein (a) (Lp(a)), were measured at baseline and at week 8.\nResults The study included 162 patients treated with tocilizumab and 162 patients treated with adalimumab; HDL-SAA and sPLA2 IIA were measured in a subpopulation of 87 and 97 patients, respectively. Greater increases in mean low-density lipoprotein cholesterol (LDL-C) (0.46 mmol/L (95% CI 0.30 to 0.62)), high-density lipoprotein cholesterol (HDL-C) (0.07 mmol/L (0.001 to 0.14)), total cholesterol (TC) (0.67 mmol/L (0.47 to 0.86)), triglycerides (0.24 mmol/L (0.10 to 0.38)) and TC:HDL ratio (0.27 (0.12 to 0.42)) occurred with tocilizumab from baseline to 8 weeks. HDL-SAA, sPLA2 IIA and Lp(a) decreased more with tocilizumab than adalimumab. Median changes from baseline to week 8 were –3.2 and –1.1 mg/L ( p=0.0077) for HDL-SAA and –4.1 and –1.3 ng/mL ( p&lt;0.0001) for sPLA2 IIA; difference in adjusted means was –7.12 mg/dL ( p&lt;0.0001) for Lp(a). Similar results were observed in efﬁcacy responders and non-responders per American College of Rheumatology and European League against Rheumatism criteria.\nConclusion LDL-C and HDL-C increased more with tocilizumab than adalimumab. HDL-SAA, sPLA2 IIA and Lp(a) decreased more with tocilizumab. Lipid change effects of interleukin-6 and tumour necrosis factor (TNF) inhibition, manifest by their net impact on lipids and lipoproteins, are not synonymous; the clinical signiﬁcance is unclear and requires further study. Trial registration number NCT01119859.; postresults","container-title":"Annals of the Rheumatic Diseases","DOI":"10.1136/annrheumdis-2015-207872","ISSN":"0003-4967, 1468-2060","issue":"10","journalAbbreviation":"Ann Rheum Dis","language":"en","page":"1806-1812","source":"DOI.org (Crossref)","title":"Comparison of lipid and lipid-associated cardiovascular risk marker changes after treatment with tocilizumab or adalimumab in patients with rheumatoid arthritis","volume":"75","author":[{"family":"Gabay","given":"Cem"},{"family":"McInnes","given":"Iain B"},{"family":"Kavanaugh","given":"Arthur"},{"family":"Tuckwell","given":"Katie"},{"family":"Klearman","given":"Micki"},{"family":"Pulley","given":"Jennifer"},{"family":"Sattar","given":"Naveed"}],"issued":{"date-parts":[["2016",10]]}}}],"schema":"https://github.com/citation-style-language/schema/raw/master/csl-citation.json"} </w:instrText>
      </w:r>
      <w:r w:rsidRPr="4AFDAE6C">
        <w:rPr>
          <w:rFonts w:ascii="Times" w:hAnsi="Times"/>
          <w:lang w:val="en-US"/>
        </w:rPr>
        <w:fldChar w:fldCharType="separate"/>
      </w:r>
      <w:r w:rsidR="00492B1E">
        <w:rPr>
          <w:rFonts w:ascii="Times" w:hAnsi="Times"/>
          <w:noProof/>
          <w:lang w:val="en-US"/>
        </w:rPr>
        <w:t>(34)</w:t>
      </w:r>
      <w:r w:rsidRPr="4AFDAE6C">
        <w:rPr>
          <w:rFonts w:ascii="Times" w:hAnsi="Times"/>
          <w:lang w:val="en-US"/>
        </w:rPr>
        <w:fldChar w:fldCharType="end"/>
      </w:r>
      <w:r w:rsidR="00DD451F" w:rsidRPr="4AFDAE6C">
        <w:rPr>
          <w:rFonts w:ascii="Times" w:hAnsi="Times"/>
          <w:lang w:val="en-US"/>
        </w:rPr>
        <w:t xml:space="preserve">, </w:t>
      </w:r>
      <w:r w:rsidR="00D9572C" w:rsidRPr="4AFDAE6C">
        <w:rPr>
          <w:rFonts w:ascii="Times" w:hAnsi="Times"/>
          <w:lang w:val="en-US"/>
        </w:rPr>
        <w:t xml:space="preserve">which could </w:t>
      </w:r>
      <w:r w:rsidR="00CD0E41" w:rsidRPr="4AFDAE6C">
        <w:rPr>
          <w:rFonts w:ascii="Times" w:hAnsi="Times"/>
          <w:lang w:val="en-US"/>
        </w:rPr>
        <w:t xml:space="preserve">explain the </w:t>
      </w:r>
      <w:r w:rsidR="00B41E36" w:rsidRPr="4AFDAE6C">
        <w:rPr>
          <w:rFonts w:ascii="Times" w:hAnsi="Times"/>
          <w:lang w:val="en-US"/>
        </w:rPr>
        <w:t>increased 4</w:t>
      </w:r>
      <w:r w:rsidR="00B41E36" w:rsidRPr="4AFDAE6C">
        <w:rPr>
          <w:rFonts w:ascii="Symbol" w:eastAsia="Symbol" w:hAnsi="Symbol" w:cs="Symbol"/>
          <w:lang w:val="en-US"/>
        </w:rPr>
        <w:t></w:t>
      </w:r>
      <w:r w:rsidR="00B41E36" w:rsidRPr="4AFDAE6C">
        <w:rPr>
          <w:rFonts w:ascii="Times" w:hAnsi="Times"/>
          <w:lang w:val="en-US"/>
        </w:rPr>
        <w:t xml:space="preserve">-hydroxycholesterol concentrations. However, increased cholesterol levels have also </w:t>
      </w:r>
      <w:r w:rsidR="00B41E36" w:rsidRPr="4AFDAE6C">
        <w:rPr>
          <w:rFonts w:ascii="Times" w:hAnsi="Times"/>
          <w:lang w:val="en-US"/>
        </w:rPr>
        <w:lastRenderedPageBreak/>
        <w:t>been described during adalimumab treatment</w:t>
      </w:r>
      <w:r w:rsidR="00873525" w:rsidRPr="4AFDAE6C">
        <w:rPr>
          <w:rFonts w:ascii="Times" w:hAnsi="Times"/>
          <w:lang w:val="en-US"/>
        </w:rPr>
        <w:t xml:space="preserve"> </w:t>
      </w:r>
      <w:r w:rsidRPr="4AFDAE6C">
        <w:rPr>
          <w:rFonts w:ascii="Times" w:hAnsi="Times"/>
          <w:lang w:val="en-US"/>
        </w:rPr>
        <w:fldChar w:fldCharType="begin"/>
      </w:r>
      <w:r w:rsidR="00492B1E">
        <w:rPr>
          <w:rFonts w:ascii="Times" w:hAnsi="Times"/>
          <w:lang w:val="en-US"/>
        </w:rPr>
        <w:instrText xml:space="preserve"> ADDIN ZOTERO_ITEM CSL_CITATION {"citationID":"STu4r6ST","properties":{"formattedCitation":"(34)","plainCitation":"(34)","noteIndex":0},"citationItems":[{"id":1358,"uris":["http://zotero.org/users/4954704/items/S4VY6ARJ"],"itemData":{"id":1358,"type":"article-journal","abstract":"Objective Compare changes in lipids and lipidassociated cardiovascular (CV) risk markers in patients with rheumatoid arthritis (RA) treated with tocilizumab or adalimumab.\nMethods Post-hoc analysis was performed in patients with RA who received tocilizumab intravenously every 4 weeks or adalimumab subcutaneously every 2 weeks for 24 weeks in the ADACTA trial. Lipid and lipidassociated CV risk biomarkers, including high-density lipoprotein-associated serum amyloid-A (HDL-SAA), secretory phospholipase A2 IIA (sPLA2 IIA) and lipoprotein (a) (Lp(a)), were measured at baseline and at week 8.\nResults The study included 162 patients treated with tocilizumab and 162 patients treated with adalimumab; HDL-SAA and sPLA2 IIA were measured in a subpopulation of 87 and 97 patients, respectively. Greater increases in mean low-density lipoprotein cholesterol (LDL-C) (0.46 mmol/L (95% CI 0.30 to 0.62)), high-density lipoprotein cholesterol (HDL-C) (0.07 mmol/L (0.001 to 0.14)), total cholesterol (TC) (0.67 mmol/L (0.47 to 0.86)), triglycerides (0.24 mmol/L (0.10 to 0.38)) and TC:HDL ratio (0.27 (0.12 to 0.42)) occurred with tocilizumab from baseline to 8 weeks. HDL-SAA, sPLA2 IIA and Lp(a) decreased more with tocilizumab than adalimumab. Median changes from baseline to week 8 were –3.2 and –1.1 mg/L ( p=0.0077) for HDL-SAA and –4.1 and –1.3 ng/mL ( p&lt;0.0001) for sPLA2 IIA; difference in adjusted means was –7.12 mg/dL ( p&lt;0.0001) for Lp(a). Similar results were observed in efﬁcacy responders and non-responders per American College of Rheumatology and European League against Rheumatism criteria.\nConclusion LDL-C and HDL-C increased more with tocilizumab than adalimumab. HDL-SAA, sPLA2 IIA and Lp(a) decreased more with tocilizumab. Lipid change effects of interleukin-6 and tumour necrosis factor (TNF) inhibition, manifest by their net impact on lipids and lipoproteins, are not synonymous; the clinical signiﬁcance is unclear and requires further study. Trial registration number NCT01119859.; postresults","container-title":"Annals of the Rheumatic Diseases","DOI":"10.1136/annrheumdis-2015-207872","ISSN":"0003-4967, 1468-2060","issue":"10","journalAbbreviation":"Ann Rheum Dis","language":"en","page":"1806-1812","source":"DOI.org (Crossref)","title":"Comparison of lipid and lipid-associated cardiovascular risk marker changes after treatment with tocilizumab or adalimumab in patients with rheumatoid arthritis","volume":"75","author":[{"family":"Gabay","given":"Cem"},{"family":"McInnes","given":"Iain B"},{"family":"Kavanaugh","given":"Arthur"},{"family":"Tuckwell","given":"Katie"},{"family":"Klearman","given":"Micki"},{"family":"Pulley","given":"Jennifer"},{"family":"Sattar","given":"Naveed"}],"issued":{"date-parts":[["2016",10]]}}}],"schema":"https://github.com/citation-style-language/schema/raw/master/csl-citation.json"} </w:instrText>
      </w:r>
      <w:r w:rsidRPr="4AFDAE6C">
        <w:rPr>
          <w:rFonts w:ascii="Times" w:hAnsi="Times"/>
          <w:lang w:val="en-US"/>
        </w:rPr>
        <w:fldChar w:fldCharType="separate"/>
      </w:r>
      <w:r w:rsidR="00492B1E">
        <w:rPr>
          <w:rFonts w:ascii="Times" w:hAnsi="Times"/>
          <w:noProof/>
          <w:lang w:val="en-US"/>
        </w:rPr>
        <w:t>(34)</w:t>
      </w:r>
      <w:r w:rsidRPr="4AFDAE6C">
        <w:rPr>
          <w:rFonts w:ascii="Times" w:hAnsi="Times"/>
          <w:lang w:val="en-US"/>
        </w:rPr>
        <w:fldChar w:fldCharType="end"/>
      </w:r>
      <w:r w:rsidR="00B41E36" w:rsidRPr="4AFDAE6C">
        <w:rPr>
          <w:rFonts w:ascii="Times" w:hAnsi="Times"/>
          <w:lang w:val="en-US"/>
        </w:rPr>
        <w:t>, but no changes in 4</w:t>
      </w:r>
      <w:r w:rsidR="00B41E36" w:rsidRPr="4AFDAE6C">
        <w:rPr>
          <w:rFonts w:ascii="Symbol" w:eastAsia="Symbol" w:hAnsi="Symbol" w:cs="Symbol"/>
          <w:lang w:val="en-US"/>
        </w:rPr>
        <w:t></w:t>
      </w:r>
      <w:r w:rsidR="00B41E36" w:rsidRPr="4AFDAE6C">
        <w:rPr>
          <w:rFonts w:ascii="Times" w:hAnsi="Times"/>
          <w:lang w:val="en-US"/>
        </w:rPr>
        <w:t xml:space="preserve">-hydroxycholesterol </w:t>
      </w:r>
      <w:r w:rsidR="00BF3DA5">
        <w:rPr>
          <w:rFonts w:ascii="Times" w:hAnsi="Times"/>
          <w:lang w:val="en-US"/>
        </w:rPr>
        <w:t xml:space="preserve">nor cholesterol </w:t>
      </w:r>
      <w:r w:rsidR="00B80E7C" w:rsidRPr="4AFDAE6C">
        <w:rPr>
          <w:rFonts w:ascii="Times" w:hAnsi="Times"/>
          <w:lang w:val="en-US"/>
        </w:rPr>
        <w:t>were</w:t>
      </w:r>
      <w:r w:rsidR="0060772F" w:rsidRPr="4AFDAE6C">
        <w:rPr>
          <w:rFonts w:ascii="Times" w:hAnsi="Times"/>
          <w:lang w:val="en-US"/>
        </w:rPr>
        <w:t xml:space="preserve"> </w:t>
      </w:r>
      <w:r w:rsidR="00B41E36" w:rsidRPr="4AFDAE6C">
        <w:rPr>
          <w:rFonts w:ascii="Times" w:hAnsi="Times"/>
          <w:lang w:val="en-US"/>
        </w:rPr>
        <w:t>observed in the adalimumab group.</w:t>
      </w:r>
      <w:r w:rsidR="005034EB" w:rsidRPr="4AFDAE6C">
        <w:rPr>
          <w:rFonts w:ascii="Times" w:hAnsi="Times"/>
          <w:lang w:val="en-US"/>
        </w:rPr>
        <w:t xml:space="preserve"> </w:t>
      </w:r>
      <w:r w:rsidR="00BF3DA5">
        <w:rPr>
          <w:rFonts w:ascii="Times" w:hAnsi="Times"/>
          <w:lang w:val="en-US"/>
        </w:rPr>
        <w:t>T</w:t>
      </w:r>
      <w:r w:rsidR="005034EB" w:rsidRPr="4AFDAE6C">
        <w:rPr>
          <w:rFonts w:ascii="Times" w:hAnsi="Times"/>
          <w:lang w:val="en-US"/>
        </w:rPr>
        <w:t>he use of 4</w:t>
      </w:r>
      <w:r w:rsidR="005034EB" w:rsidRPr="4AFDAE6C">
        <w:rPr>
          <w:rFonts w:ascii="Symbol" w:eastAsia="Symbol" w:hAnsi="Symbol" w:cs="Symbol"/>
          <w:lang w:val="en-US"/>
        </w:rPr>
        <w:t></w:t>
      </w:r>
      <w:r w:rsidR="005034EB" w:rsidRPr="4AFDAE6C">
        <w:rPr>
          <w:rFonts w:ascii="Times" w:hAnsi="Times"/>
          <w:lang w:val="en-US"/>
        </w:rPr>
        <w:t xml:space="preserve">-hydroxycholesterol as a biomarker of CYP3A4 activity has been much debated </w:t>
      </w:r>
      <w:r w:rsidRPr="4AFDAE6C">
        <w:rPr>
          <w:rFonts w:ascii="Times" w:hAnsi="Times"/>
          <w:lang w:val="en-US"/>
        </w:rPr>
        <w:fldChar w:fldCharType="begin"/>
      </w:r>
      <w:r w:rsidR="00492B1E">
        <w:rPr>
          <w:rFonts w:ascii="Times" w:hAnsi="Times"/>
          <w:lang w:val="en-US"/>
        </w:rPr>
        <w:instrText xml:space="preserve"> ADDIN ZOTERO_ITEM CSL_CITATION {"citationID":"Be9ujPyw","properties":{"formattedCitation":"(35\\uc0\\u8211{}38)","plainCitation":"(35–38)","noteIndex":0},"citationItems":[{"id":1306,"uris":["http://zotero.org/users/4954704/items/5D7L8QPD"],"itemData":{"id":1306,"type":"article-journal","container-title":"The Journal of Clinical Pharmacology","DOI":"10.1002/jcph.1391","ISSN":"0091-2700","issue":"5","journalAbbreviation":"The Journal of Clinical Pharmacology","note":"publisher: Wiley","page":"611-624","title":"4β‐Hydroxycholesterol as an Endogenous Biomarker for CYP3A Activity: Literature Review and Critical Evaluation","volume":"59","author":[{"family":"Penzak","given":"Scott R."},{"family":"Rojas‐Fernandez","given":"Carlos"}],"issued":{"date-parts":[["2019",5]]}}},{"id":1308,"uris":["http://zotero.org/users/4954704/items/D8VP5RE7"],"itemData":{"id":1308,"type":"article-journal","container-title":"British Journal of Clinical Pharmacology","DOI":"10.1111/bcp.13538","ISSN":"03065251","issue":"7","journalAbbreviation":"Br J Clin Pharmacol","language":"en","page":"1620-1621","source":"DOI.org (Crossref)","title":"Was 4β-hydroxycholesterol ever going to be a useful marker of CYP3A4 activity?","volume":"84","author":[{"family":"Neuhoff","given":"Sibylle"},{"family":"Tucker","given":"Geoffrey T."}],"issued":{"date-parts":[["2018",7]]}}},{"id":1302,"uris":["http://zotero.org/users/4954704/items/CVAUMYG3"],"itemData":{"id":1302,"type":"article-journal","container-title":"European Journal of Clinical Pharmacology","DOI":"10.1007/s00228-022-03386-z","ISSN":"0031-6970","issue":"11","journalAbbreviation":"European Journal of Clinical Pharmacology","note":"publisher: Springer Science and Business Media LLC","page":"1863-1864","title":"Utility of endogenous 4β-hydroxycholesterol as a biomarker to assess cytochrome P 450 3A (CYP3A) activity: not quite ready for prime time","volume":"78","author":[{"family":"Tung","given":"Norint P."},{"family":"Ma","given":"Joseph D."}],"issued":{"date-parts":[["2022",9]]}}},{"id":1310,"uris":["http://zotero.org/users/4954704/items/94BGLSLS"],"itemData":{"id":1310,"type":"article-journal","container-title":"European Journal of Clinical Pharmacology","DOI":"10.1007/s00228-022-03387-y","ISSN":"0031-6970, 1432-1041","issue":"11","journalAbbreviation":"Eur J Clin Pharmacol","language":"en","page":"1865-1866","source":"DOI.org (Crossref)","title":"Response to: “Utility of endogenous 4β-hydroxycholesterol as a biomarker to assess cytochrome P 450 3A (CYP3A) activity: not quite ready for prime time”","title-short":"Response to","volume":"78","author":[{"family":"Kvitne","given":"Kine Eide"},{"family":"Hole","given":"Kristine"},{"family":"Molden","given":"Espen"},{"family":"Robertsen","given":"Ida"}],"issued":{"date-parts":[["2022",11]]}}}],"schema":"https://github.com/citation-style-language/schema/raw/master/csl-citation.json"} </w:instrText>
      </w:r>
      <w:r w:rsidRPr="4AFDAE6C">
        <w:rPr>
          <w:rFonts w:ascii="Times" w:hAnsi="Times"/>
          <w:lang w:val="en-US"/>
        </w:rPr>
        <w:fldChar w:fldCharType="separate"/>
      </w:r>
      <w:r w:rsidR="00492B1E" w:rsidRPr="00AB3293">
        <w:rPr>
          <w:rFonts w:ascii="Times" w:hAnsi="Times"/>
          <w:lang w:val="en-US"/>
        </w:rPr>
        <w:t>(35–38)</w:t>
      </w:r>
      <w:r w:rsidRPr="4AFDAE6C">
        <w:rPr>
          <w:rFonts w:ascii="Times" w:hAnsi="Times"/>
          <w:lang w:val="en-US"/>
        </w:rPr>
        <w:fldChar w:fldCharType="end"/>
      </w:r>
      <w:r w:rsidR="00FC1A19" w:rsidRPr="4AFDAE6C">
        <w:rPr>
          <w:rFonts w:ascii="Times" w:hAnsi="Times"/>
          <w:lang w:val="en-US"/>
        </w:rPr>
        <w:t xml:space="preserve">, and its utility </w:t>
      </w:r>
      <w:r w:rsidR="00FB518F" w:rsidRPr="4AFDAE6C">
        <w:rPr>
          <w:rFonts w:ascii="Times" w:hAnsi="Times"/>
          <w:lang w:val="en-US"/>
        </w:rPr>
        <w:t xml:space="preserve">is yet to be validated. </w:t>
      </w:r>
    </w:p>
    <w:p w14:paraId="2F96124C" w14:textId="77777777" w:rsidR="00A00ED8" w:rsidRPr="007976AC" w:rsidRDefault="00A00ED8" w:rsidP="009A2F16">
      <w:pPr>
        <w:spacing w:line="360" w:lineRule="auto"/>
        <w:jc w:val="both"/>
        <w:rPr>
          <w:rFonts w:ascii="Times" w:hAnsi="Times"/>
          <w:lang w:val="en-US"/>
        </w:rPr>
      </w:pPr>
    </w:p>
    <w:p w14:paraId="7CCA811C" w14:textId="766ABF0F" w:rsidR="00944A82" w:rsidRDefault="00300D54" w:rsidP="009A2F16">
      <w:pPr>
        <w:spacing w:line="360" w:lineRule="auto"/>
        <w:jc w:val="both"/>
        <w:rPr>
          <w:rFonts w:ascii="Times" w:hAnsi="Times"/>
          <w:lang w:val="en-US"/>
        </w:rPr>
      </w:pPr>
      <w:r w:rsidRPr="7FBC0748">
        <w:rPr>
          <w:rFonts w:ascii="Times" w:hAnsi="Times"/>
          <w:lang w:val="en-US"/>
        </w:rPr>
        <w:t xml:space="preserve">In conclusion, </w:t>
      </w:r>
      <w:r w:rsidR="00855A42" w:rsidRPr="7FBC0748">
        <w:rPr>
          <w:rFonts w:ascii="Times" w:hAnsi="Times"/>
          <w:lang w:val="en-US"/>
        </w:rPr>
        <w:t xml:space="preserve">IL-6 receptor </w:t>
      </w:r>
      <w:r w:rsidR="001D7292" w:rsidRPr="7FBC0748">
        <w:rPr>
          <w:rFonts w:ascii="Times" w:hAnsi="Times"/>
          <w:lang w:val="en-US"/>
        </w:rPr>
        <w:t>antagonists</w:t>
      </w:r>
      <w:r w:rsidR="0060772F" w:rsidRPr="7FBC0748">
        <w:rPr>
          <w:rFonts w:ascii="Times" w:hAnsi="Times"/>
          <w:lang w:val="en-US"/>
        </w:rPr>
        <w:t xml:space="preserve"> </w:t>
      </w:r>
      <w:r w:rsidR="00E34FDD" w:rsidRPr="7FBC0748">
        <w:rPr>
          <w:rFonts w:ascii="Times" w:hAnsi="Times"/>
          <w:lang w:val="en-US"/>
        </w:rPr>
        <w:t>seem</w:t>
      </w:r>
      <w:r w:rsidR="00FB518F" w:rsidRPr="7FBC0748">
        <w:rPr>
          <w:rFonts w:ascii="Times" w:hAnsi="Times"/>
          <w:lang w:val="en-US"/>
        </w:rPr>
        <w:t xml:space="preserve"> </w:t>
      </w:r>
      <w:r w:rsidR="0060772F" w:rsidRPr="7FBC0748">
        <w:rPr>
          <w:rFonts w:ascii="Times" w:hAnsi="Times"/>
          <w:lang w:val="en-US"/>
        </w:rPr>
        <w:t>to</w:t>
      </w:r>
      <w:r w:rsidR="00FB518F" w:rsidRPr="7FBC0748">
        <w:rPr>
          <w:rFonts w:ascii="Times" w:hAnsi="Times"/>
          <w:lang w:val="en-US"/>
        </w:rPr>
        <w:t xml:space="preserve"> cause</w:t>
      </w:r>
      <w:r w:rsidR="00BF2C26" w:rsidRPr="7FBC0748">
        <w:rPr>
          <w:rFonts w:ascii="Times" w:hAnsi="Times"/>
          <w:lang w:val="en-US"/>
        </w:rPr>
        <w:t xml:space="preserve"> a</w:t>
      </w:r>
      <w:r w:rsidR="0060772F" w:rsidRPr="7FBC0748">
        <w:rPr>
          <w:rFonts w:ascii="Times" w:hAnsi="Times"/>
          <w:lang w:val="en-US"/>
        </w:rPr>
        <w:t xml:space="preserve">  transient increase </w:t>
      </w:r>
      <w:r w:rsidR="00BF2C26" w:rsidRPr="7FBC0748">
        <w:rPr>
          <w:rFonts w:ascii="Times" w:hAnsi="Times"/>
          <w:lang w:val="en-US"/>
        </w:rPr>
        <w:t>in</w:t>
      </w:r>
      <w:r w:rsidR="0060772F" w:rsidRPr="7FBC0748">
        <w:rPr>
          <w:rFonts w:ascii="Times" w:hAnsi="Times"/>
          <w:lang w:val="en-US"/>
        </w:rPr>
        <w:t xml:space="preserve"> CYP3A4</w:t>
      </w:r>
      <w:r w:rsidR="00BF2C26" w:rsidRPr="7FBC0748">
        <w:rPr>
          <w:rFonts w:ascii="Times" w:hAnsi="Times"/>
          <w:lang w:val="en-US"/>
        </w:rPr>
        <w:t xml:space="preserve"> activity</w:t>
      </w:r>
      <w:r w:rsidR="28149856" w:rsidRPr="7FBC0748">
        <w:rPr>
          <w:rFonts w:ascii="Times" w:hAnsi="Times"/>
          <w:lang w:val="en-US"/>
        </w:rPr>
        <w:t>, corresponding to a weak interaction</w:t>
      </w:r>
      <w:r w:rsidR="001D7292" w:rsidRPr="7FBC0748">
        <w:rPr>
          <w:rFonts w:ascii="Times" w:hAnsi="Times"/>
          <w:lang w:val="en-US"/>
        </w:rPr>
        <w:t xml:space="preserve">. </w:t>
      </w:r>
      <w:r w:rsidR="00B20751" w:rsidRPr="7FBC0748">
        <w:rPr>
          <w:rFonts w:ascii="Times" w:hAnsi="Times"/>
          <w:lang w:val="en-US"/>
        </w:rPr>
        <w:t xml:space="preserve">Among three patients with rheumatoid arthritis, we </w:t>
      </w:r>
      <w:r w:rsidR="0A06709B" w:rsidRPr="7FBC0748">
        <w:rPr>
          <w:rFonts w:ascii="Times" w:hAnsi="Times"/>
          <w:lang w:val="en-US"/>
        </w:rPr>
        <w:t>demonstrated</w:t>
      </w:r>
      <w:r w:rsidR="00B20751" w:rsidRPr="7FBC0748">
        <w:rPr>
          <w:rFonts w:ascii="Times" w:hAnsi="Times"/>
          <w:lang w:val="en-US"/>
        </w:rPr>
        <w:t xml:space="preserve"> a </w:t>
      </w:r>
      <w:r w:rsidR="00BF3DA5" w:rsidRPr="7FBC0748">
        <w:rPr>
          <w:rFonts w:ascii="Times" w:hAnsi="Times"/>
          <w:lang w:val="en-US"/>
        </w:rPr>
        <w:t xml:space="preserve">trend towards </w:t>
      </w:r>
      <w:r w:rsidR="00E67DAB" w:rsidRPr="7FBC0748">
        <w:rPr>
          <w:rFonts w:ascii="Times" w:hAnsi="Times"/>
          <w:lang w:val="en-US"/>
        </w:rPr>
        <w:t>increase</w:t>
      </w:r>
      <w:r w:rsidR="00BF3DA5" w:rsidRPr="7FBC0748">
        <w:rPr>
          <w:rFonts w:ascii="Times" w:hAnsi="Times"/>
          <w:lang w:val="en-US"/>
        </w:rPr>
        <w:t>d</w:t>
      </w:r>
      <w:r w:rsidR="00E67DAB" w:rsidRPr="7FBC0748">
        <w:rPr>
          <w:rFonts w:ascii="Times" w:hAnsi="Times"/>
          <w:lang w:val="en-US"/>
        </w:rPr>
        <w:t xml:space="preserve"> CYP3A4</w:t>
      </w:r>
      <w:r w:rsidR="0089494B" w:rsidRPr="7FBC0748">
        <w:rPr>
          <w:rFonts w:ascii="Times" w:hAnsi="Times"/>
          <w:lang w:val="en-US"/>
        </w:rPr>
        <w:t xml:space="preserve"> activity after </w:t>
      </w:r>
      <w:r w:rsidR="00E67DAB" w:rsidRPr="7FBC0748">
        <w:rPr>
          <w:rFonts w:ascii="Times" w:hAnsi="Times"/>
          <w:lang w:val="en-US"/>
        </w:rPr>
        <w:t xml:space="preserve">three </w:t>
      </w:r>
      <w:r w:rsidR="0089494B" w:rsidRPr="7FBC0748">
        <w:rPr>
          <w:rFonts w:ascii="Times" w:hAnsi="Times"/>
          <w:lang w:val="en-US"/>
        </w:rPr>
        <w:t>weeks of anti-IL-6R therapy</w:t>
      </w:r>
      <w:r w:rsidR="0076737E" w:rsidRPr="7FBC0748">
        <w:rPr>
          <w:rFonts w:ascii="Times" w:hAnsi="Times"/>
          <w:lang w:val="en-US"/>
        </w:rPr>
        <w:t>,</w:t>
      </w:r>
      <w:r w:rsidR="0089494B" w:rsidRPr="7FBC0748">
        <w:rPr>
          <w:rFonts w:ascii="Times" w:hAnsi="Times"/>
          <w:lang w:val="en-US"/>
        </w:rPr>
        <w:t xml:space="preserve"> which normalize</w:t>
      </w:r>
      <w:r w:rsidR="00BF3DA5" w:rsidRPr="7FBC0748">
        <w:rPr>
          <w:rFonts w:ascii="Times" w:hAnsi="Times"/>
          <w:lang w:val="en-US"/>
        </w:rPr>
        <w:t>d</w:t>
      </w:r>
      <w:r w:rsidR="004F5696" w:rsidRPr="7FBC0748">
        <w:rPr>
          <w:rFonts w:ascii="Times" w:hAnsi="Times"/>
          <w:lang w:val="en-US"/>
        </w:rPr>
        <w:t xml:space="preserve"> to baseline </w:t>
      </w:r>
      <w:r w:rsidR="0089494B" w:rsidRPr="7FBC0748">
        <w:rPr>
          <w:rFonts w:ascii="Times" w:hAnsi="Times"/>
          <w:lang w:val="en-US"/>
        </w:rPr>
        <w:t>after 12 weeks of treatment.</w:t>
      </w:r>
      <w:r w:rsidR="00E67DAB" w:rsidRPr="7FBC0748">
        <w:rPr>
          <w:rFonts w:ascii="Times" w:hAnsi="Times"/>
          <w:lang w:val="en-US"/>
        </w:rPr>
        <w:t xml:space="preserve"> </w:t>
      </w:r>
      <w:r w:rsidR="003523B1" w:rsidRPr="7FBC0748">
        <w:rPr>
          <w:rFonts w:ascii="Times" w:hAnsi="Times"/>
          <w:lang w:val="en-US"/>
        </w:rPr>
        <w:t xml:space="preserve">Patients </w:t>
      </w:r>
      <w:r w:rsidR="002853C2" w:rsidRPr="7FBC0748">
        <w:rPr>
          <w:rFonts w:ascii="Times" w:hAnsi="Times"/>
          <w:lang w:val="en-US"/>
        </w:rPr>
        <w:t xml:space="preserve">with </w:t>
      </w:r>
      <w:r w:rsidR="003523B1" w:rsidRPr="7FBC0748">
        <w:rPr>
          <w:rFonts w:ascii="Times" w:hAnsi="Times"/>
          <w:lang w:val="en-US"/>
        </w:rPr>
        <w:t xml:space="preserve">rheumatoid arthritis are </w:t>
      </w:r>
      <w:r w:rsidR="006F266C" w:rsidRPr="7FBC0748">
        <w:rPr>
          <w:rFonts w:ascii="Times" w:hAnsi="Times"/>
          <w:lang w:val="en-US"/>
        </w:rPr>
        <w:t xml:space="preserve">potentially </w:t>
      </w:r>
      <w:r w:rsidR="003523B1" w:rsidRPr="7FBC0748">
        <w:rPr>
          <w:rFonts w:ascii="Times" w:hAnsi="Times"/>
          <w:lang w:val="en-US"/>
        </w:rPr>
        <w:t xml:space="preserve">at risk of decreased efficacy </w:t>
      </w:r>
      <w:r w:rsidR="001F0ABC" w:rsidRPr="7FBC0748">
        <w:rPr>
          <w:rFonts w:ascii="Times" w:hAnsi="Times"/>
          <w:lang w:val="en-US"/>
        </w:rPr>
        <w:t xml:space="preserve">of drugs </w:t>
      </w:r>
      <w:r w:rsidR="470D2406" w:rsidRPr="7FBC0748">
        <w:rPr>
          <w:rFonts w:ascii="Times" w:hAnsi="Times"/>
          <w:lang w:val="en-US"/>
        </w:rPr>
        <w:t xml:space="preserve">with a narrow therapeutic index </w:t>
      </w:r>
      <w:r w:rsidR="001F0ABC" w:rsidRPr="7FBC0748">
        <w:rPr>
          <w:rFonts w:ascii="Times" w:hAnsi="Times"/>
          <w:lang w:val="en-US"/>
        </w:rPr>
        <w:t xml:space="preserve">during the first weeks </w:t>
      </w:r>
      <w:r w:rsidR="00E8628E" w:rsidRPr="7FBC0748">
        <w:rPr>
          <w:rFonts w:ascii="Times" w:hAnsi="Times"/>
          <w:lang w:val="en-US"/>
        </w:rPr>
        <w:t>of</w:t>
      </w:r>
      <w:r w:rsidR="003523B1" w:rsidRPr="7FBC0748">
        <w:rPr>
          <w:rFonts w:ascii="Times" w:hAnsi="Times"/>
          <w:lang w:val="en-US"/>
        </w:rPr>
        <w:t xml:space="preserve"> anti-IL-6R therapy. </w:t>
      </w:r>
      <w:r w:rsidR="00D506FF" w:rsidRPr="7FBC0748">
        <w:rPr>
          <w:rFonts w:ascii="Times" w:hAnsi="Times"/>
          <w:lang w:val="en-US"/>
        </w:rPr>
        <w:t>Further studies are warranted to fully elucidate th</w:t>
      </w:r>
      <w:r w:rsidR="00BF3DA5" w:rsidRPr="7FBC0748">
        <w:rPr>
          <w:rFonts w:ascii="Times" w:hAnsi="Times"/>
          <w:lang w:val="en-US"/>
        </w:rPr>
        <w:t>e</w:t>
      </w:r>
      <w:r w:rsidR="0089494B" w:rsidRPr="7FBC0748">
        <w:rPr>
          <w:rFonts w:ascii="Times" w:hAnsi="Times"/>
          <w:lang w:val="en-US"/>
        </w:rPr>
        <w:t xml:space="preserve"> mechanism</w:t>
      </w:r>
      <w:r w:rsidR="00BF3DA5" w:rsidRPr="7FBC0748">
        <w:rPr>
          <w:rFonts w:ascii="Times" w:hAnsi="Times"/>
          <w:lang w:val="en-US"/>
        </w:rPr>
        <w:t xml:space="preserve"> behind this transient effect</w:t>
      </w:r>
      <w:r w:rsidR="00D506FF" w:rsidRPr="7FBC0748">
        <w:rPr>
          <w:rFonts w:ascii="Times" w:hAnsi="Times"/>
          <w:lang w:val="en-US"/>
        </w:rPr>
        <w:t xml:space="preserve">. </w:t>
      </w:r>
    </w:p>
    <w:p w14:paraId="3AE2B21A" w14:textId="77777777" w:rsidR="00944A82" w:rsidRDefault="00944A82">
      <w:pPr>
        <w:rPr>
          <w:rFonts w:ascii="Times" w:hAnsi="Times"/>
          <w:lang w:val="en-US"/>
        </w:rPr>
      </w:pPr>
      <w:r>
        <w:rPr>
          <w:rFonts w:ascii="Times" w:hAnsi="Times"/>
          <w:lang w:val="en-US"/>
        </w:rPr>
        <w:br w:type="page"/>
      </w:r>
    </w:p>
    <w:p w14:paraId="38C8544D" w14:textId="76CBD724" w:rsidR="00944A82" w:rsidRPr="00944A82" w:rsidRDefault="004D26FA" w:rsidP="00CE03B7">
      <w:pPr>
        <w:spacing w:line="276" w:lineRule="auto"/>
        <w:rPr>
          <w:lang w:val="en-US"/>
        </w:rPr>
      </w:pPr>
      <w:r>
        <w:rPr>
          <w:rStyle w:val="Strk"/>
          <w:color w:val="212121"/>
          <w:lang w:val="en-US"/>
        </w:rPr>
        <w:lastRenderedPageBreak/>
        <w:t>DECLARATIONS</w:t>
      </w:r>
    </w:p>
    <w:p w14:paraId="7856F2C0" w14:textId="77777777" w:rsidR="00944A82" w:rsidRPr="00944A82" w:rsidRDefault="00944A82" w:rsidP="00CE03B7">
      <w:pPr>
        <w:spacing w:line="276" w:lineRule="auto"/>
        <w:rPr>
          <w:lang w:val="en-US"/>
        </w:rPr>
      </w:pPr>
      <w:r w:rsidRPr="00944A82">
        <w:rPr>
          <w:rStyle w:val="Strk"/>
          <w:color w:val="212121"/>
          <w:lang w:val="en-GB"/>
        </w:rPr>
        <w:t>Ethical Approval</w:t>
      </w:r>
      <w:r w:rsidRPr="00944A82">
        <w:rPr>
          <w:lang w:val="en-GB"/>
        </w:rPr>
        <w:t> </w:t>
      </w:r>
    </w:p>
    <w:p w14:paraId="708E55CC" w14:textId="0775CFA6" w:rsidR="000D2CF6" w:rsidRPr="004A7554" w:rsidRDefault="000D2CF6" w:rsidP="00CE03B7">
      <w:pPr>
        <w:spacing w:line="276" w:lineRule="auto"/>
        <w:rPr>
          <w:lang w:val="en-US"/>
        </w:rPr>
      </w:pPr>
      <w:r w:rsidRPr="004A7554">
        <w:rPr>
          <w:lang w:val="en-US"/>
        </w:rPr>
        <w:t xml:space="preserve">The studies were conducted in accordance with the Helsinki Declaration. The prospective clinical pharmacokinetic trial was approved by the Regional Scientific Ethics Committee of Southern Denmark (identifier S-20210010), the Danish Medicines Agency (identifier 2021013658), and registered in the EudraCT database (identifier 2020-005998-27) and the ClinicalTrials.gov database (identifier </w:t>
      </w:r>
      <w:r w:rsidRPr="004A7554">
        <w:rPr>
          <w:color w:val="000000"/>
          <w:lang w:val="en-US"/>
        </w:rPr>
        <w:t>NCT04842981</w:t>
      </w:r>
      <w:r w:rsidRPr="004A7554">
        <w:rPr>
          <w:lang w:val="en-US"/>
        </w:rPr>
        <w:t>). The study complied with Good Clinical Practice (GCP) and was monitored by the GCP unit at Odense University Hospital. Trial subjects were included following written, informed consent. The retrospective study was approved by the Regional Ethics Committee of Southern Denmark (identifier S-20210097)</w:t>
      </w:r>
      <w:r w:rsidR="00D132D7">
        <w:rPr>
          <w:lang w:val="en-US"/>
        </w:rPr>
        <w:t xml:space="preserve">. </w:t>
      </w:r>
      <w:r w:rsidR="00602ED6">
        <w:rPr>
          <w:lang w:val="en-US"/>
        </w:rPr>
        <w:t>Patients gave written informed consent</w:t>
      </w:r>
      <w:r w:rsidR="00977F61">
        <w:rPr>
          <w:lang w:val="en-US"/>
        </w:rPr>
        <w:t xml:space="preserve"> for the biological material </w:t>
      </w:r>
      <w:r w:rsidR="000B487A">
        <w:rPr>
          <w:lang w:val="en-US"/>
        </w:rPr>
        <w:t xml:space="preserve">and personal information </w:t>
      </w:r>
      <w:r w:rsidR="00977F61">
        <w:rPr>
          <w:lang w:val="en-US"/>
        </w:rPr>
        <w:t>to be</w:t>
      </w:r>
      <w:r w:rsidR="005F4BAC">
        <w:rPr>
          <w:lang w:val="en-US"/>
        </w:rPr>
        <w:t xml:space="preserve"> stored and</w:t>
      </w:r>
      <w:r w:rsidR="00977F61">
        <w:rPr>
          <w:lang w:val="en-US"/>
        </w:rPr>
        <w:t xml:space="preserve"> used for future </w:t>
      </w:r>
      <w:r w:rsidR="00B87D36">
        <w:rPr>
          <w:lang w:val="en-US"/>
        </w:rPr>
        <w:t xml:space="preserve">unspecified </w:t>
      </w:r>
      <w:r w:rsidR="00977F61">
        <w:rPr>
          <w:lang w:val="en-US"/>
        </w:rPr>
        <w:t xml:space="preserve">research when the </w:t>
      </w:r>
      <w:r w:rsidR="00E9031A">
        <w:rPr>
          <w:lang w:val="en-US"/>
        </w:rPr>
        <w:t>biobank samples were collected</w:t>
      </w:r>
      <w:r w:rsidR="00977F61">
        <w:rPr>
          <w:lang w:val="en-US"/>
        </w:rPr>
        <w:t>.</w:t>
      </w:r>
      <w:r w:rsidRPr="004A7554">
        <w:rPr>
          <w:lang w:val="en-US"/>
        </w:rPr>
        <w:t xml:space="preserve"> </w:t>
      </w:r>
    </w:p>
    <w:p w14:paraId="638D8339" w14:textId="77777777" w:rsidR="00944A82" w:rsidRPr="00944A82" w:rsidRDefault="00944A82" w:rsidP="00CE03B7">
      <w:pPr>
        <w:spacing w:line="276" w:lineRule="auto"/>
        <w:rPr>
          <w:lang w:val="en-US"/>
        </w:rPr>
      </w:pPr>
      <w:r w:rsidRPr="00944A82">
        <w:rPr>
          <w:rStyle w:val="Strk"/>
          <w:color w:val="212121"/>
          <w:lang w:val="en-GB"/>
        </w:rPr>
        <w:t> </w:t>
      </w:r>
    </w:p>
    <w:p w14:paraId="46F00044" w14:textId="77777777" w:rsidR="00944A82" w:rsidRPr="00944A82" w:rsidRDefault="00944A82" w:rsidP="00CE03B7">
      <w:pPr>
        <w:spacing w:line="276" w:lineRule="auto"/>
        <w:rPr>
          <w:lang w:val="en-US"/>
        </w:rPr>
      </w:pPr>
      <w:r w:rsidRPr="00944A82">
        <w:rPr>
          <w:rStyle w:val="Strk"/>
          <w:color w:val="212121"/>
          <w:lang w:val="en-GB"/>
        </w:rPr>
        <w:t>Competing interests</w:t>
      </w:r>
      <w:r w:rsidRPr="00944A82">
        <w:rPr>
          <w:lang w:val="en-GB"/>
        </w:rPr>
        <w:t> </w:t>
      </w:r>
    </w:p>
    <w:p w14:paraId="4FED7BED" w14:textId="4DABD671" w:rsidR="00BA3F88" w:rsidRDefault="00BA3F88" w:rsidP="00CE03B7">
      <w:pPr>
        <w:spacing w:line="276" w:lineRule="auto"/>
        <w:rPr>
          <w:rFonts w:ascii="Times" w:hAnsi="Times"/>
          <w:lang w:val="en-US"/>
        </w:rPr>
      </w:pPr>
      <w:r w:rsidRPr="00B824E7">
        <w:rPr>
          <w:rFonts w:ascii="Times" w:hAnsi="Times" w:cs="Arial"/>
          <w:lang w:val="en-US"/>
        </w:rPr>
        <w:t>A.</w:t>
      </w:r>
      <w:r w:rsidR="00010CFB">
        <w:rPr>
          <w:rFonts w:ascii="Times" w:hAnsi="Times" w:cs="Arial"/>
          <w:lang w:val="en-US"/>
        </w:rPr>
        <w:t>C.</w:t>
      </w:r>
      <w:r w:rsidRPr="00B824E7">
        <w:rPr>
          <w:rFonts w:ascii="Times" w:hAnsi="Times" w:cs="Arial"/>
          <w:lang w:val="en-US"/>
        </w:rPr>
        <w:t>D. has given paid lectures for Astellas Pharma. T.S. has given paid lectures for Pfizer and Eisai and consulted for Pfizer.</w:t>
      </w:r>
      <w:r w:rsidRPr="00B824E7">
        <w:rPr>
          <w:rFonts w:ascii="Times" w:hAnsi="Times"/>
          <w:lang w:val="en-US"/>
        </w:rPr>
        <w:t xml:space="preserve"> All are unrelated to the work reported in this paper. K.S., E.S., S.A.J., I.E.B.F., F.N., D.A.O., J.S.M., and O.H. </w:t>
      </w:r>
      <w:r w:rsidR="006E238D">
        <w:rPr>
          <w:rFonts w:ascii="Times" w:hAnsi="Times"/>
          <w:lang w:val="en-US"/>
        </w:rPr>
        <w:t>report</w:t>
      </w:r>
      <w:r w:rsidRPr="00B824E7">
        <w:rPr>
          <w:rFonts w:ascii="Times" w:hAnsi="Times"/>
          <w:lang w:val="en-US"/>
        </w:rPr>
        <w:t xml:space="preserve"> no conflicts of interest.</w:t>
      </w:r>
      <w:r>
        <w:rPr>
          <w:rFonts w:ascii="Times" w:hAnsi="Times"/>
          <w:lang w:val="en-US"/>
        </w:rPr>
        <w:t xml:space="preserve"> </w:t>
      </w:r>
    </w:p>
    <w:p w14:paraId="41BF78E8" w14:textId="77777777" w:rsidR="00944A82" w:rsidRPr="00944A82" w:rsidRDefault="00944A82" w:rsidP="00CE03B7">
      <w:pPr>
        <w:spacing w:line="276" w:lineRule="auto"/>
        <w:rPr>
          <w:lang w:val="en-US"/>
        </w:rPr>
      </w:pPr>
      <w:r w:rsidRPr="00944A82">
        <w:rPr>
          <w:rStyle w:val="Strk"/>
          <w:color w:val="212121"/>
          <w:lang w:val="en-GB"/>
        </w:rPr>
        <w:t> </w:t>
      </w:r>
    </w:p>
    <w:p w14:paraId="698E421C" w14:textId="77777777" w:rsidR="00944A82" w:rsidRPr="00944A82" w:rsidRDefault="00944A82" w:rsidP="00CE03B7">
      <w:pPr>
        <w:spacing w:line="276" w:lineRule="auto"/>
        <w:rPr>
          <w:lang w:val="en-US"/>
        </w:rPr>
      </w:pPr>
      <w:r w:rsidRPr="00944A82">
        <w:rPr>
          <w:rStyle w:val="Strk"/>
          <w:color w:val="212121"/>
          <w:lang w:val="en-GB"/>
        </w:rPr>
        <w:t>Authors' contributions</w:t>
      </w:r>
      <w:r w:rsidRPr="00944A82">
        <w:rPr>
          <w:lang w:val="en-GB"/>
        </w:rPr>
        <w:t> </w:t>
      </w:r>
    </w:p>
    <w:p w14:paraId="11F5B942" w14:textId="6229BB0D" w:rsidR="00BA3F88" w:rsidRDefault="00BA3F88" w:rsidP="00CE03B7">
      <w:pPr>
        <w:spacing w:line="276" w:lineRule="auto"/>
        <w:rPr>
          <w:rFonts w:ascii="Times" w:hAnsi="Times"/>
          <w:lang w:val="en-US"/>
        </w:rPr>
      </w:pPr>
      <w:r>
        <w:rPr>
          <w:rFonts w:ascii="Times" w:hAnsi="Times"/>
          <w:lang w:val="en-US"/>
        </w:rPr>
        <w:t>A</w:t>
      </w:r>
      <w:r w:rsidR="00181C78">
        <w:rPr>
          <w:rFonts w:ascii="Times" w:hAnsi="Times"/>
          <w:lang w:val="en-US"/>
        </w:rPr>
        <w:t>.</w:t>
      </w:r>
      <w:r>
        <w:rPr>
          <w:rFonts w:ascii="Times" w:hAnsi="Times"/>
          <w:lang w:val="en-US"/>
        </w:rPr>
        <w:t>C</w:t>
      </w:r>
      <w:r w:rsidR="00181C78">
        <w:rPr>
          <w:rFonts w:ascii="Times" w:hAnsi="Times"/>
          <w:lang w:val="en-US"/>
        </w:rPr>
        <w:t>.</w:t>
      </w:r>
      <w:r>
        <w:rPr>
          <w:rFonts w:ascii="Times" w:hAnsi="Times"/>
          <w:lang w:val="en-US"/>
        </w:rPr>
        <w:t>D</w:t>
      </w:r>
      <w:r w:rsidR="00181C78">
        <w:rPr>
          <w:rFonts w:ascii="Times" w:hAnsi="Times"/>
          <w:lang w:val="en-US"/>
        </w:rPr>
        <w:t>.</w:t>
      </w:r>
      <w:r>
        <w:rPr>
          <w:rFonts w:ascii="Times" w:hAnsi="Times"/>
          <w:lang w:val="en-US"/>
        </w:rPr>
        <w:t xml:space="preserve"> wrote the manuscript. A</w:t>
      </w:r>
      <w:r w:rsidR="00181C78">
        <w:rPr>
          <w:rFonts w:ascii="Times" w:hAnsi="Times"/>
          <w:lang w:val="en-US"/>
        </w:rPr>
        <w:t>.</w:t>
      </w:r>
      <w:r>
        <w:rPr>
          <w:rFonts w:ascii="Times" w:hAnsi="Times"/>
          <w:lang w:val="en-US"/>
        </w:rPr>
        <w:t>C</w:t>
      </w:r>
      <w:r w:rsidR="00181C78">
        <w:rPr>
          <w:rFonts w:ascii="Times" w:hAnsi="Times"/>
          <w:lang w:val="en-US"/>
        </w:rPr>
        <w:t>.</w:t>
      </w:r>
      <w:r>
        <w:rPr>
          <w:rFonts w:ascii="Times" w:hAnsi="Times"/>
          <w:lang w:val="en-US"/>
        </w:rPr>
        <w:t>D</w:t>
      </w:r>
      <w:r w:rsidR="00181C78">
        <w:rPr>
          <w:rFonts w:ascii="Times" w:hAnsi="Times"/>
          <w:lang w:val="en-US"/>
        </w:rPr>
        <w:t>.</w:t>
      </w:r>
      <w:r>
        <w:rPr>
          <w:rFonts w:ascii="Times" w:hAnsi="Times"/>
          <w:lang w:val="en-US"/>
        </w:rPr>
        <w:t>, K</w:t>
      </w:r>
      <w:r w:rsidR="00181C78">
        <w:rPr>
          <w:rFonts w:ascii="Times" w:hAnsi="Times"/>
          <w:lang w:val="en-US"/>
        </w:rPr>
        <w:t>.</w:t>
      </w:r>
      <w:r>
        <w:rPr>
          <w:rFonts w:ascii="Times" w:hAnsi="Times"/>
          <w:lang w:val="en-US"/>
        </w:rPr>
        <w:t>S</w:t>
      </w:r>
      <w:r w:rsidR="00181C78">
        <w:rPr>
          <w:rFonts w:ascii="Times" w:hAnsi="Times"/>
          <w:lang w:val="en-US"/>
        </w:rPr>
        <w:t>.</w:t>
      </w:r>
      <w:r>
        <w:rPr>
          <w:rFonts w:ascii="Times" w:hAnsi="Times"/>
          <w:lang w:val="en-US"/>
        </w:rPr>
        <w:t>, I</w:t>
      </w:r>
      <w:r w:rsidR="00181C78">
        <w:rPr>
          <w:rFonts w:ascii="Times" w:hAnsi="Times"/>
          <w:lang w:val="en-US"/>
        </w:rPr>
        <w:t>.</w:t>
      </w:r>
      <w:r>
        <w:rPr>
          <w:rFonts w:ascii="Times" w:hAnsi="Times"/>
          <w:lang w:val="en-US"/>
        </w:rPr>
        <w:t>E</w:t>
      </w:r>
      <w:r w:rsidR="00181C78">
        <w:rPr>
          <w:rFonts w:ascii="Times" w:hAnsi="Times"/>
          <w:lang w:val="en-US"/>
        </w:rPr>
        <w:t>.</w:t>
      </w:r>
      <w:r>
        <w:rPr>
          <w:rFonts w:ascii="Times" w:hAnsi="Times"/>
          <w:lang w:val="en-US"/>
        </w:rPr>
        <w:t>B</w:t>
      </w:r>
      <w:r w:rsidR="00181C78">
        <w:rPr>
          <w:rFonts w:ascii="Times" w:hAnsi="Times"/>
          <w:lang w:val="en-US"/>
        </w:rPr>
        <w:t>.</w:t>
      </w:r>
      <w:r>
        <w:rPr>
          <w:rFonts w:ascii="Times" w:hAnsi="Times"/>
          <w:lang w:val="en-US"/>
        </w:rPr>
        <w:t>F</w:t>
      </w:r>
      <w:r w:rsidR="00181C78">
        <w:rPr>
          <w:rFonts w:ascii="Times" w:hAnsi="Times"/>
          <w:lang w:val="en-US"/>
        </w:rPr>
        <w:t>.</w:t>
      </w:r>
      <w:r>
        <w:rPr>
          <w:rFonts w:ascii="Times" w:hAnsi="Times"/>
          <w:lang w:val="en-US"/>
        </w:rPr>
        <w:t>, O</w:t>
      </w:r>
      <w:r w:rsidR="00181C78">
        <w:rPr>
          <w:rFonts w:ascii="Times" w:hAnsi="Times"/>
          <w:lang w:val="en-US"/>
        </w:rPr>
        <w:t>.</w:t>
      </w:r>
      <w:r>
        <w:rPr>
          <w:rFonts w:ascii="Times" w:hAnsi="Times"/>
          <w:lang w:val="en-US"/>
        </w:rPr>
        <w:t>H</w:t>
      </w:r>
      <w:r w:rsidR="00181C78">
        <w:rPr>
          <w:rFonts w:ascii="Times" w:hAnsi="Times"/>
          <w:lang w:val="en-US"/>
        </w:rPr>
        <w:t>.</w:t>
      </w:r>
      <w:r>
        <w:rPr>
          <w:rFonts w:ascii="Times" w:hAnsi="Times"/>
          <w:lang w:val="en-US"/>
        </w:rPr>
        <w:t>, and T</w:t>
      </w:r>
      <w:r w:rsidR="00181C78">
        <w:rPr>
          <w:rFonts w:ascii="Times" w:hAnsi="Times"/>
          <w:lang w:val="en-US"/>
        </w:rPr>
        <w:t>.</w:t>
      </w:r>
      <w:r>
        <w:rPr>
          <w:rFonts w:ascii="Times" w:hAnsi="Times"/>
          <w:lang w:val="en-US"/>
        </w:rPr>
        <w:t>S</w:t>
      </w:r>
      <w:r w:rsidR="00181C78">
        <w:rPr>
          <w:rFonts w:ascii="Times" w:hAnsi="Times"/>
          <w:lang w:val="en-US"/>
        </w:rPr>
        <w:t>.</w:t>
      </w:r>
      <w:r>
        <w:rPr>
          <w:rFonts w:ascii="Times" w:hAnsi="Times"/>
          <w:lang w:val="en-US"/>
        </w:rPr>
        <w:t xml:space="preserve"> designed the research. A</w:t>
      </w:r>
      <w:r w:rsidR="00181C78">
        <w:rPr>
          <w:rFonts w:ascii="Times" w:hAnsi="Times"/>
          <w:lang w:val="en-US"/>
        </w:rPr>
        <w:t>.</w:t>
      </w:r>
      <w:r>
        <w:rPr>
          <w:rFonts w:ascii="Times" w:hAnsi="Times"/>
          <w:lang w:val="en-US"/>
        </w:rPr>
        <w:t>C</w:t>
      </w:r>
      <w:r w:rsidR="00181C78">
        <w:rPr>
          <w:rFonts w:ascii="Times" w:hAnsi="Times"/>
          <w:lang w:val="en-US"/>
        </w:rPr>
        <w:t>.</w:t>
      </w:r>
      <w:r>
        <w:rPr>
          <w:rFonts w:ascii="Times" w:hAnsi="Times"/>
          <w:lang w:val="en-US"/>
        </w:rPr>
        <w:t>D</w:t>
      </w:r>
      <w:r w:rsidR="00181C78">
        <w:rPr>
          <w:rFonts w:ascii="Times" w:hAnsi="Times"/>
          <w:lang w:val="en-US"/>
        </w:rPr>
        <w:t>.</w:t>
      </w:r>
      <w:r>
        <w:rPr>
          <w:rFonts w:ascii="Times" w:hAnsi="Times"/>
          <w:lang w:val="en-US"/>
        </w:rPr>
        <w:t>, K</w:t>
      </w:r>
      <w:r w:rsidR="00181C78">
        <w:rPr>
          <w:rFonts w:ascii="Times" w:hAnsi="Times"/>
          <w:lang w:val="en-US"/>
        </w:rPr>
        <w:t>.</w:t>
      </w:r>
      <w:r>
        <w:rPr>
          <w:rFonts w:ascii="Times" w:hAnsi="Times"/>
          <w:lang w:val="en-US"/>
        </w:rPr>
        <w:t>S</w:t>
      </w:r>
      <w:r w:rsidR="00181C78">
        <w:rPr>
          <w:rFonts w:ascii="Times" w:hAnsi="Times"/>
          <w:lang w:val="en-US"/>
        </w:rPr>
        <w:t>.</w:t>
      </w:r>
      <w:r>
        <w:rPr>
          <w:rFonts w:ascii="Times" w:hAnsi="Times"/>
          <w:lang w:val="en-US"/>
        </w:rPr>
        <w:t>, E</w:t>
      </w:r>
      <w:r w:rsidR="00181C78">
        <w:rPr>
          <w:rFonts w:ascii="Times" w:hAnsi="Times"/>
          <w:lang w:val="en-US"/>
        </w:rPr>
        <w:t>.</w:t>
      </w:r>
      <w:r>
        <w:rPr>
          <w:rFonts w:ascii="Times" w:hAnsi="Times"/>
          <w:lang w:val="en-US"/>
        </w:rPr>
        <w:t>S</w:t>
      </w:r>
      <w:r w:rsidR="00181C78">
        <w:rPr>
          <w:rFonts w:ascii="Times" w:hAnsi="Times"/>
          <w:lang w:val="en-US"/>
        </w:rPr>
        <w:t>.</w:t>
      </w:r>
      <w:r>
        <w:rPr>
          <w:rFonts w:ascii="Times" w:hAnsi="Times"/>
          <w:lang w:val="en-US"/>
        </w:rPr>
        <w:t>, S</w:t>
      </w:r>
      <w:r w:rsidR="00181C78">
        <w:rPr>
          <w:rFonts w:ascii="Times" w:hAnsi="Times"/>
          <w:lang w:val="en-US"/>
        </w:rPr>
        <w:t>.</w:t>
      </w:r>
      <w:r>
        <w:rPr>
          <w:rFonts w:ascii="Times" w:hAnsi="Times"/>
          <w:lang w:val="en-US"/>
        </w:rPr>
        <w:t>A</w:t>
      </w:r>
      <w:r w:rsidR="00181C78">
        <w:rPr>
          <w:rFonts w:ascii="Times" w:hAnsi="Times"/>
          <w:lang w:val="en-US"/>
        </w:rPr>
        <w:t>.</w:t>
      </w:r>
      <w:r>
        <w:rPr>
          <w:rFonts w:ascii="Times" w:hAnsi="Times"/>
          <w:lang w:val="en-US"/>
        </w:rPr>
        <w:t>J</w:t>
      </w:r>
      <w:r w:rsidR="00181C78">
        <w:rPr>
          <w:rFonts w:ascii="Times" w:hAnsi="Times"/>
          <w:lang w:val="en-US"/>
        </w:rPr>
        <w:t>.</w:t>
      </w:r>
      <w:r>
        <w:rPr>
          <w:rFonts w:ascii="Times" w:hAnsi="Times"/>
          <w:lang w:val="en-US"/>
        </w:rPr>
        <w:t>, and O</w:t>
      </w:r>
      <w:r w:rsidR="00181C78">
        <w:rPr>
          <w:rFonts w:ascii="Times" w:hAnsi="Times"/>
          <w:lang w:val="en-US"/>
        </w:rPr>
        <w:t>.</w:t>
      </w:r>
      <w:r>
        <w:rPr>
          <w:rFonts w:ascii="Times" w:hAnsi="Times"/>
          <w:lang w:val="en-US"/>
        </w:rPr>
        <w:t>H</w:t>
      </w:r>
      <w:r w:rsidR="00181C78">
        <w:rPr>
          <w:rFonts w:ascii="Times" w:hAnsi="Times"/>
          <w:lang w:val="en-US"/>
        </w:rPr>
        <w:t>.</w:t>
      </w:r>
      <w:r>
        <w:rPr>
          <w:rFonts w:ascii="Times" w:hAnsi="Times"/>
          <w:lang w:val="en-US"/>
        </w:rPr>
        <w:t xml:space="preserve"> performed the research. A</w:t>
      </w:r>
      <w:r w:rsidR="00181C78">
        <w:rPr>
          <w:rFonts w:ascii="Times" w:hAnsi="Times"/>
          <w:lang w:val="en-US"/>
        </w:rPr>
        <w:t>.</w:t>
      </w:r>
      <w:r>
        <w:rPr>
          <w:rFonts w:ascii="Times" w:hAnsi="Times"/>
          <w:lang w:val="en-US"/>
        </w:rPr>
        <w:t>C</w:t>
      </w:r>
      <w:r w:rsidR="00181C78">
        <w:rPr>
          <w:rFonts w:ascii="Times" w:hAnsi="Times"/>
          <w:lang w:val="en-US"/>
        </w:rPr>
        <w:t>.</w:t>
      </w:r>
      <w:r>
        <w:rPr>
          <w:rFonts w:ascii="Times" w:hAnsi="Times"/>
          <w:lang w:val="en-US"/>
        </w:rPr>
        <w:t>D</w:t>
      </w:r>
      <w:r w:rsidR="00181C78">
        <w:rPr>
          <w:rFonts w:ascii="Times" w:hAnsi="Times"/>
          <w:lang w:val="en-US"/>
        </w:rPr>
        <w:t>.</w:t>
      </w:r>
      <w:r>
        <w:rPr>
          <w:rFonts w:ascii="Times" w:hAnsi="Times"/>
          <w:lang w:val="en-US"/>
        </w:rPr>
        <w:t xml:space="preserve"> analyzed the data. F</w:t>
      </w:r>
      <w:r w:rsidR="00181C78">
        <w:rPr>
          <w:rFonts w:ascii="Times" w:hAnsi="Times"/>
          <w:lang w:val="en-US"/>
        </w:rPr>
        <w:t>.</w:t>
      </w:r>
      <w:r>
        <w:rPr>
          <w:rFonts w:ascii="Times" w:hAnsi="Times"/>
          <w:lang w:val="en-US"/>
        </w:rPr>
        <w:t>N</w:t>
      </w:r>
      <w:r w:rsidR="00181C78">
        <w:rPr>
          <w:rFonts w:ascii="Times" w:hAnsi="Times"/>
          <w:lang w:val="en-US"/>
        </w:rPr>
        <w:t>.</w:t>
      </w:r>
      <w:r>
        <w:rPr>
          <w:rFonts w:ascii="Times" w:hAnsi="Times"/>
          <w:lang w:val="en-US"/>
        </w:rPr>
        <w:t>, D</w:t>
      </w:r>
      <w:r w:rsidR="00181C78">
        <w:rPr>
          <w:rFonts w:ascii="Times" w:hAnsi="Times"/>
          <w:lang w:val="en-US"/>
        </w:rPr>
        <w:t>.</w:t>
      </w:r>
      <w:r>
        <w:rPr>
          <w:rFonts w:ascii="Times" w:hAnsi="Times"/>
          <w:lang w:val="en-US"/>
        </w:rPr>
        <w:t>A</w:t>
      </w:r>
      <w:r w:rsidR="00181C78">
        <w:rPr>
          <w:rFonts w:ascii="Times" w:hAnsi="Times"/>
          <w:lang w:val="en-US"/>
        </w:rPr>
        <w:t>.</w:t>
      </w:r>
      <w:r>
        <w:rPr>
          <w:rFonts w:ascii="Times" w:hAnsi="Times"/>
          <w:lang w:val="en-US"/>
        </w:rPr>
        <w:t>O</w:t>
      </w:r>
      <w:r w:rsidR="00181C78">
        <w:rPr>
          <w:rFonts w:ascii="Times" w:hAnsi="Times"/>
          <w:lang w:val="en-US"/>
        </w:rPr>
        <w:t>.</w:t>
      </w:r>
      <w:r>
        <w:rPr>
          <w:rFonts w:ascii="Times" w:hAnsi="Times"/>
          <w:lang w:val="en-US"/>
        </w:rPr>
        <w:t>, and J</w:t>
      </w:r>
      <w:r w:rsidR="00181C78">
        <w:rPr>
          <w:rFonts w:ascii="Times" w:hAnsi="Times"/>
          <w:lang w:val="en-US"/>
        </w:rPr>
        <w:t>.</w:t>
      </w:r>
      <w:r>
        <w:rPr>
          <w:rFonts w:ascii="Times" w:hAnsi="Times"/>
          <w:lang w:val="en-US"/>
        </w:rPr>
        <w:t>S</w:t>
      </w:r>
      <w:r w:rsidR="00181C78">
        <w:rPr>
          <w:rFonts w:ascii="Times" w:hAnsi="Times"/>
          <w:lang w:val="en-US"/>
        </w:rPr>
        <w:t>.</w:t>
      </w:r>
      <w:r>
        <w:rPr>
          <w:rFonts w:ascii="Times" w:hAnsi="Times"/>
          <w:lang w:val="en-US"/>
        </w:rPr>
        <w:t>M</w:t>
      </w:r>
      <w:r w:rsidR="00181C78">
        <w:rPr>
          <w:rFonts w:ascii="Times" w:hAnsi="Times"/>
          <w:lang w:val="en-US"/>
        </w:rPr>
        <w:t>.</w:t>
      </w:r>
      <w:r>
        <w:rPr>
          <w:rFonts w:ascii="Times" w:hAnsi="Times"/>
          <w:lang w:val="en-US"/>
        </w:rPr>
        <w:t xml:space="preserve"> contributed new reagents/analytical tools. All authors revised the manuscript critically for important intellectual content, and all authors have read and approved the final version to be published.  </w:t>
      </w:r>
    </w:p>
    <w:p w14:paraId="1EBD03E4" w14:textId="77777777" w:rsidR="00944A82" w:rsidRPr="00944A82" w:rsidRDefault="00944A82" w:rsidP="00CE03B7">
      <w:pPr>
        <w:spacing w:line="276" w:lineRule="auto"/>
        <w:rPr>
          <w:lang w:val="en-US"/>
        </w:rPr>
      </w:pPr>
      <w:r w:rsidRPr="00944A82">
        <w:rPr>
          <w:rStyle w:val="Strk"/>
          <w:color w:val="212121"/>
          <w:lang w:val="en-GB"/>
        </w:rPr>
        <w:t> </w:t>
      </w:r>
    </w:p>
    <w:p w14:paraId="544B0DA8" w14:textId="77777777" w:rsidR="00944A82" w:rsidRPr="00944A82" w:rsidRDefault="00944A82" w:rsidP="00CE03B7">
      <w:pPr>
        <w:spacing w:line="276" w:lineRule="auto"/>
        <w:rPr>
          <w:lang w:val="en-US"/>
        </w:rPr>
      </w:pPr>
      <w:r w:rsidRPr="00944A82">
        <w:rPr>
          <w:rStyle w:val="Strk"/>
          <w:color w:val="212121"/>
          <w:lang w:val="en-GB"/>
        </w:rPr>
        <w:t>Funding </w:t>
      </w:r>
    </w:p>
    <w:p w14:paraId="71F0B493" w14:textId="7A8D061C" w:rsidR="00BA3F88" w:rsidRDefault="00BA3F88" w:rsidP="00CE03B7">
      <w:pPr>
        <w:spacing w:line="276" w:lineRule="auto"/>
        <w:rPr>
          <w:rFonts w:ascii="Times" w:hAnsi="Times"/>
          <w:lang w:val="en-US"/>
        </w:rPr>
      </w:pPr>
      <w:r w:rsidRPr="00563803">
        <w:rPr>
          <w:rFonts w:ascii="Times" w:hAnsi="Times"/>
          <w:lang w:val="en-US"/>
        </w:rPr>
        <w:t>This research was funded by Lundbeck Foundation Fellowship (R307-2018-2980)</w:t>
      </w:r>
      <w:r w:rsidR="00264ED1">
        <w:rPr>
          <w:rFonts w:ascii="Times" w:hAnsi="Times"/>
          <w:lang w:val="en-US"/>
        </w:rPr>
        <w:t>.</w:t>
      </w:r>
    </w:p>
    <w:p w14:paraId="66602B94" w14:textId="0EDA90C6" w:rsidR="00944A82" w:rsidRPr="00944A82" w:rsidRDefault="00944A82" w:rsidP="00CE03B7">
      <w:pPr>
        <w:spacing w:line="276" w:lineRule="auto"/>
        <w:rPr>
          <w:lang w:val="en-US"/>
        </w:rPr>
      </w:pPr>
      <w:r w:rsidRPr="00944A82">
        <w:rPr>
          <w:lang w:val="en-GB"/>
        </w:rPr>
        <w:t> </w:t>
      </w:r>
    </w:p>
    <w:p w14:paraId="1274C807" w14:textId="77777777" w:rsidR="00944A82" w:rsidRPr="00944A82" w:rsidRDefault="00944A82" w:rsidP="00CE03B7">
      <w:pPr>
        <w:spacing w:line="276" w:lineRule="auto"/>
        <w:rPr>
          <w:lang w:val="en-US"/>
        </w:rPr>
      </w:pPr>
      <w:r w:rsidRPr="00944A82">
        <w:rPr>
          <w:rStyle w:val="Strk"/>
          <w:color w:val="212121"/>
          <w:lang w:val="en-GB"/>
        </w:rPr>
        <w:t>Availability of data and materials</w:t>
      </w:r>
      <w:r w:rsidRPr="00944A82">
        <w:rPr>
          <w:lang w:val="en-GB"/>
        </w:rPr>
        <w:t> </w:t>
      </w:r>
    </w:p>
    <w:p w14:paraId="6EC759D2" w14:textId="74F4D20E" w:rsidR="002C6E96" w:rsidRPr="004D26FA" w:rsidRDefault="002C6E96" w:rsidP="00CE03B7">
      <w:pPr>
        <w:spacing w:line="276" w:lineRule="auto"/>
        <w:rPr>
          <w:rFonts w:ascii="Times" w:hAnsi="Times"/>
          <w:lang w:val="en-US"/>
        </w:rPr>
      </w:pPr>
      <w:r w:rsidRPr="0030649D">
        <w:rPr>
          <w:color w:val="212121"/>
          <w:lang w:val="en-GB"/>
        </w:rPr>
        <w:t>Anonymized data are available from the authors upon reasonable request.</w:t>
      </w:r>
    </w:p>
    <w:p w14:paraId="02D80342" w14:textId="77777777" w:rsidR="004D26FA" w:rsidRDefault="004D26FA" w:rsidP="00CE03B7">
      <w:pPr>
        <w:spacing w:line="276" w:lineRule="auto"/>
        <w:rPr>
          <w:rFonts w:ascii="Times" w:hAnsi="Times"/>
          <w:lang w:val="en-US"/>
        </w:rPr>
      </w:pPr>
    </w:p>
    <w:p w14:paraId="44CB783E" w14:textId="16EC507A" w:rsidR="00DF1BC1" w:rsidRPr="003F53F6" w:rsidRDefault="0046049A" w:rsidP="00CE03B7">
      <w:pPr>
        <w:spacing w:line="276" w:lineRule="auto"/>
        <w:rPr>
          <w:rFonts w:ascii="Times" w:hAnsi="Times"/>
          <w:b/>
          <w:bCs/>
          <w:lang w:val="en-US"/>
        </w:rPr>
      </w:pPr>
      <w:r w:rsidRPr="003F53F6">
        <w:rPr>
          <w:rFonts w:ascii="Times" w:hAnsi="Times"/>
          <w:b/>
          <w:bCs/>
          <w:lang w:val="en-US"/>
        </w:rPr>
        <w:t>Acknowledgments</w:t>
      </w:r>
    </w:p>
    <w:p w14:paraId="1FB561EF" w14:textId="6F2B60E3" w:rsidR="004B5DF9" w:rsidRDefault="00C75595" w:rsidP="00CE03B7">
      <w:pPr>
        <w:spacing w:line="276" w:lineRule="auto"/>
        <w:rPr>
          <w:rFonts w:ascii="Times" w:hAnsi="Times"/>
          <w:lang w:val="en-US"/>
        </w:rPr>
      </w:pPr>
      <w:r>
        <w:rPr>
          <w:rFonts w:ascii="Times" w:hAnsi="Times"/>
          <w:lang w:val="en-US"/>
        </w:rPr>
        <w:t>We thank the patients who actively p</w:t>
      </w:r>
      <w:r w:rsidR="00904BA0">
        <w:rPr>
          <w:rFonts w:ascii="Times" w:hAnsi="Times"/>
          <w:lang w:val="en-US"/>
        </w:rPr>
        <w:t xml:space="preserve">rovided </w:t>
      </w:r>
      <w:r w:rsidR="000353AD">
        <w:rPr>
          <w:rFonts w:ascii="Times" w:hAnsi="Times"/>
          <w:lang w:val="en-US"/>
        </w:rPr>
        <w:t>input</w:t>
      </w:r>
      <w:r w:rsidR="00904BA0">
        <w:rPr>
          <w:rFonts w:ascii="Times" w:hAnsi="Times"/>
          <w:lang w:val="en-US"/>
        </w:rPr>
        <w:t xml:space="preserve"> and feedback for the clinical pharmacokinetic trial. </w:t>
      </w:r>
      <w:r w:rsidR="00EC791E">
        <w:rPr>
          <w:rFonts w:ascii="Times" w:hAnsi="Times"/>
          <w:lang w:val="en-US"/>
        </w:rPr>
        <w:t>We thank the p</w:t>
      </w:r>
      <w:r w:rsidR="007038AA">
        <w:rPr>
          <w:rFonts w:ascii="Times" w:hAnsi="Times"/>
          <w:lang w:val="en-US"/>
        </w:rPr>
        <w:t xml:space="preserve">atients, nurses, </w:t>
      </w:r>
      <w:r w:rsidR="00EC791E">
        <w:rPr>
          <w:rFonts w:ascii="Times" w:hAnsi="Times"/>
          <w:lang w:val="en-US"/>
        </w:rPr>
        <w:t xml:space="preserve">and </w:t>
      </w:r>
      <w:r w:rsidR="007038AA">
        <w:rPr>
          <w:rFonts w:ascii="Times" w:hAnsi="Times"/>
          <w:lang w:val="en-US"/>
        </w:rPr>
        <w:t xml:space="preserve">doctors at </w:t>
      </w:r>
      <w:r w:rsidR="00EC791E">
        <w:rPr>
          <w:rFonts w:ascii="Times" w:hAnsi="Times"/>
          <w:lang w:val="en-US"/>
        </w:rPr>
        <w:t>the D</w:t>
      </w:r>
      <w:r w:rsidR="007038AA">
        <w:rPr>
          <w:rFonts w:ascii="Times" w:hAnsi="Times"/>
          <w:lang w:val="en-US"/>
        </w:rPr>
        <w:t>epartments</w:t>
      </w:r>
      <w:r w:rsidR="00EC791E">
        <w:rPr>
          <w:rFonts w:ascii="Times" w:hAnsi="Times"/>
          <w:lang w:val="en-US"/>
        </w:rPr>
        <w:t xml:space="preserve"> of Rheumatology</w:t>
      </w:r>
      <w:r w:rsidR="007038AA">
        <w:rPr>
          <w:rFonts w:ascii="Times" w:hAnsi="Times"/>
          <w:lang w:val="en-US"/>
        </w:rPr>
        <w:t xml:space="preserve"> who participated in recruiting patients. </w:t>
      </w:r>
      <w:r w:rsidR="006043FE">
        <w:rPr>
          <w:rFonts w:ascii="Times" w:hAnsi="Times"/>
          <w:lang w:val="en-US"/>
        </w:rPr>
        <w:t xml:space="preserve">We thank </w:t>
      </w:r>
      <w:proofErr w:type="spellStart"/>
      <w:r w:rsidR="006043FE">
        <w:rPr>
          <w:rFonts w:ascii="Times" w:hAnsi="Times"/>
          <w:lang w:val="en-US"/>
        </w:rPr>
        <w:t>Birgitte</w:t>
      </w:r>
      <w:proofErr w:type="spellEnd"/>
      <w:r w:rsidR="006043FE">
        <w:rPr>
          <w:rFonts w:ascii="Times" w:hAnsi="Times"/>
          <w:lang w:val="en-US"/>
        </w:rPr>
        <w:t xml:space="preserve"> </w:t>
      </w:r>
      <w:proofErr w:type="spellStart"/>
      <w:r w:rsidR="006043FE">
        <w:rPr>
          <w:rFonts w:ascii="Times" w:hAnsi="Times"/>
          <w:lang w:val="en-US"/>
        </w:rPr>
        <w:t>Damby</w:t>
      </w:r>
      <w:proofErr w:type="spellEnd"/>
      <w:r w:rsidR="006043FE">
        <w:rPr>
          <w:rFonts w:ascii="Times" w:hAnsi="Times"/>
          <w:lang w:val="en-US"/>
        </w:rPr>
        <w:t xml:space="preserve"> </w:t>
      </w:r>
      <w:proofErr w:type="spellStart"/>
      <w:r w:rsidR="006043FE">
        <w:rPr>
          <w:rFonts w:ascii="Times" w:hAnsi="Times"/>
          <w:lang w:val="en-US"/>
        </w:rPr>
        <w:t>Sørensen</w:t>
      </w:r>
      <w:proofErr w:type="spellEnd"/>
      <w:r w:rsidR="006043FE">
        <w:rPr>
          <w:rFonts w:ascii="Times" w:hAnsi="Times"/>
          <w:lang w:val="en-US"/>
        </w:rPr>
        <w:t xml:space="preserve">, Rasmus Andersen, </w:t>
      </w:r>
      <w:r w:rsidR="00780A97">
        <w:rPr>
          <w:rFonts w:ascii="Times" w:hAnsi="Times"/>
          <w:lang w:val="en-US"/>
        </w:rPr>
        <w:t xml:space="preserve">Jan Beyer, </w:t>
      </w:r>
      <w:r w:rsidR="006043FE">
        <w:rPr>
          <w:rFonts w:ascii="Times" w:hAnsi="Times"/>
          <w:lang w:val="en-US"/>
        </w:rPr>
        <w:t xml:space="preserve">Sara </w:t>
      </w:r>
      <w:proofErr w:type="spellStart"/>
      <w:r w:rsidR="006043FE">
        <w:rPr>
          <w:rFonts w:ascii="Times" w:hAnsi="Times"/>
          <w:lang w:val="en-US"/>
        </w:rPr>
        <w:t>Egsgaard</w:t>
      </w:r>
      <w:proofErr w:type="spellEnd"/>
      <w:r w:rsidR="006043FE">
        <w:rPr>
          <w:rFonts w:ascii="Times" w:hAnsi="Times"/>
          <w:lang w:val="en-US"/>
        </w:rPr>
        <w:t xml:space="preserve">, and Camilla </w:t>
      </w:r>
      <w:proofErr w:type="spellStart"/>
      <w:r w:rsidR="006043FE">
        <w:rPr>
          <w:rFonts w:ascii="Times" w:hAnsi="Times"/>
          <w:lang w:val="en-US"/>
        </w:rPr>
        <w:t>Davidsen</w:t>
      </w:r>
      <w:proofErr w:type="spellEnd"/>
      <w:r w:rsidR="006043FE">
        <w:rPr>
          <w:rFonts w:ascii="Times" w:hAnsi="Times"/>
          <w:lang w:val="en-US"/>
        </w:rPr>
        <w:t xml:space="preserve"> for their hard work in planning and performing the analysis. </w:t>
      </w:r>
      <w:r w:rsidR="002078FF">
        <w:rPr>
          <w:rFonts w:ascii="Times" w:hAnsi="Times"/>
          <w:lang w:val="en-US"/>
        </w:rPr>
        <w:t>We thank OPEN, Open Patient data Explorative Network, Odense University Hospital, Region of Southern Denmark, for support and facilities for hosting the clinical trial data and case report form (CRF). Lastly, we acknowledge the</w:t>
      </w:r>
      <w:r w:rsidR="00EB37C0">
        <w:rPr>
          <w:rFonts w:ascii="Times" w:hAnsi="Times"/>
          <w:lang w:val="en-US"/>
        </w:rPr>
        <w:t xml:space="preserve"> </w:t>
      </w:r>
      <w:r w:rsidR="00D544C3">
        <w:rPr>
          <w:rFonts w:ascii="Times" w:hAnsi="Times"/>
          <w:lang w:val="en-US"/>
        </w:rPr>
        <w:t>clinical quality data</w:t>
      </w:r>
      <w:r w:rsidR="004D128B">
        <w:rPr>
          <w:rFonts w:ascii="Times" w:hAnsi="Times"/>
          <w:lang w:val="en-US"/>
        </w:rPr>
        <w:t>base</w:t>
      </w:r>
      <w:r w:rsidR="00D544C3">
        <w:rPr>
          <w:rFonts w:ascii="Times" w:hAnsi="Times"/>
          <w:lang w:val="en-US"/>
        </w:rPr>
        <w:t xml:space="preserve"> DANBIO</w:t>
      </w:r>
      <w:r w:rsidR="000353AD">
        <w:rPr>
          <w:rFonts w:ascii="Times" w:hAnsi="Times"/>
          <w:lang w:val="en-US"/>
        </w:rPr>
        <w:t>.</w:t>
      </w:r>
    </w:p>
    <w:p w14:paraId="34CD4FED" w14:textId="77777777" w:rsidR="004D26FA" w:rsidRDefault="004D26FA">
      <w:pPr>
        <w:rPr>
          <w:rFonts w:ascii="Times" w:hAnsi="Times"/>
          <w:b/>
          <w:bCs/>
          <w:lang w:val="en-US"/>
        </w:rPr>
      </w:pPr>
      <w:r>
        <w:rPr>
          <w:rFonts w:ascii="Times" w:hAnsi="Times"/>
          <w:b/>
          <w:bCs/>
          <w:lang w:val="en-US"/>
        </w:rPr>
        <w:br w:type="page"/>
      </w:r>
    </w:p>
    <w:p w14:paraId="30C132C1" w14:textId="5800E13A" w:rsidR="0046049A" w:rsidRPr="00BF3125" w:rsidRDefault="00D949B7" w:rsidP="009A2F16">
      <w:pPr>
        <w:spacing w:line="360" w:lineRule="auto"/>
        <w:jc w:val="both"/>
        <w:rPr>
          <w:rFonts w:ascii="Times" w:hAnsi="Times"/>
          <w:b/>
          <w:bCs/>
          <w:lang w:val="en-US"/>
        </w:rPr>
      </w:pPr>
      <w:r>
        <w:rPr>
          <w:rFonts w:ascii="Times" w:hAnsi="Times"/>
          <w:b/>
          <w:bCs/>
          <w:lang w:val="en-US"/>
        </w:rPr>
        <w:lastRenderedPageBreak/>
        <w:t>REFERENCES</w:t>
      </w:r>
    </w:p>
    <w:p w14:paraId="251F89DC" w14:textId="77777777" w:rsidR="00137A8C" w:rsidRPr="00137A8C" w:rsidRDefault="003B51CF" w:rsidP="00137A8C">
      <w:pPr>
        <w:widowControl w:val="0"/>
        <w:autoSpaceDE w:val="0"/>
        <w:autoSpaceDN w:val="0"/>
        <w:adjustRightInd w:val="0"/>
        <w:rPr>
          <w:rFonts w:ascii="Times" w:hAnsi="Times" w:cs="Times"/>
          <w:lang w:val="en-US"/>
        </w:rPr>
      </w:pPr>
      <w:r>
        <w:rPr>
          <w:rFonts w:asciiTheme="minorHAnsi" w:hAnsiTheme="minorHAnsi"/>
        </w:rPr>
        <w:fldChar w:fldCharType="begin"/>
      </w:r>
      <w:r w:rsidR="00FF3D4D">
        <w:rPr>
          <w:lang w:val="en-US"/>
        </w:rPr>
        <w:instrText xml:space="preserve"> ADDIN ZOTERO_BIBL {"uncited":[],"omitted":[],"custom":[]} CSL_BIBLIOGRAPHY </w:instrText>
      </w:r>
      <w:r>
        <w:rPr>
          <w:rFonts w:asciiTheme="minorHAnsi" w:hAnsiTheme="minorHAnsi"/>
        </w:rPr>
        <w:fldChar w:fldCharType="separate"/>
      </w:r>
      <w:r w:rsidR="00137A8C" w:rsidRPr="00137A8C">
        <w:rPr>
          <w:rFonts w:ascii="Times" w:hAnsi="Times" w:cs="Times"/>
          <w:lang w:val="en-US"/>
        </w:rPr>
        <w:t>1.</w:t>
      </w:r>
      <w:r w:rsidR="00137A8C" w:rsidRPr="00137A8C">
        <w:rPr>
          <w:rFonts w:ascii="Times" w:hAnsi="Times" w:cs="Times"/>
          <w:lang w:val="en-US"/>
        </w:rPr>
        <w:tab/>
        <w:t xml:space="preserve">Gibofsky A. Epidemiology, Pathophysiology, and Diagnosis of Rheumatoid Arthritis: A Synopsis. Am J Manag Care. 2014 May;20(7 Suppl):S128-35. </w:t>
      </w:r>
    </w:p>
    <w:p w14:paraId="45F88155" w14:textId="77777777" w:rsidR="00137A8C" w:rsidRPr="00137A8C" w:rsidRDefault="00137A8C" w:rsidP="00137A8C">
      <w:pPr>
        <w:widowControl w:val="0"/>
        <w:autoSpaceDE w:val="0"/>
        <w:autoSpaceDN w:val="0"/>
        <w:adjustRightInd w:val="0"/>
        <w:rPr>
          <w:rFonts w:ascii="Times" w:hAnsi="Times" w:cs="Times"/>
          <w:lang w:val="en-US"/>
        </w:rPr>
      </w:pPr>
      <w:r w:rsidRPr="00137A8C">
        <w:rPr>
          <w:rFonts w:ascii="Times" w:hAnsi="Times" w:cs="Times"/>
          <w:lang w:val="en-US"/>
        </w:rPr>
        <w:t>2.</w:t>
      </w:r>
      <w:r w:rsidRPr="00137A8C">
        <w:rPr>
          <w:rFonts w:ascii="Times" w:hAnsi="Times" w:cs="Times"/>
          <w:lang w:val="en-US"/>
        </w:rPr>
        <w:tab/>
        <w:t xml:space="preserve">Nishimoto N, Terao K, Mima T, Nakahara H, Takagi N, Kakehi T. Mechanisms and pathologic significances in increase in serum interleukin-6 (IL-6) and soluble IL-6 receptor after administration of an anti–IL-6 receptor antibody, tocilizumab, in patients with rheumatoid arthritis and Castleman disease. Blood. 2008 Nov;112(10):3959–64. </w:t>
      </w:r>
    </w:p>
    <w:p w14:paraId="69866D7F" w14:textId="77777777" w:rsidR="00137A8C" w:rsidRPr="00137A8C" w:rsidRDefault="00137A8C" w:rsidP="00137A8C">
      <w:pPr>
        <w:widowControl w:val="0"/>
        <w:autoSpaceDE w:val="0"/>
        <w:autoSpaceDN w:val="0"/>
        <w:adjustRightInd w:val="0"/>
        <w:rPr>
          <w:rFonts w:ascii="Times" w:hAnsi="Times" w:cs="Times"/>
          <w:lang w:val="en-US"/>
        </w:rPr>
      </w:pPr>
      <w:r w:rsidRPr="00137A8C">
        <w:rPr>
          <w:rFonts w:ascii="Times" w:hAnsi="Times" w:cs="Times"/>
          <w:lang w:val="en-US"/>
        </w:rPr>
        <w:t>3.</w:t>
      </w:r>
      <w:r w:rsidRPr="00137A8C">
        <w:rPr>
          <w:rFonts w:ascii="Times" w:hAnsi="Times" w:cs="Times"/>
          <w:lang w:val="en-US"/>
        </w:rPr>
        <w:tab/>
        <w:t>Food and Drug Administration (FDA). Clinical Pharmacology and Biopharmaceutics Review(s). Application Number: 125276 [Internet]. [cited 2020 Nov 9]. Available from: https://www.accessdata.fda.gov/drugsatfda_docs/nda/2010/125276s000ClinPharmR.pdf</w:t>
      </w:r>
    </w:p>
    <w:p w14:paraId="6523963F" w14:textId="77777777" w:rsidR="00137A8C" w:rsidRPr="00137A8C" w:rsidRDefault="00137A8C" w:rsidP="00137A8C">
      <w:pPr>
        <w:widowControl w:val="0"/>
        <w:autoSpaceDE w:val="0"/>
        <w:autoSpaceDN w:val="0"/>
        <w:adjustRightInd w:val="0"/>
        <w:rPr>
          <w:rFonts w:ascii="Times" w:hAnsi="Times" w:cs="Times"/>
          <w:lang w:val="en-US"/>
        </w:rPr>
      </w:pPr>
      <w:r w:rsidRPr="00137A8C">
        <w:rPr>
          <w:rFonts w:ascii="Times" w:hAnsi="Times" w:cs="Times"/>
          <w:lang w:val="en-US"/>
        </w:rPr>
        <w:t>4.</w:t>
      </w:r>
      <w:r w:rsidRPr="00137A8C">
        <w:rPr>
          <w:rFonts w:ascii="Times" w:hAnsi="Times" w:cs="Times"/>
          <w:lang w:val="en-US"/>
        </w:rPr>
        <w:tab/>
        <w:t xml:space="preserve">Iversen DB, Andersen NE, Dalgård Dunvald AC, Pottegård A, Stage TB. Drug metabolism and drug transport of the 100 most prescribed oral drugs. Basic Clin Pharmacol Toxicol. 2022 Nov;131(5):311–24. </w:t>
      </w:r>
    </w:p>
    <w:p w14:paraId="2147EB6B" w14:textId="77777777" w:rsidR="00137A8C" w:rsidRPr="00E73615" w:rsidRDefault="00137A8C" w:rsidP="00137A8C">
      <w:pPr>
        <w:widowControl w:val="0"/>
        <w:autoSpaceDE w:val="0"/>
        <w:autoSpaceDN w:val="0"/>
        <w:adjustRightInd w:val="0"/>
        <w:rPr>
          <w:rFonts w:ascii="Times" w:hAnsi="Times" w:cs="Times"/>
          <w:lang w:val="en-US"/>
        </w:rPr>
      </w:pPr>
      <w:r w:rsidRPr="00137A8C">
        <w:rPr>
          <w:rFonts w:ascii="Times" w:hAnsi="Times" w:cs="Times"/>
          <w:lang w:val="en-US"/>
        </w:rPr>
        <w:t>5.</w:t>
      </w:r>
      <w:r w:rsidRPr="00137A8C">
        <w:rPr>
          <w:rFonts w:ascii="Times" w:hAnsi="Times" w:cs="Times"/>
          <w:lang w:val="en-US"/>
        </w:rPr>
        <w:tab/>
        <w:t xml:space="preserve">Dunvald AD, Järvinen E, Mortensen C, Stage TB. </w:t>
      </w:r>
      <w:r w:rsidRPr="00E73615">
        <w:rPr>
          <w:rFonts w:ascii="Times" w:hAnsi="Times" w:cs="Times"/>
          <w:lang w:val="en-US"/>
        </w:rPr>
        <w:t xml:space="preserve">Clinical and Molecular Perspectives on Inflammation‐Mediated Regulation of Drug Metabolism and Transport. Clin Pharmacol Ther. 2022 Aug;112(2):277–90. </w:t>
      </w:r>
    </w:p>
    <w:p w14:paraId="5F1F3D5D" w14:textId="77777777" w:rsidR="00137A8C" w:rsidRPr="00E73615" w:rsidRDefault="00137A8C" w:rsidP="00137A8C">
      <w:pPr>
        <w:widowControl w:val="0"/>
        <w:autoSpaceDE w:val="0"/>
        <w:autoSpaceDN w:val="0"/>
        <w:adjustRightInd w:val="0"/>
        <w:rPr>
          <w:rFonts w:ascii="Times" w:hAnsi="Times" w:cs="Times"/>
          <w:lang w:val="en-US"/>
        </w:rPr>
      </w:pPr>
      <w:r w:rsidRPr="00E73615">
        <w:rPr>
          <w:rFonts w:ascii="Times" w:hAnsi="Times" w:cs="Times"/>
          <w:lang w:val="en-US"/>
        </w:rPr>
        <w:t>6.</w:t>
      </w:r>
      <w:r w:rsidRPr="00E73615">
        <w:rPr>
          <w:rFonts w:ascii="Times" w:hAnsi="Times" w:cs="Times"/>
          <w:lang w:val="en-US"/>
        </w:rPr>
        <w:tab/>
        <w:t>European Medicines Agency (EMA). RoActemra Summary of Product Characteristics [Internet]. [cited 2020 Jul 31]. Available from: https://www.ema.europa.eu/en/documents/product-information/roactemra-epar-product-information_en.pdf</w:t>
      </w:r>
    </w:p>
    <w:p w14:paraId="4C81FC4A" w14:textId="77777777" w:rsidR="00137A8C" w:rsidRPr="00E73615" w:rsidRDefault="00137A8C" w:rsidP="00137A8C">
      <w:pPr>
        <w:widowControl w:val="0"/>
        <w:autoSpaceDE w:val="0"/>
        <w:autoSpaceDN w:val="0"/>
        <w:adjustRightInd w:val="0"/>
        <w:rPr>
          <w:rFonts w:ascii="Times" w:hAnsi="Times" w:cs="Times"/>
          <w:lang w:val="en-US"/>
        </w:rPr>
      </w:pPr>
      <w:r w:rsidRPr="00E73615">
        <w:rPr>
          <w:rFonts w:ascii="Times" w:hAnsi="Times" w:cs="Times"/>
          <w:lang w:val="en-US"/>
        </w:rPr>
        <w:t>7.</w:t>
      </w:r>
      <w:r w:rsidRPr="00E73615">
        <w:rPr>
          <w:rFonts w:ascii="Times" w:hAnsi="Times" w:cs="Times"/>
          <w:lang w:val="en-US"/>
        </w:rPr>
        <w:tab/>
        <w:t>European Medicines Agency (EMA). Kevzara Summary of Product Characteristics [Internet]. [cited 2020 Aug 17]. Available from: https://www.ema.europa.eu/en/documents/product-information/kevzara-epar-product-information_en.pdf</w:t>
      </w:r>
    </w:p>
    <w:p w14:paraId="31B8851D" w14:textId="77777777" w:rsidR="00137A8C" w:rsidRPr="00E73615" w:rsidRDefault="00137A8C" w:rsidP="00137A8C">
      <w:pPr>
        <w:widowControl w:val="0"/>
        <w:autoSpaceDE w:val="0"/>
        <w:autoSpaceDN w:val="0"/>
        <w:adjustRightInd w:val="0"/>
        <w:rPr>
          <w:rFonts w:ascii="Times" w:hAnsi="Times" w:cs="Times"/>
          <w:lang w:val="en-US"/>
        </w:rPr>
      </w:pPr>
      <w:r w:rsidRPr="00E73615">
        <w:rPr>
          <w:rFonts w:ascii="Times" w:hAnsi="Times" w:cs="Times"/>
          <w:lang w:val="en-US"/>
        </w:rPr>
        <w:t>8.</w:t>
      </w:r>
      <w:r w:rsidRPr="00E73615">
        <w:rPr>
          <w:rFonts w:ascii="Times" w:hAnsi="Times" w:cs="Times"/>
          <w:lang w:val="en-US"/>
        </w:rPr>
        <w:tab/>
        <w:t xml:space="preserve">Abdallah H, Hsu JC, Lu P, Fettner S, Zhang X, Douglass W, et al. Pharmacokinetic and Pharmacodynamic Analysis of Subcutaneous Tocilizumab in Patients With Rheumatoid Arthritis From 2 Randomized, Controlled Trials: SUMMACTA and BREVACTA. J Clin Pharmacol. 2017 Apr;57(4):459–68. </w:t>
      </w:r>
    </w:p>
    <w:p w14:paraId="0ED78866" w14:textId="77777777" w:rsidR="00137A8C" w:rsidRPr="00E73615" w:rsidRDefault="00137A8C" w:rsidP="00137A8C">
      <w:pPr>
        <w:widowControl w:val="0"/>
        <w:autoSpaceDE w:val="0"/>
        <w:autoSpaceDN w:val="0"/>
        <w:adjustRightInd w:val="0"/>
        <w:rPr>
          <w:rFonts w:ascii="Times" w:hAnsi="Times" w:cs="Times"/>
          <w:lang w:val="en-US"/>
        </w:rPr>
      </w:pPr>
      <w:r w:rsidRPr="00E73615">
        <w:rPr>
          <w:rFonts w:ascii="Times" w:hAnsi="Times" w:cs="Times"/>
          <w:lang w:val="en-US"/>
        </w:rPr>
        <w:t>9.</w:t>
      </w:r>
      <w:r w:rsidRPr="00E73615">
        <w:rPr>
          <w:rFonts w:ascii="Times" w:hAnsi="Times" w:cs="Times"/>
          <w:lang w:val="en-US"/>
        </w:rPr>
        <w:tab/>
        <w:t>Food and Drug Administration (FDA). Clinical Pharmacology and Biopharmaceuticals Review(s). Application Number: 761037Orig1s000 [Internet]. [cited 2020 Nov 10]. Available from: https://www.accessdata.fda.gov/drugsatfda_docs/nda/2017/761037Orig1s000ClinPharmR.pdf</w:t>
      </w:r>
    </w:p>
    <w:p w14:paraId="7D9862E1" w14:textId="77777777" w:rsidR="00137A8C" w:rsidRPr="00E73615" w:rsidRDefault="00137A8C" w:rsidP="00137A8C">
      <w:pPr>
        <w:widowControl w:val="0"/>
        <w:autoSpaceDE w:val="0"/>
        <w:autoSpaceDN w:val="0"/>
        <w:adjustRightInd w:val="0"/>
        <w:rPr>
          <w:rFonts w:ascii="Times" w:hAnsi="Times" w:cs="Times"/>
          <w:lang w:val="en-US"/>
        </w:rPr>
      </w:pPr>
      <w:r w:rsidRPr="00137A8C">
        <w:rPr>
          <w:rFonts w:ascii="Times" w:hAnsi="Times" w:cs="Times"/>
        </w:rPr>
        <w:t>10.</w:t>
      </w:r>
      <w:r w:rsidRPr="00137A8C">
        <w:rPr>
          <w:rFonts w:ascii="Times" w:hAnsi="Times" w:cs="Times"/>
        </w:rPr>
        <w:tab/>
        <w:t xml:space="preserve">Clarivet B, Robin P, Pers YM, Ferreira R, Lebrun J, Jorgensen C, et al. </w:t>
      </w:r>
      <w:r w:rsidRPr="00E73615">
        <w:rPr>
          <w:rFonts w:ascii="Times" w:hAnsi="Times" w:cs="Times"/>
          <w:lang w:val="en-US"/>
        </w:rPr>
        <w:t xml:space="preserve">Tocilizumab and mesenteric arterial thrombosis: drug-drug interaction with anticoagulants metabolized by CYP 450 and/or by P-glycoprotein. Eur J Clin Pharmacol. 2016 Nov;72(11):1413–4. </w:t>
      </w:r>
    </w:p>
    <w:p w14:paraId="5A1649EC" w14:textId="77777777" w:rsidR="00137A8C" w:rsidRPr="00E73615" w:rsidRDefault="00137A8C" w:rsidP="00137A8C">
      <w:pPr>
        <w:widowControl w:val="0"/>
        <w:autoSpaceDE w:val="0"/>
        <w:autoSpaceDN w:val="0"/>
        <w:adjustRightInd w:val="0"/>
        <w:rPr>
          <w:rFonts w:ascii="Times" w:hAnsi="Times" w:cs="Times"/>
          <w:lang w:val="en-US"/>
        </w:rPr>
      </w:pPr>
      <w:r w:rsidRPr="00E73615">
        <w:rPr>
          <w:rFonts w:ascii="Times" w:hAnsi="Times" w:cs="Times"/>
          <w:lang w:val="en-US"/>
        </w:rPr>
        <w:t>11.</w:t>
      </w:r>
      <w:r w:rsidRPr="00E73615">
        <w:rPr>
          <w:rFonts w:ascii="Times" w:hAnsi="Times" w:cs="Times"/>
          <w:lang w:val="en-US"/>
        </w:rPr>
        <w:tab/>
        <w:t xml:space="preserve">Mimura H, Kobayashi K, Xu L, Hashimoto M, Ejiri Y, Hosoda M, et al. Effects of cytokines on CYP3A4 expression and reversal of the effects by anti-cytokine agents in the three-dimensionally cultured human hepatoma cell line FLC-4. Drug Metab Pharmacokinet. 2015 Feb;30(1):105–10. </w:t>
      </w:r>
    </w:p>
    <w:p w14:paraId="241ECA10" w14:textId="77777777" w:rsidR="00137A8C" w:rsidRPr="00E73615" w:rsidRDefault="00137A8C" w:rsidP="00137A8C">
      <w:pPr>
        <w:widowControl w:val="0"/>
        <w:autoSpaceDE w:val="0"/>
        <w:autoSpaceDN w:val="0"/>
        <w:adjustRightInd w:val="0"/>
        <w:rPr>
          <w:rFonts w:ascii="Times" w:hAnsi="Times" w:cs="Times"/>
          <w:lang w:val="en-US"/>
        </w:rPr>
      </w:pPr>
      <w:r w:rsidRPr="00E73615">
        <w:rPr>
          <w:rFonts w:ascii="Times" w:hAnsi="Times" w:cs="Times"/>
          <w:lang w:val="en-US"/>
        </w:rPr>
        <w:t>12.</w:t>
      </w:r>
      <w:r w:rsidRPr="00E73615">
        <w:rPr>
          <w:rFonts w:ascii="Times" w:hAnsi="Times" w:cs="Times"/>
          <w:lang w:val="en-US"/>
        </w:rPr>
        <w:tab/>
        <w:t xml:space="preserve">Schmitt C, Kuhn B, Zhang X, Kivitz AJ, Grange S. Disease–Drug–Drug Interaction Involving Tocilizumab and Simvastatin in Patients With Rheumatoid Arthritis. Clin Pharmacol Ther. 2011 May;89(5):735–40. </w:t>
      </w:r>
    </w:p>
    <w:p w14:paraId="4C3A8DCC" w14:textId="77777777" w:rsidR="00137A8C" w:rsidRPr="00E73615" w:rsidRDefault="00137A8C" w:rsidP="00137A8C">
      <w:pPr>
        <w:widowControl w:val="0"/>
        <w:autoSpaceDE w:val="0"/>
        <w:autoSpaceDN w:val="0"/>
        <w:adjustRightInd w:val="0"/>
        <w:rPr>
          <w:rFonts w:ascii="Times" w:hAnsi="Times" w:cs="Times"/>
          <w:lang w:val="en-US"/>
        </w:rPr>
      </w:pPr>
      <w:r w:rsidRPr="00E73615">
        <w:rPr>
          <w:rFonts w:ascii="Times" w:hAnsi="Times" w:cs="Times"/>
          <w:lang w:val="en-US"/>
        </w:rPr>
        <w:t>13.</w:t>
      </w:r>
      <w:r w:rsidRPr="00E73615">
        <w:rPr>
          <w:rFonts w:ascii="Times" w:hAnsi="Times" w:cs="Times"/>
          <w:lang w:val="en-US"/>
        </w:rPr>
        <w:tab/>
        <w:t xml:space="preserve">Lee EB, Daskalakis N, Xu C, Paccaly A, Miller B, Fleischmann R, et al. Disease–Drug Interaction of Sarilumab and Simvastatin in Patients with Rheumatoid Arthritis. Clin Pharmacokinet. 2017 Jun;56(6):607–15. </w:t>
      </w:r>
    </w:p>
    <w:p w14:paraId="7D5E979C" w14:textId="77777777" w:rsidR="00137A8C" w:rsidRPr="00E73615" w:rsidRDefault="00137A8C" w:rsidP="00137A8C">
      <w:pPr>
        <w:widowControl w:val="0"/>
        <w:autoSpaceDE w:val="0"/>
        <w:autoSpaceDN w:val="0"/>
        <w:adjustRightInd w:val="0"/>
        <w:rPr>
          <w:rFonts w:ascii="Times" w:hAnsi="Times" w:cs="Times"/>
          <w:lang w:val="en-US"/>
        </w:rPr>
      </w:pPr>
      <w:r w:rsidRPr="00E73615">
        <w:rPr>
          <w:rFonts w:ascii="Times" w:hAnsi="Times" w:cs="Times"/>
          <w:lang w:val="en-US"/>
        </w:rPr>
        <w:t>14.</w:t>
      </w:r>
      <w:r w:rsidRPr="00E73615">
        <w:rPr>
          <w:rFonts w:ascii="Times" w:hAnsi="Times" w:cs="Times"/>
          <w:lang w:val="en-US"/>
        </w:rPr>
        <w:tab/>
        <w:t xml:space="preserve">Keller GA, Gago MLF, Diez RA, Di Girolamo G. In vivo Phenotyping Methods: Cytochrome P450 Probes with Emphasis on the Cocktail Approach. Curr Pharm Des. 2017;23(14):2035–49. </w:t>
      </w:r>
    </w:p>
    <w:p w14:paraId="30EB26F8" w14:textId="77777777" w:rsidR="00137A8C" w:rsidRPr="00E73615" w:rsidRDefault="00137A8C" w:rsidP="00137A8C">
      <w:pPr>
        <w:widowControl w:val="0"/>
        <w:autoSpaceDE w:val="0"/>
        <w:autoSpaceDN w:val="0"/>
        <w:adjustRightInd w:val="0"/>
        <w:rPr>
          <w:rFonts w:ascii="Times" w:hAnsi="Times" w:cs="Times"/>
          <w:lang w:val="en-US"/>
        </w:rPr>
      </w:pPr>
      <w:r w:rsidRPr="00E73615">
        <w:rPr>
          <w:rFonts w:ascii="Times" w:hAnsi="Times" w:cs="Times"/>
          <w:lang w:val="en-US"/>
        </w:rPr>
        <w:t>15.</w:t>
      </w:r>
      <w:r w:rsidRPr="00E73615">
        <w:rPr>
          <w:rFonts w:ascii="Times" w:hAnsi="Times" w:cs="Times"/>
          <w:lang w:val="en-US"/>
        </w:rPr>
        <w:tab/>
        <w:t>Diczfalusy U, Nylén H, Elander P, Bertilsson L. 4</w:t>
      </w:r>
      <w:r w:rsidRPr="00137A8C">
        <w:rPr>
          <w:rFonts w:ascii="Times" w:hAnsi="Times" w:cs="Times"/>
        </w:rPr>
        <w:t>β</w:t>
      </w:r>
      <w:r w:rsidRPr="00E73615">
        <w:rPr>
          <w:rFonts w:ascii="Times" w:hAnsi="Times" w:cs="Times"/>
          <w:lang w:val="en-US"/>
        </w:rPr>
        <w:t>-hydroxycholesterol, an endogenous marker of CYP3A4/5 activity in humans: 4</w:t>
      </w:r>
      <w:r w:rsidRPr="00137A8C">
        <w:rPr>
          <w:rFonts w:ascii="Times" w:hAnsi="Times" w:cs="Times"/>
        </w:rPr>
        <w:t>β</w:t>
      </w:r>
      <w:r w:rsidRPr="00E73615">
        <w:rPr>
          <w:rFonts w:ascii="Times" w:hAnsi="Times" w:cs="Times"/>
          <w:lang w:val="en-US"/>
        </w:rPr>
        <w:t xml:space="preserve">-hydroxycholesterol, an endogenous </w:t>
      </w:r>
      <w:r w:rsidRPr="00E73615">
        <w:rPr>
          <w:rFonts w:ascii="Times" w:hAnsi="Times" w:cs="Times"/>
          <w:lang w:val="en-US"/>
        </w:rPr>
        <w:lastRenderedPageBreak/>
        <w:t xml:space="preserve">marker of CYP3A4/5 activity. Br J Clin Pharmacol. 2011 Feb;71(2):183–9. </w:t>
      </w:r>
    </w:p>
    <w:p w14:paraId="4842D621" w14:textId="77777777" w:rsidR="00137A8C" w:rsidRPr="00137A8C" w:rsidRDefault="00137A8C" w:rsidP="00137A8C">
      <w:pPr>
        <w:widowControl w:val="0"/>
        <w:autoSpaceDE w:val="0"/>
        <w:autoSpaceDN w:val="0"/>
        <w:adjustRightInd w:val="0"/>
        <w:rPr>
          <w:rFonts w:ascii="Times" w:hAnsi="Times" w:cs="Times"/>
        </w:rPr>
      </w:pPr>
      <w:r w:rsidRPr="00E73615">
        <w:rPr>
          <w:rFonts w:ascii="Times" w:hAnsi="Times" w:cs="Times"/>
          <w:lang w:val="en-US"/>
        </w:rPr>
        <w:t>16.</w:t>
      </w:r>
      <w:r w:rsidRPr="00E73615">
        <w:rPr>
          <w:rFonts w:ascii="Times" w:hAnsi="Times" w:cs="Times"/>
          <w:lang w:val="en-US"/>
        </w:rPr>
        <w:tab/>
        <w:t xml:space="preserve">Björkhem-Bergman L, Bäckström T, Nylén H, Rönquist-Nii Y, Bredberg E, Andersson TB, et al. Comparison of Endogenous 4 </w:t>
      </w:r>
      <w:r w:rsidRPr="00137A8C">
        <w:rPr>
          <w:rFonts w:ascii="Times" w:hAnsi="Times" w:cs="Times"/>
          <w:i/>
          <w:iCs/>
        </w:rPr>
        <w:t>β</w:t>
      </w:r>
      <w:r w:rsidRPr="00E73615">
        <w:rPr>
          <w:rFonts w:ascii="Times" w:hAnsi="Times" w:cs="Times"/>
          <w:lang w:val="en-US"/>
        </w:rPr>
        <w:t xml:space="preserve"> -Hydroxycholesterol with Midazolam as Markers for CYP3A4 Induction by Rifampicin. </w:t>
      </w:r>
      <w:r w:rsidRPr="00137A8C">
        <w:rPr>
          <w:rFonts w:ascii="Times" w:hAnsi="Times" w:cs="Times"/>
        </w:rPr>
        <w:t xml:space="preserve">Drug Metab Dispos. 2013 Aug;41(8):1488–93. </w:t>
      </w:r>
    </w:p>
    <w:p w14:paraId="471D8841" w14:textId="77777777" w:rsidR="00137A8C" w:rsidRPr="00E73615" w:rsidRDefault="00137A8C" w:rsidP="00137A8C">
      <w:pPr>
        <w:widowControl w:val="0"/>
        <w:autoSpaceDE w:val="0"/>
        <w:autoSpaceDN w:val="0"/>
        <w:adjustRightInd w:val="0"/>
        <w:rPr>
          <w:rFonts w:ascii="Times" w:hAnsi="Times" w:cs="Times"/>
          <w:lang w:val="en-US"/>
        </w:rPr>
      </w:pPr>
      <w:r w:rsidRPr="00137A8C">
        <w:rPr>
          <w:rFonts w:ascii="Times" w:hAnsi="Times" w:cs="Times"/>
        </w:rPr>
        <w:t>17.</w:t>
      </w:r>
      <w:r w:rsidRPr="00137A8C">
        <w:rPr>
          <w:rFonts w:ascii="Times" w:hAnsi="Times" w:cs="Times"/>
        </w:rPr>
        <w:tab/>
        <w:t xml:space="preserve">Donzelli M, Derungs A, Serratore MG, Noppen C, Nezic L, Krähenbühl S, et al. </w:t>
      </w:r>
      <w:r w:rsidRPr="00E73615">
        <w:rPr>
          <w:rFonts w:ascii="Times" w:hAnsi="Times" w:cs="Times"/>
          <w:lang w:val="en-US"/>
        </w:rPr>
        <w:t xml:space="preserve">The Basel Cocktail for Simultaneous Phenotyping of Human Cytochrome P450 Isoforms in Plasma, Saliva and Dried Blood Spots. Clin Pharmacokinet. 2014 Mar;53(3):271–82. </w:t>
      </w:r>
    </w:p>
    <w:p w14:paraId="5300FE67" w14:textId="77777777" w:rsidR="00137A8C" w:rsidRPr="00E73615" w:rsidRDefault="00137A8C" w:rsidP="00137A8C">
      <w:pPr>
        <w:widowControl w:val="0"/>
        <w:autoSpaceDE w:val="0"/>
        <w:autoSpaceDN w:val="0"/>
        <w:adjustRightInd w:val="0"/>
        <w:rPr>
          <w:rFonts w:ascii="Times" w:hAnsi="Times" w:cs="Times"/>
          <w:lang w:val="en-US"/>
        </w:rPr>
      </w:pPr>
      <w:r w:rsidRPr="00E73615">
        <w:rPr>
          <w:rFonts w:ascii="Times" w:hAnsi="Times" w:cs="Times"/>
          <w:lang w:val="en-US"/>
        </w:rPr>
        <w:t>18.</w:t>
      </w:r>
      <w:r w:rsidRPr="00E73615">
        <w:rPr>
          <w:rFonts w:ascii="Times" w:hAnsi="Times" w:cs="Times"/>
          <w:lang w:val="en-US"/>
        </w:rPr>
        <w:tab/>
        <w:t xml:space="preserve">Derungs A, Donzelli M, Berger B, Noppen C, Krähenbühl S, Haschke M. Effects of Cytochrome P450 Inhibition and Induction on the Phenotyping Metrics of the Basel Cocktail: A Randomized Crossover Study. Clin Pharmacokinet. 2016 Jan;55(1):79–91. </w:t>
      </w:r>
    </w:p>
    <w:p w14:paraId="682C989F" w14:textId="77777777" w:rsidR="00137A8C" w:rsidRPr="00E73615" w:rsidRDefault="00137A8C" w:rsidP="00137A8C">
      <w:pPr>
        <w:widowControl w:val="0"/>
        <w:autoSpaceDE w:val="0"/>
        <w:autoSpaceDN w:val="0"/>
        <w:adjustRightInd w:val="0"/>
        <w:rPr>
          <w:rFonts w:ascii="Times" w:hAnsi="Times" w:cs="Times"/>
          <w:lang w:val="en-US"/>
        </w:rPr>
      </w:pPr>
      <w:r w:rsidRPr="00E73615">
        <w:rPr>
          <w:rFonts w:ascii="Times" w:hAnsi="Times" w:cs="Times"/>
          <w:lang w:val="en-US"/>
        </w:rPr>
        <w:t>19.</w:t>
      </w:r>
      <w:r w:rsidRPr="00E73615">
        <w:rPr>
          <w:rFonts w:ascii="Times" w:hAnsi="Times" w:cs="Times"/>
          <w:lang w:val="en-US"/>
        </w:rPr>
        <w:tab/>
        <w:t xml:space="preserve">Ibfelt EH, Jensen D, Hetland ML. The Danish nationwide clinical register for patients with rheumatoid arthritis: DANBIO. Clin Epidemiol. 2016 Oct;Volume 8:737–42. </w:t>
      </w:r>
    </w:p>
    <w:p w14:paraId="11E7F87C" w14:textId="77777777" w:rsidR="00137A8C" w:rsidRPr="00E73615" w:rsidRDefault="00137A8C" w:rsidP="00137A8C">
      <w:pPr>
        <w:widowControl w:val="0"/>
        <w:autoSpaceDE w:val="0"/>
        <w:autoSpaceDN w:val="0"/>
        <w:adjustRightInd w:val="0"/>
        <w:rPr>
          <w:rFonts w:ascii="Times" w:hAnsi="Times" w:cs="Times"/>
          <w:lang w:val="en-US"/>
        </w:rPr>
      </w:pPr>
      <w:r w:rsidRPr="00E73615">
        <w:rPr>
          <w:rFonts w:ascii="Times" w:hAnsi="Times" w:cs="Times"/>
          <w:lang w:val="en-US"/>
        </w:rPr>
        <w:t>20.</w:t>
      </w:r>
      <w:r w:rsidRPr="00E73615">
        <w:rPr>
          <w:rFonts w:ascii="Times" w:hAnsi="Times" w:cs="Times"/>
          <w:lang w:val="en-US"/>
        </w:rPr>
        <w:tab/>
        <w:t xml:space="preserve">Kringelbach T, Glintborg B, Johansen J, Høgdall E, Hetland ML. The Nationwide Danish Rheumatologic Biobank – Paving The Road To Personalized Treatment of Patients with Inflammatory Rheumatic Diseases. Ann Rheum Dis. 2016 Jun;75(Suppl 2):1262.1-1262. </w:t>
      </w:r>
    </w:p>
    <w:p w14:paraId="0B347608" w14:textId="77777777" w:rsidR="00137A8C" w:rsidRPr="00137A8C" w:rsidRDefault="00137A8C" w:rsidP="00137A8C">
      <w:pPr>
        <w:widowControl w:val="0"/>
        <w:autoSpaceDE w:val="0"/>
        <w:autoSpaceDN w:val="0"/>
        <w:adjustRightInd w:val="0"/>
        <w:rPr>
          <w:rFonts w:ascii="Times" w:hAnsi="Times" w:cs="Times"/>
        </w:rPr>
      </w:pPr>
      <w:r w:rsidRPr="00E73615">
        <w:rPr>
          <w:rFonts w:ascii="Times" w:hAnsi="Times" w:cs="Times"/>
          <w:lang w:val="en-US"/>
        </w:rPr>
        <w:t>21.</w:t>
      </w:r>
      <w:r w:rsidRPr="00E73615">
        <w:rPr>
          <w:rFonts w:ascii="Times" w:hAnsi="Times" w:cs="Times"/>
          <w:lang w:val="en-US"/>
        </w:rPr>
        <w:tab/>
        <w:t xml:space="preserve">Kringelbach TM, Glintborg B, Hogdall EV, Johansen JS, Hetland ML. Identification of new biomarkers to promote personalised treatment of patients with inflammatory rheumatic disease: protocol for an open cohort study. </w:t>
      </w:r>
      <w:r w:rsidRPr="00137A8C">
        <w:rPr>
          <w:rFonts w:ascii="Times" w:hAnsi="Times" w:cs="Times"/>
        </w:rPr>
        <w:t xml:space="preserve">BMJ Open. 2018 Feb;8(2):e019325. </w:t>
      </w:r>
    </w:p>
    <w:p w14:paraId="76A0C13B" w14:textId="77777777" w:rsidR="00137A8C" w:rsidRPr="00E73615" w:rsidRDefault="00137A8C" w:rsidP="00137A8C">
      <w:pPr>
        <w:widowControl w:val="0"/>
        <w:autoSpaceDE w:val="0"/>
        <w:autoSpaceDN w:val="0"/>
        <w:adjustRightInd w:val="0"/>
        <w:rPr>
          <w:rFonts w:ascii="Times" w:hAnsi="Times" w:cs="Times"/>
          <w:lang w:val="en-US"/>
        </w:rPr>
      </w:pPr>
      <w:r w:rsidRPr="00137A8C">
        <w:rPr>
          <w:rFonts w:ascii="Times" w:hAnsi="Times" w:cs="Times"/>
        </w:rPr>
        <w:t>22.</w:t>
      </w:r>
      <w:r w:rsidRPr="00137A8C">
        <w:rPr>
          <w:rFonts w:ascii="Times" w:hAnsi="Times" w:cs="Times"/>
        </w:rPr>
        <w:tab/>
        <w:t xml:space="preserve">Dunvald AD, Nielsen F, Olsen DA, Ernst MT, Donnelly L, Soto‐Pedre E, et al. </w:t>
      </w:r>
      <w:r w:rsidRPr="00E73615">
        <w:rPr>
          <w:rFonts w:ascii="Times" w:hAnsi="Times" w:cs="Times"/>
          <w:lang w:val="en-US"/>
        </w:rPr>
        <w:t xml:space="preserve">Initiation of glucose‐lowering drugs reduces the anticoagulant effect of warfarin—But not through altered drug metabolism in patients with type 2 diabetes. Br J Clin Pharmacol. 2023;89(8):2529–41. </w:t>
      </w:r>
    </w:p>
    <w:p w14:paraId="1021FAB5" w14:textId="77777777" w:rsidR="00137A8C" w:rsidRPr="00E73615" w:rsidRDefault="00137A8C" w:rsidP="00137A8C">
      <w:pPr>
        <w:widowControl w:val="0"/>
        <w:autoSpaceDE w:val="0"/>
        <w:autoSpaceDN w:val="0"/>
        <w:adjustRightInd w:val="0"/>
        <w:rPr>
          <w:rFonts w:ascii="Times" w:hAnsi="Times" w:cs="Times"/>
          <w:lang w:val="en-US"/>
        </w:rPr>
      </w:pPr>
      <w:r w:rsidRPr="00E73615">
        <w:rPr>
          <w:rFonts w:ascii="Times" w:hAnsi="Times" w:cs="Times"/>
          <w:lang w:val="en-US"/>
        </w:rPr>
        <w:t>23.</w:t>
      </w:r>
      <w:r w:rsidRPr="00E73615">
        <w:rPr>
          <w:rFonts w:ascii="Times" w:hAnsi="Times" w:cs="Times"/>
          <w:lang w:val="en-US"/>
        </w:rPr>
        <w:tab/>
        <w:t xml:space="preserve">Stage TB, Graff M, Wong S, Rasmussen LL, Nielsen F, Pottegård A, et al. Dicloxacillin induces CYP2C19, CYP2C9 and CYP3A4 in vivo and in vitro. Br J Clin Pharmacol. 2018 Mar;84(3):510–9. </w:t>
      </w:r>
    </w:p>
    <w:p w14:paraId="029BB86A" w14:textId="77777777" w:rsidR="00137A8C" w:rsidRPr="00E73615" w:rsidRDefault="00137A8C" w:rsidP="00137A8C">
      <w:pPr>
        <w:widowControl w:val="0"/>
        <w:autoSpaceDE w:val="0"/>
        <w:autoSpaceDN w:val="0"/>
        <w:adjustRightInd w:val="0"/>
        <w:rPr>
          <w:rFonts w:ascii="Times" w:hAnsi="Times" w:cs="Times"/>
          <w:lang w:val="en-US"/>
        </w:rPr>
      </w:pPr>
      <w:r w:rsidRPr="00E73615">
        <w:rPr>
          <w:rFonts w:ascii="Times" w:hAnsi="Times" w:cs="Times"/>
          <w:lang w:val="en-US"/>
        </w:rPr>
        <w:t>24.</w:t>
      </w:r>
      <w:r w:rsidRPr="00E73615">
        <w:rPr>
          <w:rFonts w:ascii="Times" w:hAnsi="Times" w:cs="Times"/>
          <w:lang w:val="en-US"/>
        </w:rPr>
        <w:tab/>
        <w:t xml:space="preserve">Puris E, Pasanen M, Gynther M, Häkkinen MR, Pihlajamäki J, Keränen T, et al. A liquid chromatography-tandem mass spectrometry analysis of nine cytochrome P450 probe drugs and their corresponding metabolites in human serum and urine. Anal Bioanal Chem. 2017 Jan;409(1):251–68. </w:t>
      </w:r>
    </w:p>
    <w:p w14:paraId="2AFE7900" w14:textId="77777777" w:rsidR="00137A8C" w:rsidRPr="00E73615" w:rsidRDefault="00137A8C" w:rsidP="00137A8C">
      <w:pPr>
        <w:widowControl w:val="0"/>
        <w:autoSpaceDE w:val="0"/>
        <w:autoSpaceDN w:val="0"/>
        <w:adjustRightInd w:val="0"/>
        <w:rPr>
          <w:rFonts w:ascii="Times" w:hAnsi="Times" w:cs="Times"/>
          <w:lang w:val="en-US"/>
        </w:rPr>
      </w:pPr>
      <w:r w:rsidRPr="00E73615">
        <w:rPr>
          <w:rFonts w:ascii="Times" w:hAnsi="Times" w:cs="Times"/>
          <w:lang w:val="en-US"/>
        </w:rPr>
        <w:t>25.</w:t>
      </w:r>
      <w:r w:rsidRPr="00E73615">
        <w:rPr>
          <w:rFonts w:ascii="Times" w:hAnsi="Times" w:cs="Times"/>
          <w:lang w:val="en-US"/>
        </w:rPr>
        <w:tab/>
        <w:t xml:space="preserve">Tanaka S, Uchida S, Inui N, Takeuchi K, Watanabe H, Namiki N. Simultaneous LC-MS/MS Analysis of the Plasma Concentrations of a Cocktail of 5 Cytochrome P450 Substrate Drugs and Their Metabolites. Biol Pharm Bull. 2014;37(1):18–25. </w:t>
      </w:r>
    </w:p>
    <w:p w14:paraId="7F74BB35" w14:textId="77777777" w:rsidR="00137A8C" w:rsidRPr="00E73615" w:rsidRDefault="00137A8C" w:rsidP="00137A8C">
      <w:pPr>
        <w:widowControl w:val="0"/>
        <w:autoSpaceDE w:val="0"/>
        <w:autoSpaceDN w:val="0"/>
        <w:adjustRightInd w:val="0"/>
        <w:rPr>
          <w:rFonts w:ascii="Times" w:hAnsi="Times" w:cs="Times"/>
          <w:lang w:val="en-US"/>
        </w:rPr>
      </w:pPr>
      <w:r w:rsidRPr="00E73615">
        <w:rPr>
          <w:rFonts w:ascii="Times" w:hAnsi="Times" w:cs="Times"/>
          <w:lang w:val="en-US"/>
        </w:rPr>
        <w:t>26.</w:t>
      </w:r>
      <w:r w:rsidRPr="00E73615">
        <w:rPr>
          <w:rFonts w:ascii="Times" w:hAnsi="Times" w:cs="Times"/>
          <w:lang w:val="en-US"/>
        </w:rPr>
        <w:tab/>
        <w:t xml:space="preserve">Borggaard Larsen J, Borg Rasmussen J. Pharmacogenetic testing revisited: 5&amp;prime;nuclease real-time polymerase chain reaction test panels for genotyping CYP2D6 and CYP2C19. Pharmacogenomics Pers Med. 2017 Apr;10:115–28. </w:t>
      </w:r>
    </w:p>
    <w:p w14:paraId="3C3ED8AA" w14:textId="77777777" w:rsidR="00137A8C" w:rsidRPr="00137A8C" w:rsidRDefault="00137A8C" w:rsidP="00137A8C">
      <w:pPr>
        <w:widowControl w:val="0"/>
        <w:autoSpaceDE w:val="0"/>
        <w:autoSpaceDN w:val="0"/>
        <w:adjustRightInd w:val="0"/>
        <w:rPr>
          <w:rFonts w:ascii="Times" w:hAnsi="Times" w:cs="Times"/>
        </w:rPr>
      </w:pPr>
      <w:r w:rsidRPr="00E73615">
        <w:rPr>
          <w:rFonts w:ascii="Times" w:hAnsi="Times" w:cs="Times"/>
          <w:lang w:val="en-US"/>
        </w:rPr>
        <w:t>27.</w:t>
      </w:r>
      <w:r w:rsidRPr="00E73615">
        <w:rPr>
          <w:rFonts w:ascii="Times" w:hAnsi="Times" w:cs="Times"/>
          <w:lang w:val="en-US"/>
        </w:rPr>
        <w:tab/>
        <w:t>Hautajärvi H, Hukkanen J, Turpeinen M, Mattila S, Tolonen A. Quantitative analysis of 4</w:t>
      </w:r>
      <w:r w:rsidRPr="00137A8C">
        <w:rPr>
          <w:rFonts w:ascii="Times" w:hAnsi="Times" w:cs="Times"/>
        </w:rPr>
        <w:t>β</w:t>
      </w:r>
      <w:r w:rsidRPr="00E73615">
        <w:rPr>
          <w:rFonts w:ascii="Times" w:hAnsi="Times" w:cs="Times"/>
          <w:lang w:val="en-US"/>
        </w:rPr>
        <w:t>- and 4</w:t>
      </w:r>
      <w:r w:rsidRPr="00137A8C">
        <w:rPr>
          <w:rFonts w:ascii="Times" w:hAnsi="Times" w:cs="Times"/>
        </w:rPr>
        <w:t>α</w:t>
      </w:r>
      <w:r w:rsidRPr="00E73615">
        <w:rPr>
          <w:rFonts w:ascii="Times" w:hAnsi="Times" w:cs="Times"/>
          <w:lang w:val="en-US"/>
        </w:rPr>
        <w:t xml:space="preserve">‑hydroxycholesterol in human plasma and serum by UHPLC/ESI-HR-MS. </w:t>
      </w:r>
      <w:r w:rsidRPr="00137A8C">
        <w:rPr>
          <w:rFonts w:ascii="Times" w:hAnsi="Times" w:cs="Times"/>
        </w:rPr>
        <w:t xml:space="preserve">J Chromatogr B. 2018 Nov;1100–1101:179–86. </w:t>
      </w:r>
    </w:p>
    <w:p w14:paraId="520AC7B3" w14:textId="77777777" w:rsidR="00137A8C" w:rsidRPr="00E73615" w:rsidRDefault="00137A8C" w:rsidP="00137A8C">
      <w:pPr>
        <w:widowControl w:val="0"/>
        <w:autoSpaceDE w:val="0"/>
        <w:autoSpaceDN w:val="0"/>
        <w:adjustRightInd w:val="0"/>
        <w:rPr>
          <w:rFonts w:ascii="Times" w:hAnsi="Times" w:cs="Times"/>
          <w:lang w:val="en-US"/>
        </w:rPr>
      </w:pPr>
      <w:r w:rsidRPr="00137A8C">
        <w:rPr>
          <w:rFonts w:ascii="Times" w:hAnsi="Times" w:cs="Times"/>
        </w:rPr>
        <w:t>28.</w:t>
      </w:r>
      <w:r w:rsidRPr="00137A8C">
        <w:rPr>
          <w:rFonts w:ascii="Times" w:hAnsi="Times" w:cs="Times"/>
        </w:rPr>
        <w:tab/>
        <w:t xml:space="preserve">Dunvald AD, Iversen DB, Svendsen ALO, Agergaard K, Kuhlmann IB, Mortensen C, et al. </w:t>
      </w:r>
      <w:r w:rsidRPr="00E73615">
        <w:rPr>
          <w:rFonts w:ascii="Times" w:hAnsi="Times" w:cs="Times"/>
          <w:lang w:val="en-US"/>
        </w:rPr>
        <w:t xml:space="preserve">Tutorial: Statistical analysis and reporting of clinical pharmacokinetic studies. Clin Transl Sci. 2022 Aug;15(8):1856–66. </w:t>
      </w:r>
    </w:p>
    <w:p w14:paraId="029C04FC" w14:textId="77777777" w:rsidR="00137A8C" w:rsidRPr="00E73615" w:rsidRDefault="00137A8C" w:rsidP="00137A8C">
      <w:pPr>
        <w:widowControl w:val="0"/>
        <w:autoSpaceDE w:val="0"/>
        <w:autoSpaceDN w:val="0"/>
        <w:adjustRightInd w:val="0"/>
        <w:rPr>
          <w:rFonts w:ascii="Times" w:hAnsi="Times" w:cs="Times"/>
          <w:lang w:val="en-US"/>
        </w:rPr>
      </w:pPr>
      <w:r w:rsidRPr="00E73615">
        <w:rPr>
          <w:rFonts w:ascii="Times" w:hAnsi="Times" w:cs="Times"/>
          <w:lang w:val="en-US"/>
        </w:rPr>
        <w:t>29.</w:t>
      </w:r>
      <w:r w:rsidRPr="00E73615">
        <w:rPr>
          <w:rFonts w:ascii="Times" w:hAnsi="Times" w:cs="Times"/>
          <w:lang w:val="en-US"/>
        </w:rPr>
        <w:tab/>
        <w:t>Package “PKNCA”. Perform Pharmacokinetic Non-Compartmental Analysis. V.0.10.0 [Internet]. [cited 2022 Jul 14]. Available from: https://cran.r-project.org/web/packages/PKNCA/PKNCA.pdf</w:t>
      </w:r>
    </w:p>
    <w:p w14:paraId="3677DAB0" w14:textId="77777777" w:rsidR="00137A8C" w:rsidRPr="00137A8C" w:rsidRDefault="00137A8C" w:rsidP="00137A8C">
      <w:pPr>
        <w:widowControl w:val="0"/>
        <w:autoSpaceDE w:val="0"/>
        <w:autoSpaceDN w:val="0"/>
        <w:adjustRightInd w:val="0"/>
        <w:rPr>
          <w:rFonts w:ascii="Times" w:hAnsi="Times" w:cs="Times"/>
        </w:rPr>
      </w:pPr>
      <w:r w:rsidRPr="00137A8C">
        <w:rPr>
          <w:rFonts w:ascii="Times" w:hAnsi="Times" w:cs="Times"/>
        </w:rPr>
        <w:t>30.</w:t>
      </w:r>
      <w:r w:rsidRPr="00137A8C">
        <w:rPr>
          <w:rFonts w:ascii="Times" w:hAnsi="Times" w:cs="Times"/>
        </w:rPr>
        <w:tab/>
        <w:t xml:space="preserve">Smolen JS, Landewé RBM, Bijlsma JWJ, Burmester GR, Dougados M, Kerschbaumer A, et al. </w:t>
      </w:r>
      <w:r w:rsidRPr="00E73615">
        <w:rPr>
          <w:rFonts w:ascii="Times" w:hAnsi="Times" w:cs="Times"/>
          <w:lang w:val="en-US"/>
        </w:rPr>
        <w:t xml:space="preserve">EULAR recommendations for the management of rheumatoid arthritis with synthetic and biological disease-modifying antirheumatic drugs: 2019 update. </w:t>
      </w:r>
      <w:r w:rsidRPr="00137A8C">
        <w:rPr>
          <w:rFonts w:ascii="Times" w:hAnsi="Times" w:cs="Times"/>
        </w:rPr>
        <w:t xml:space="preserve">Ann Rheum Dis. 2020 Jun;79(6):685–99. </w:t>
      </w:r>
    </w:p>
    <w:p w14:paraId="2F0D730C" w14:textId="77777777" w:rsidR="00137A8C" w:rsidRPr="00E73615" w:rsidRDefault="00137A8C" w:rsidP="00137A8C">
      <w:pPr>
        <w:widowControl w:val="0"/>
        <w:autoSpaceDE w:val="0"/>
        <w:autoSpaceDN w:val="0"/>
        <w:adjustRightInd w:val="0"/>
        <w:rPr>
          <w:rFonts w:ascii="Times" w:hAnsi="Times" w:cs="Times"/>
          <w:lang w:val="en-US"/>
        </w:rPr>
      </w:pPr>
      <w:r w:rsidRPr="00137A8C">
        <w:rPr>
          <w:rFonts w:ascii="Times" w:hAnsi="Times" w:cs="Times"/>
        </w:rPr>
        <w:t>31.</w:t>
      </w:r>
      <w:r w:rsidRPr="00137A8C">
        <w:rPr>
          <w:rFonts w:ascii="Times" w:hAnsi="Times" w:cs="Times"/>
        </w:rPr>
        <w:tab/>
        <w:t xml:space="preserve">Medicinrådet. Medicinrådets lægemiddelrekommandation og behandlingsvejledning </w:t>
      </w:r>
      <w:r w:rsidRPr="00137A8C">
        <w:rPr>
          <w:rFonts w:ascii="Times" w:hAnsi="Times" w:cs="Times"/>
        </w:rPr>
        <w:lastRenderedPageBreak/>
        <w:t xml:space="preserve">vedrørende lægemidler til kronisk leddegigt. </w:t>
      </w:r>
      <w:r w:rsidRPr="00E73615">
        <w:rPr>
          <w:rFonts w:ascii="Times" w:hAnsi="Times" w:cs="Times"/>
          <w:lang w:val="en-US"/>
        </w:rPr>
        <w:t>Version 2.1 [Internet]. [cited 2021 Jul 1]. Available from: https://medicinraadet.dk/media/s04jkmnh/medicinr%C3%A5dets_l%C3%A6gemiddelrek-_og_behandlingsvejl-_vedr-_kronisk_leddegigt_-_vers-_2-1_adlegacy.pdf</w:t>
      </w:r>
    </w:p>
    <w:p w14:paraId="32036D6D" w14:textId="77777777" w:rsidR="00137A8C" w:rsidRPr="00E73615" w:rsidRDefault="00137A8C" w:rsidP="00137A8C">
      <w:pPr>
        <w:widowControl w:val="0"/>
        <w:autoSpaceDE w:val="0"/>
        <w:autoSpaceDN w:val="0"/>
        <w:adjustRightInd w:val="0"/>
        <w:rPr>
          <w:rFonts w:ascii="Times" w:hAnsi="Times" w:cs="Times"/>
          <w:lang w:val="en-US"/>
        </w:rPr>
      </w:pPr>
      <w:r w:rsidRPr="00137A8C">
        <w:rPr>
          <w:rFonts w:ascii="Times" w:hAnsi="Times" w:cs="Times"/>
        </w:rPr>
        <w:t>32.</w:t>
      </w:r>
      <w:r w:rsidRPr="00137A8C">
        <w:rPr>
          <w:rFonts w:ascii="Times" w:hAnsi="Times" w:cs="Times"/>
        </w:rPr>
        <w:tab/>
        <w:t xml:space="preserve">Medicinrådets lægemiddelrekommandation og behandlingsvejledning vedrørende lægemidler til kronisk leddegigt. </w:t>
      </w:r>
      <w:r w:rsidRPr="00E73615">
        <w:rPr>
          <w:rFonts w:ascii="Times" w:hAnsi="Times" w:cs="Times"/>
          <w:lang w:val="en-US"/>
        </w:rPr>
        <w:t>Version 2.2 [Internet]. [cited 2022 Sep 27]. Available from: https://medicinraadet.dk/media/nayjdwy2/medicinr%C3%A5dets_l%C3%A6gemiddelrek-_og_behandlingsvejl-_vedr-_kronisk_leddegigt-vers-_2-2_adlegacy.pdf</w:t>
      </w:r>
    </w:p>
    <w:p w14:paraId="4889AED0" w14:textId="77777777" w:rsidR="00137A8C" w:rsidRPr="00E73615" w:rsidRDefault="00137A8C" w:rsidP="00137A8C">
      <w:pPr>
        <w:widowControl w:val="0"/>
        <w:autoSpaceDE w:val="0"/>
        <w:autoSpaceDN w:val="0"/>
        <w:adjustRightInd w:val="0"/>
        <w:rPr>
          <w:rFonts w:ascii="Times" w:hAnsi="Times" w:cs="Times"/>
          <w:lang w:val="en-US"/>
        </w:rPr>
      </w:pPr>
      <w:r w:rsidRPr="00E73615">
        <w:rPr>
          <w:rFonts w:ascii="Times" w:hAnsi="Times" w:cs="Times"/>
          <w:lang w:val="en-US"/>
        </w:rPr>
        <w:t>33.</w:t>
      </w:r>
      <w:r w:rsidRPr="00E73615">
        <w:rPr>
          <w:rFonts w:ascii="Times" w:hAnsi="Times" w:cs="Times"/>
          <w:lang w:val="en-US"/>
        </w:rPr>
        <w:tab/>
        <w:t>humira-epar-product-information_en.pdf [Internet]. [cited 2021 Jul 1]. Available from: https://www.ema.europa.eu/en/documents/product-information/humira-epar-product-information_en.pdf</w:t>
      </w:r>
    </w:p>
    <w:p w14:paraId="65042E96" w14:textId="77777777" w:rsidR="00137A8C" w:rsidRPr="00E73615" w:rsidRDefault="00137A8C" w:rsidP="00137A8C">
      <w:pPr>
        <w:widowControl w:val="0"/>
        <w:autoSpaceDE w:val="0"/>
        <w:autoSpaceDN w:val="0"/>
        <w:adjustRightInd w:val="0"/>
        <w:rPr>
          <w:rFonts w:ascii="Times" w:hAnsi="Times" w:cs="Times"/>
          <w:lang w:val="en-US"/>
        </w:rPr>
      </w:pPr>
      <w:r w:rsidRPr="00E73615">
        <w:rPr>
          <w:rFonts w:ascii="Times" w:hAnsi="Times" w:cs="Times"/>
          <w:lang w:val="en-US"/>
        </w:rPr>
        <w:t>34.</w:t>
      </w:r>
      <w:r w:rsidRPr="00E73615">
        <w:rPr>
          <w:rFonts w:ascii="Times" w:hAnsi="Times" w:cs="Times"/>
          <w:lang w:val="en-US"/>
        </w:rPr>
        <w:tab/>
        <w:t xml:space="preserve">Gabay C, McInnes IB, Kavanaugh A, Tuckwell K, Klearman M, Pulley J, et al. Comparison of lipid and lipid-associated cardiovascular risk marker changes after treatment with tocilizumab or adalimumab in patients with rheumatoid arthritis. Ann Rheum Dis. 2016 Oct;75(10):1806–12. </w:t>
      </w:r>
    </w:p>
    <w:p w14:paraId="6C7C2634" w14:textId="77777777" w:rsidR="00137A8C" w:rsidRPr="00E73615" w:rsidRDefault="00137A8C" w:rsidP="00137A8C">
      <w:pPr>
        <w:widowControl w:val="0"/>
        <w:autoSpaceDE w:val="0"/>
        <w:autoSpaceDN w:val="0"/>
        <w:adjustRightInd w:val="0"/>
        <w:rPr>
          <w:rFonts w:ascii="Times" w:hAnsi="Times" w:cs="Times"/>
          <w:lang w:val="en-US"/>
        </w:rPr>
      </w:pPr>
      <w:r w:rsidRPr="00E73615">
        <w:rPr>
          <w:rFonts w:ascii="Times" w:hAnsi="Times" w:cs="Times"/>
          <w:lang w:val="en-US"/>
        </w:rPr>
        <w:t>35.</w:t>
      </w:r>
      <w:r w:rsidRPr="00E73615">
        <w:rPr>
          <w:rFonts w:ascii="Times" w:hAnsi="Times" w:cs="Times"/>
          <w:lang w:val="en-US"/>
        </w:rPr>
        <w:tab/>
        <w:t>Penzak SR, Rojas‐Fernandez C. 4</w:t>
      </w:r>
      <w:r w:rsidRPr="00137A8C">
        <w:rPr>
          <w:rFonts w:ascii="Times" w:hAnsi="Times" w:cs="Times"/>
        </w:rPr>
        <w:t>β</w:t>
      </w:r>
      <w:r w:rsidRPr="00E73615">
        <w:rPr>
          <w:rFonts w:ascii="Times" w:hAnsi="Times" w:cs="Times"/>
          <w:lang w:val="en-US"/>
        </w:rPr>
        <w:t xml:space="preserve">‐Hydroxycholesterol as an Endogenous Biomarker for CYP3A Activity: Literature Review and Critical Evaluation. J Clin Pharmacol. 2019 May;59(5):611–24. </w:t>
      </w:r>
    </w:p>
    <w:p w14:paraId="71D28070" w14:textId="77777777" w:rsidR="00137A8C" w:rsidRPr="00E73615" w:rsidRDefault="00137A8C" w:rsidP="00137A8C">
      <w:pPr>
        <w:widowControl w:val="0"/>
        <w:autoSpaceDE w:val="0"/>
        <w:autoSpaceDN w:val="0"/>
        <w:adjustRightInd w:val="0"/>
        <w:rPr>
          <w:rFonts w:ascii="Times" w:hAnsi="Times" w:cs="Times"/>
          <w:lang w:val="en-US"/>
        </w:rPr>
      </w:pPr>
      <w:r w:rsidRPr="00E73615">
        <w:rPr>
          <w:rFonts w:ascii="Times" w:hAnsi="Times" w:cs="Times"/>
          <w:lang w:val="en-US"/>
        </w:rPr>
        <w:t>36.</w:t>
      </w:r>
      <w:r w:rsidRPr="00E73615">
        <w:rPr>
          <w:rFonts w:ascii="Times" w:hAnsi="Times" w:cs="Times"/>
          <w:lang w:val="en-US"/>
        </w:rPr>
        <w:tab/>
        <w:t>Neuhoff S, Tucker GT. Was 4</w:t>
      </w:r>
      <w:r w:rsidRPr="00137A8C">
        <w:rPr>
          <w:rFonts w:ascii="Times" w:hAnsi="Times" w:cs="Times"/>
        </w:rPr>
        <w:t>β</w:t>
      </w:r>
      <w:r w:rsidRPr="00E73615">
        <w:rPr>
          <w:rFonts w:ascii="Times" w:hAnsi="Times" w:cs="Times"/>
          <w:lang w:val="en-US"/>
        </w:rPr>
        <w:t xml:space="preserve">-hydroxycholesterol ever going to be a useful marker of CYP3A4 activity? Br J Clin Pharmacol. 2018 Jul;84(7):1620–1. </w:t>
      </w:r>
    </w:p>
    <w:p w14:paraId="33964A17" w14:textId="77777777" w:rsidR="00137A8C" w:rsidRPr="00E73615" w:rsidRDefault="00137A8C" w:rsidP="00137A8C">
      <w:pPr>
        <w:widowControl w:val="0"/>
        <w:autoSpaceDE w:val="0"/>
        <w:autoSpaceDN w:val="0"/>
        <w:adjustRightInd w:val="0"/>
        <w:rPr>
          <w:rFonts w:ascii="Times" w:hAnsi="Times" w:cs="Times"/>
          <w:lang w:val="en-US"/>
        </w:rPr>
      </w:pPr>
      <w:r w:rsidRPr="00E73615">
        <w:rPr>
          <w:rFonts w:ascii="Times" w:hAnsi="Times" w:cs="Times"/>
          <w:lang w:val="en-US"/>
        </w:rPr>
        <w:t>37.</w:t>
      </w:r>
      <w:r w:rsidRPr="00E73615">
        <w:rPr>
          <w:rFonts w:ascii="Times" w:hAnsi="Times" w:cs="Times"/>
          <w:lang w:val="en-US"/>
        </w:rPr>
        <w:tab/>
        <w:t>Tung NP, Ma JD. Utility of endogenous 4</w:t>
      </w:r>
      <w:r w:rsidRPr="00137A8C">
        <w:rPr>
          <w:rFonts w:ascii="Times" w:hAnsi="Times" w:cs="Times"/>
        </w:rPr>
        <w:t>β</w:t>
      </w:r>
      <w:r w:rsidRPr="00E73615">
        <w:rPr>
          <w:rFonts w:ascii="Times" w:hAnsi="Times" w:cs="Times"/>
          <w:lang w:val="en-US"/>
        </w:rPr>
        <w:t xml:space="preserve">-hydroxycholesterol as a biomarker to assess cytochrome P 450 3A (CYP3A) activity: not quite ready for prime time. Eur J Clin Pharmacol. 2022 Sep;78(11):1863–4. </w:t>
      </w:r>
    </w:p>
    <w:p w14:paraId="27A52282" w14:textId="77777777" w:rsidR="00137A8C" w:rsidRPr="00137A8C" w:rsidRDefault="00137A8C" w:rsidP="00137A8C">
      <w:pPr>
        <w:widowControl w:val="0"/>
        <w:autoSpaceDE w:val="0"/>
        <w:autoSpaceDN w:val="0"/>
        <w:adjustRightInd w:val="0"/>
        <w:rPr>
          <w:rFonts w:ascii="Times" w:hAnsi="Times" w:cs="Times"/>
        </w:rPr>
      </w:pPr>
      <w:r w:rsidRPr="00E73615">
        <w:rPr>
          <w:rFonts w:ascii="Times" w:hAnsi="Times" w:cs="Times"/>
          <w:lang w:val="en-US"/>
        </w:rPr>
        <w:t>38.</w:t>
      </w:r>
      <w:r w:rsidRPr="00E73615">
        <w:rPr>
          <w:rFonts w:ascii="Times" w:hAnsi="Times" w:cs="Times"/>
          <w:lang w:val="en-US"/>
        </w:rPr>
        <w:tab/>
        <w:t>Kvitne KE, Hole K, Molden E, Robertsen I. Response to: “Utility of endogenous 4</w:t>
      </w:r>
      <w:r w:rsidRPr="00137A8C">
        <w:rPr>
          <w:rFonts w:ascii="Times" w:hAnsi="Times" w:cs="Times"/>
        </w:rPr>
        <w:t>β</w:t>
      </w:r>
      <w:r w:rsidRPr="00E73615">
        <w:rPr>
          <w:rFonts w:ascii="Times" w:hAnsi="Times" w:cs="Times"/>
          <w:lang w:val="en-US"/>
        </w:rPr>
        <w:t xml:space="preserve">-hydroxycholesterol as a biomarker to assess cytochrome P 450 3A (CYP3A) activity: not quite ready for prime time.” </w:t>
      </w:r>
      <w:r w:rsidRPr="00137A8C">
        <w:rPr>
          <w:rFonts w:ascii="Times" w:hAnsi="Times" w:cs="Times"/>
        </w:rPr>
        <w:t xml:space="preserve">Eur J Clin Pharmacol. 2022 Nov;78(11):1865–6. </w:t>
      </w:r>
    </w:p>
    <w:p w14:paraId="2ECD0783" w14:textId="3F1B0CF6" w:rsidR="00AF34EE" w:rsidRDefault="003B51CF" w:rsidP="00D87ABF">
      <w:pPr>
        <w:spacing w:after="120"/>
        <w:jc w:val="both"/>
        <w:rPr>
          <w:rFonts w:ascii="Times" w:hAnsi="Times"/>
          <w:lang w:val="en-US"/>
        </w:rPr>
      </w:pPr>
      <w:r>
        <w:rPr>
          <w:rFonts w:ascii="Times" w:hAnsi="Times"/>
          <w:lang w:val="en-US"/>
        </w:rPr>
        <w:fldChar w:fldCharType="end"/>
      </w:r>
    </w:p>
    <w:p w14:paraId="786C0B14" w14:textId="77777777" w:rsidR="00AF34EE" w:rsidRDefault="00AF34EE">
      <w:pPr>
        <w:rPr>
          <w:rFonts w:ascii="Times" w:hAnsi="Times"/>
          <w:lang w:val="en-US"/>
        </w:rPr>
      </w:pPr>
      <w:r>
        <w:rPr>
          <w:rFonts w:ascii="Times" w:hAnsi="Times"/>
          <w:lang w:val="en-US"/>
        </w:rPr>
        <w:br w:type="page"/>
      </w:r>
    </w:p>
    <w:p w14:paraId="7A2B7739" w14:textId="579DC785" w:rsidR="00A00ED8" w:rsidRPr="005F2CC4" w:rsidRDefault="00EF3CAF" w:rsidP="00B2093D">
      <w:pPr>
        <w:spacing w:line="360" w:lineRule="auto"/>
        <w:jc w:val="both"/>
        <w:rPr>
          <w:rFonts w:ascii="Times" w:hAnsi="Times"/>
          <w:b/>
          <w:bCs/>
          <w:lang w:val="en-US"/>
        </w:rPr>
      </w:pPr>
      <w:r>
        <w:rPr>
          <w:rFonts w:ascii="Times" w:hAnsi="Times"/>
          <w:b/>
          <w:bCs/>
          <w:lang w:val="en-US"/>
        </w:rPr>
        <w:lastRenderedPageBreak/>
        <w:t>FIGURE</w:t>
      </w:r>
      <w:r w:rsidR="00924422">
        <w:rPr>
          <w:rFonts w:ascii="Times" w:hAnsi="Times"/>
          <w:b/>
          <w:bCs/>
          <w:lang w:val="en-US"/>
        </w:rPr>
        <w:t xml:space="preserve"> LEGENDS</w:t>
      </w:r>
    </w:p>
    <w:p w14:paraId="324FA277" w14:textId="77777777" w:rsidR="003A257D" w:rsidRDefault="003A257D" w:rsidP="00B2093D">
      <w:pPr>
        <w:autoSpaceDE w:val="0"/>
        <w:autoSpaceDN w:val="0"/>
        <w:adjustRightInd w:val="0"/>
        <w:spacing w:line="360" w:lineRule="auto"/>
        <w:jc w:val="both"/>
        <w:rPr>
          <w:rFonts w:ascii="Times" w:hAnsi="Times" w:cs="¬'58_ò"/>
          <w:b/>
          <w:bCs/>
          <w:lang w:val="en-US"/>
        </w:rPr>
      </w:pPr>
    </w:p>
    <w:p w14:paraId="5E57D205" w14:textId="2C3D2139" w:rsidR="003A257D" w:rsidRPr="00C61DF3" w:rsidRDefault="003A257D" w:rsidP="00B2093D">
      <w:pPr>
        <w:autoSpaceDE w:val="0"/>
        <w:autoSpaceDN w:val="0"/>
        <w:adjustRightInd w:val="0"/>
        <w:spacing w:line="360" w:lineRule="auto"/>
        <w:jc w:val="both"/>
        <w:rPr>
          <w:rFonts w:ascii="Times" w:hAnsi="Times" w:cs="¬'58_ò"/>
          <w:lang w:val="en-US"/>
        </w:rPr>
      </w:pPr>
      <w:r>
        <w:rPr>
          <w:rFonts w:ascii="Times" w:hAnsi="Times" w:cs="¬'58_ò"/>
          <w:b/>
          <w:bCs/>
          <w:lang w:val="en-US"/>
        </w:rPr>
        <w:t xml:space="preserve">Figure 1 </w:t>
      </w:r>
      <w:r w:rsidR="0011294E" w:rsidRPr="0011294E">
        <w:rPr>
          <w:rFonts w:ascii="Times" w:hAnsi="Times" w:cs="¬'58_ò"/>
          <w:lang w:val="en-US"/>
        </w:rPr>
        <w:t>Interleukin (</w:t>
      </w:r>
      <w:r w:rsidR="00903143">
        <w:rPr>
          <w:rFonts w:ascii="Times" w:hAnsi="Times" w:cs="¬'58_ò"/>
          <w:lang w:val="en-US"/>
        </w:rPr>
        <w:t>IL</w:t>
      </w:r>
      <w:r w:rsidR="0011294E">
        <w:rPr>
          <w:rFonts w:ascii="Times" w:hAnsi="Times" w:cs="¬'58_ò"/>
          <w:lang w:val="en-US"/>
        </w:rPr>
        <w:t>)</w:t>
      </w:r>
      <w:r w:rsidR="00903143">
        <w:rPr>
          <w:rFonts w:ascii="Times" w:hAnsi="Times" w:cs="¬'58_ò"/>
          <w:lang w:val="en-US"/>
        </w:rPr>
        <w:t xml:space="preserve">-6 is </w:t>
      </w:r>
      <w:r w:rsidR="00E00E7C">
        <w:rPr>
          <w:rFonts w:ascii="Times" w:hAnsi="Times" w:cs="¬'58_ò"/>
          <w:lang w:val="en-US"/>
        </w:rPr>
        <w:t>crucial to</w:t>
      </w:r>
      <w:r w:rsidR="00903143">
        <w:rPr>
          <w:rFonts w:ascii="Times" w:hAnsi="Times" w:cs="¬'58_ò"/>
          <w:lang w:val="en-US"/>
        </w:rPr>
        <w:t xml:space="preserve"> rheumatoid arthritis pathophysiology. (</w:t>
      </w:r>
      <w:r w:rsidR="00903143" w:rsidRPr="00903143">
        <w:rPr>
          <w:rFonts w:ascii="Times" w:hAnsi="Times" w:cs="¬'58_ò"/>
          <w:b/>
          <w:bCs/>
          <w:lang w:val="en-US"/>
        </w:rPr>
        <w:t>a</w:t>
      </w:r>
      <w:r w:rsidR="00903143">
        <w:rPr>
          <w:rFonts w:ascii="Times" w:hAnsi="Times" w:cs="¬'58_ò"/>
          <w:lang w:val="en-US"/>
        </w:rPr>
        <w:t xml:space="preserve">) </w:t>
      </w:r>
      <w:r w:rsidR="00D551A0">
        <w:rPr>
          <w:rFonts w:ascii="Times" w:hAnsi="Times" w:cs="¬'58_ò"/>
          <w:lang w:val="en-US"/>
        </w:rPr>
        <w:t xml:space="preserve">IL-6 binds to the </w:t>
      </w:r>
      <w:r w:rsidR="00C91EED">
        <w:rPr>
          <w:rFonts w:ascii="Times" w:hAnsi="Times" w:cs="¬'58_ò"/>
          <w:lang w:val="en-US"/>
        </w:rPr>
        <w:t xml:space="preserve">soluble IL-6 receptor (sIL-6R) and membrane-bound IL-6 receptor (mIL-6R) </w:t>
      </w:r>
      <w:r w:rsidR="00183EDE">
        <w:rPr>
          <w:rFonts w:ascii="Times" w:hAnsi="Times" w:cs="¬'58_ò"/>
          <w:lang w:val="en-US"/>
        </w:rPr>
        <w:t xml:space="preserve">and affects numerous intracellular pathways. </w:t>
      </w:r>
      <w:r w:rsidR="00903143">
        <w:rPr>
          <w:rFonts w:ascii="Times" w:hAnsi="Times" w:cs="¬'58_ò"/>
          <w:lang w:val="en-US"/>
        </w:rPr>
        <w:t xml:space="preserve">In the hepatocytes, IL-6 is a </w:t>
      </w:r>
      <w:r w:rsidR="00311B2D">
        <w:rPr>
          <w:rFonts w:ascii="Times" w:hAnsi="Times" w:cs="¬'58_ò"/>
          <w:lang w:val="en-US"/>
        </w:rPr>
        <w:t>significant</w:t>
      </w:r>
      <w:r w:rsidR="00903143">
        <w:rPr>
          <w:rFonts w:ascii="Times" w:hAnsi="Times" w:cs="¬'58_ò"/>
          <w:lang w:val="en-US"/>
        </w:rPr>
        <w:t xml:space="preserve"> contributor to </w:t>
      </w:r>
      <w:r w:rsidR="00050E0B">
        <w:rPr>
          <w:rFonts w:ascii="Times" w:hAnsi="Times" w:cs="¬'58_ò"/>
          <w:lang w:val="en-US"/>
        </w:rPr>
        <w:t xml:space="preserve">the </w:t>
      </w:r>
      <w:r w:rsidR="00903143">
        <w:rPr>
          <w:rFonts w:ascii="Times" w:hAnsi="Times" w:cs="¬'58_ò"/>
          <w:lang w:val="en-US"/>
        </w:rPr>
        <w:t xml:space="preserve">downregulation of the transcription of </w:t>
      </w:r>
      <w:r w:rsidR="00BC6E5E">
        <w:rPr>
          <w:rFonts w:ascii="Times" w:hAnsi="Times" w:cs="¬'58_ò"/>
          <w:lang w:val="en-US"/>
        </w:rPr>
        <w:t>cytochrome p450 (</w:t>
      </w:r>
      <w:r w:rsidR="00903143">
        <w:rPr>
          <w:rFonts w:ascii="Times" w:hAnsi="Times" w:cs="¬'58_ò"/>
          <w:lang w:val="en-US"/>
        </w:rPr>
        <w:t>CYP</w:t>
      </w:r>
      <w:r w:rsidR="00BC6E5E">
        <w:rPr>
          <w:rFonts w:ascii="Times" w:hAnsi="Times" w:cs="¬'58_ò"/>
          <w:lang w:val="en-US"/>
        </w:rPr>
        <w:t xml:space="preserve">) </w:t>
      </w:r>
      <w:r w:rsidR="00903143">
        <w:rPr>
          <w:rFonts w:ascii="Times" w:hAnsi="Times" w:cs="¬'58_ò"/>
          <w:lang w:val="en-US"/>
        </w:rPr>
        <w:t>enzymes</w:t>
      </w:r>
      <w:r w:rsidR="00BC6E5E">
        <w:rPr>
          <w:rFonts w:ascii="Times" w:hAnsi="Times" w:cs="¬'58_ò"/>
          <w:lang w:val="en-US"/>
        </w:rPr>
        <w:t>,</w:t>
      </w:r>
      <w:r w:rsidR="00903143">
        <w:rPr>
          <w:rFonts w:ascii="Times" w:hAnsi="Times" w:cs="¬'58_ò"/>
          <w:lang w:val="en-US"/>
        </w:rPr>
        <w:t xml:space="preserve"> leading to lower drug-metabolizing activity</w:t>
      </w:r>
      <w:r w:rsidR="00B14588">
        <w:rPr>
          <w:rFonts w:ascii="Times" w:hAnsi="Times" w:cs="¬'58_ò"/>
          <w:lang w:val="en-US"/>
        </w:rPr>
        <w:t xml:space="preserve"> and increased </w:t>
      </w:r>
      <w:r w:rsidR="00CC600B">
        <w:rPr>
          <w:rFonts w:ascii="Times" w:hAnsi="Times" w:cs="¬'58_ò"/>
          <w:lang w:val="en-US"/>
        </w:rPr>
        <w:t>drug concentrations</w:t>
      </w:r>
      <w:r w:rsidR="00903143">
        <w:rPr>
          <w:rFonts w:ascii="Times" w:hAnsi="Times" w:cs="¬'58_ò"/>
          <w:lang w:val="en-US"/>
        </w:rPr>
        <w:t>.</w:t>
      </w:r>
      <w:r w:rsidR="00050E0B">
        <w:rPr>
          <w:rFonts w:ascii="Times" w:hAnsi="Times" w:cs="¬'58_ò"/>
          <w:lang w:val="en-US"/>
        </w:rPr>
        <w:t xml:space="preserve"> The pathways leading to altered CYP transcription are not </w:t>
      </w:r>
      <w:r w:rsidR="00311B2D">
        <w:rPr>
          <w:rFonts w:ascii="Times" w:hAnsi="Times" w:cs="¬'58_ò"/>
          <w:lang w:val="en-US"/>
        </w:rPr>
        <w:t>entirely</w:t>
      </w:r>
      <w:r w:rsidR="00050E0B">
        <w:rPr>
          <w:rFonts w:ascii="Times" w:hAnsi="Times" w:cs="¬'58_ò"/>
          <w:lang w:val="en-US"/>
        </w:rPr>
        <w:t xml:space="preserve"> elucidated to date.</w:t>
      </w:r>
      <w:r w:rsidR="00903143">
        <w:rPr>
          <w:rFonts w:ascii="Times" w:hAnsi="Times" w:cs="¬'58_ò"/>
          <w:lang w:val="en-US"/>
        </w:rPr>
        <w:t xml:space="preserve"> (</w:t>
      </w:r>
      <w:r w:rsidR="00903143" w:rsidRPr="00903143">
        <w:rPr>
          <w:rFonts w:ascii="Times" w:hAnsi="Times" w:cs="¬'58_ò"/>
          <w:b/>
          <w:bCs/>
          <w:lang w:val="en-US"/>
        </w:rPr>
        <w:t>b</w:t>
      </w:r>
      <w:r w:rsidR="00903143">
        <w:rPr>
          <w:rFonts w:ascii="Times" w:hAnsi="Times" w:cs="¬'58_ò"/>
          <w:lang w:val="en-US"/>
        </w:rPr>
        <w:t xml:space="preserve">) </w:t>
      </w:r>
      <w:r w:rsidR="001B70F2">
        <w:rPr>
          <w:rFonts w:ascii="Times" w:hAnsi="Times" w:cs="¬'58_ò"/>
          <w:lang w:val="en-US"/>
        </w:rPr>
        <w:t>IL-6 receptor antagonists</w:t>
      </w:r>
      <w:r w:rsidR="005979BC">
        <w:rPr>
          <w:rFonts w:ascii="Times" w:hAnsi="Times" w:cs="¬'58_ò"/>
          <w:lang w:val="en-US"/>
        </w:rPr>
        <w:t xml:space="preserve"> (anti-IL-6R)</w:t>
      </w:r>
      <w:r w:rsidR="001B70F2">
        <w:rPr>
          <w:rFonts w:ascii="Times" w:hAnsi="Times" w:cs="¬'58_ò"/>
          <w:lang w:val="en-US"/>
        </w:rPr>
        <w:t xml:space="preserve"> are used </w:t>
      </w:r>
      <w:r w:rsidR="000155BD">
        <w:rPr>
          <w:rFonts w:ascii="Times" w:hAnsi="Times" w:cs="¬'58_ò"/>
          <w:lang w:val="en-US"/>
        </w:rPr>
        <w:t>to treat</w:t>
      </w:r>
      <w:r w:rsidR="001B70F2">
        <w:rPr>
          <w:rFonts w:ascii="Times" w:hAnsi="Times" w:cs="¬'58_ò"/>
          <w:lang w:val="en-US"/>
        </w:rPr>
        <w:t xml:space="preserve"> rheumatoid arthritis. </w:t>
      </w:r>
      <w:r w:rsidR="005979BC">
        <w:rPr>
          <w:rFonts w:ascii="Times" w:hAnsi="Times" w:cs="¬'58_ò"/>
          <w:lang w:val="en-US"/>
        </w:rPr>
        <w:t>Anti-IL-6R</w:t>
      </w:r>
      <w:r w:rsidR="001B70F2">
        <w:rPr>
          <w:rFonts w:ascii="Times" w:hAnsi="Times" w:cs="¬'58_ò"/>
          <w:lang w:val="en-US"/>
        </w:rPr>
        <w:t xml:space="preserve"> </w:t>
      </w:r>
      <w:r w:rsidR="000155BD">
        <w:rPr>
          <w:rFonts w:ascii="Times" w:hAnsi="Times" w:cs="¬'58_ò"/>
          <w:lang w:val="en-US"/>
        </w:rPr>
        <w:t>blocks</w:t>
      </w:r>
      <w:r w:rsidR="00EE02C2">
        <w:rPr>
          <w:rFonts w:ascii="Times" w:hAnsi="Times" w:cs="¬'58_ò"/>
          <w:lang w:val="en-US"/>
        </w:rPr>
        <w:t xml:space="preserve"> the receptors and </w:t>
      </w:r>
      <w:r w:rsidR="000155BD">
        <w:rPr>
          <w:rFonts w:ascii="Times" w:hAnsi="Times" w:cs="¬'58_ò"/>
          <w:lang w:val="en-US"/>
        </w:rPr>
        <w:t>disrupts</w:t>
      </w:r>
      <w:r w:rsidR="0096515A">
        <w:rPr>
          <w:rFonts w:ascii="Times" w:hAnsi="Times" w:cs="¬'58_ò"/>
          <w:lang w:val="en-US"/>
        </w:rPr>
        <w:t xml:space="preserve"> the intracellular pathway otherwise </w:t>
      </w:r>
      <w:r w:rsidR="00050E0B">
        <w:rPr>
          <w:rFonts w:ascii="Times" w:hAnsi="Times" w:cs="¬'58_ò"/>
          <w:lang w:val="en-US"/>
        </w:rPr>
        <w:t>activated</w:t>
      </w:r>
      <w:r w:rsidR="0096515A">
        <w:rPr>
          <w:rFonts w:ascii="Times" w:hAnsi="Times" w:cs="¬'58_ò"/>
          <w:lang w:val="en-US"/>
        </w:rPr>
        <w:t xml:space="preserve"> by inflammation. Blockade of IL-6 </w:t>
      </w:r>
      <w:r w:rsidR="00050E0B">
        <w:rPr>
          <w:rFonts w:ascii="Times" w:hAnsi="Times" w:cs="¬'58_ò"/>
          <w:lang w:val="en-US"/>
        </w:rPr>
        <w:t>causes</w:t>
      </w:r>
      <w:r w:rsidR="0096515A">
        <w:rPr>
          <w:rFonts w:ascii="Times" w:hAnsi="Times" w:cs="¬'58_ò"/>
          <w:lang w:val="en-US"/>
        </w:rPr>
        <w:t xml:space="preserve"> a normalization of </w:t>
      </w:r>
      <w:r w:rsidR="00050E0B">
        <w:rPr>
          <w:rFonts w:ascii="Times" w:hAnsi="Times" w:cs="¬'58_ò"/>
          <w:lang w:val="en-US"/>
        </w:rPr>
        <w:t>drug-metabolizing</w:t>
      </w:r>
      <w:r w:rsidR="0096515A">
        <w:rPr>
          <w:rFonts w:ascii="Times" w:hAnsi="Times" w:cs="¬'58_ò"/>
          <w:lang w:val="en-US"/>
        </w:rPr>
        <w:t xml:space="preserve"> capacity</w:t>
      </w:r>
      <w:r w:rsidR="009267A2">
        <w:rPr>
          <w:rFonts w:ascii="Times" w:hAnsi="Times" w:cs="¬'58_ò"/>
          <w:lang w:val="en-US"/>
        </w:rPr>
        <w:t xml:space="preserve"> and a reduction in drug concentrations</w:t>
      </w:r>
      <w:r w:rsidR="005979BC">
        <w:rPr>
          <w:rFonts w:ascii="Times" w:hAnsi="Times" w:cs="¬'58_ò"/>
          <w:lang w:val="en-US"/>
        </w:rPr>
        <w:t xml:space="preserve">. </w:t>
      </w:r>
      <w:r w:rsidR="000155BD">
        <w:rPr>
          <w:rFonts w:ascii="Times" w:hAnsi="Times" w:cs="¬'58_ò"/>
          <w:lang w:val="en-US"/>
        </w:rPr>
        <w:t>Anti-IL-6R therapy increases the</w:t>
      </w:r>
      <w:r w:rsidR="005979BC">
        <w:rPr>
          <w:rFonts w:ascii="Times" w:hAnsi="Times" w:cs="¬'58_ò"/>
          <w:lang w:val="en-US"/>
        </w:rPr>
        <w:t xml:space="preserve"> IL-6 </w:t>
      </w:r>
      <w:r w:rsidR="000155BD">
        <w:rPr>
          <w:rFonts w:ascii="Times" w:hAnsi="Times" w:cs="¬'58_ò"/>
          <w:lang w:val="en-US"/>
        </w:rPr>
        <w:t>concentration</w:t>
      </w:r>
      <w:r w:rsidR="005979BC">
        <w:rPr>
          <w:rFonts w:ascii="Times" w:hAnsi="Times" w:cs="¬'58_ò"/>
          <w:lang w:val="en-US"/>
        </w:rPr>
        <w:t xml:space="preserve">, while </w:t>
      </w:r>
      <w:r w:rsidR="000155BD">
        <w:rPr>
          <w:rFonts w:ascii="Times" w:hAnsi="Times" w:cs="¬'58_ò"/>
          <w:lang w:val="en-US"/>
        </w:rPr>
        <w:t>c-reactive protein is reduced.</w:t>
      </w:r>
      <w:r w:rsidR="005979BC">
        <w:rPr>
          <w:rFonts w:ascii="Times" w:hAnsi="Times" w:cs="¬'58_ò"/>
          <w:lang w:val="en-US"/>
        </w:rPr>
        <w:t xml:space="preserve"> </w:t>
      </w:r>
    </w:p>
    <w:p w14:paraId="0C45E4A3" w14:textId="72C27C0C" w:rsidR="003A257D" w:rsidRPr="00373DB3" w:rsidRDefault="005629BE" w:rsidP="00B2093D">
      <w:pPr>
        <w:autoSpaceDE w:val="0"/>
        <w:autoSpaceDN w:val="0"/>
        <w:adjustRightInd w:val="0"/>
        <w:spacing w:line="360" w:lineRule="auto"/>
        <w:jc w:val="both"/>
        <w:rPr>
          <w:rFonts w:ascii="Times" w:hAnsi="Times" w:cs="¬'58_ò"/>
          <w:lang w:val="en-US"/>
        </w:rPr>
      </w:pPr>
      <w:r w:rsidRPr="00373DB3">
        <w:rPr>
          <w:rFonts w:ascii="Times" w:hAnsi="Times" w:cs="¬'58_ò"/>
          <w:lang w:val="en-US"/>
        </w:rPr>
        <w:t xml:space="preserve">Abbreviations: </w:t>
      </w:r>
      <w:r w:rsidR="00373DB3" w:rsidRPr="00373DB3">
        <w:rPr>
          <w:rFonts w:ascii="Times" w:hAnsi="Times" w:cs="¬'58_ò"/>
          <w:lang w:val="en-US"/>
        </w:rPr>
        <w:t xml:space="preserve">anti-IL-6R: interleukin 6 receptor antagonist, </w:t>
      </w:r>
      <w:r w:rsidRPr="00373DB3">
        <w:rPr>
          <w:rFonts w:ascii="Times" w:hAnsi="Times" w:cs="¬'58_ò"/>
          <w:lang w:val="en-US"/>
        </w:rPr>
        <w:t xml:space="preserve">CRP: c-reactive protein, </w:t>
      </w:r>
      <w:r w:rsidR="00373DB3" w:rsidRPr="00373DB3">
        <w:rPr>
          <w:rFonts w:ascii="Times" w:hAnsi="Times" w:cs="¬'58_ò"/>
          <w:lang w:val="en-US"/>
        </w:rPr>
        <w:t xml:space="preserve">CYP: cytochrome P450, </w:t>
      </w:r>
      <w:r w:rsidRPr="00373DB3">
        <w:rPr>
          <w:rFonts w:ascii="Times" w:hAnsi="Times" w:cs="¬'58_ò"/>
          <w:lang w:val="en-US"/>
        </w:rPr>
        <w:t xml:space="preserve">IL-6: interleukin 6, </w:t>
      </w:r>
      <w:r w:rsidR="00373DB3" w:rsidRPr="00373DB3">
        <w:rPr>
          <w:rFonts w:ascii="Times" w:hAnsi="Times" w:cs="¬'58_ò"/>
          <w:lang w:val="en-US"/>
        </w:rPr>
        <w:t xml:space="preserve">mIL-6R membrane-bound interleukin 6 receptor, sIL-6R: soluble interleukin 6 receptor. </w:t>
      </w:r>
    </w:p>
    <w:p w14:paraId="517E48A5" w14:textId="77777777" w:rsidR="003A257D" w:rsidRDefault="003A257D" w:rsidP="00B2093D">
      <w:pPr>
        <w:autoSpaceDE w:val="0"/>
        <w:autoSpaceDN w:val="0"/>
        <w:adjustRightInd w:val="0"/>
        <w:spacing w:line="360" w:lineRule="auto"/>
        <w:jc w:val="both"/>
        <w:rPr>
          <w:rFonts w:ascii="Times" w:hAnsi="Times" w:cs="¬'58_ò"/>
          <w:b/>
          <w:bCs/>
          <w:lang w:val="en-US"/>
        </w:rPr>
      </w:pPr>
    </w:p>
    <w:p w14:paraId="3B7130B8" w14:textId="39A64AB7" w:rsidR="00B14588" w:rsidRDefault="00B14588" w:rsidP="00B2093D">
      <w:pPr>
        <w:spacing w:line="360" w:lineRule="auto"/>
        <w:rPr>
          <w:rFonts w:ascii="Times" w:hAnsi="Times" w:cs="¬'58_ò"/>
          <w:b/>
          <w:bCs/>
          <w:lang w:val="en-US"/>
        </w:rPr>
      </w:pPr>
    </w:p>
    <w:p w14:paraId="7B0D56C2" w14:textId="353BFCE0" w:rsidR="000D256F" w:rsidRPr="005F2CC4" w:rsidRDefault="000D256F" w:rsidP="00B2093D">
      <w:pPr>
        <w:autoSpaceDE w:val="0"/>
        <w:autoSpaceDN w:val="0"/>
        <w:adjustRightInd w:val="0"/>
        <w:spacing w:line="360" w:lineRule="auto"/>
        <w:jc w:val="both"/>
        <w:rPr>
          <w:rFonts w:ascii="Times" w:hAnsi="Times" w:cs="¬'58_ò"/>
          <w:lang w:val="en-US"/>
        </w:rPr>
      </w:pPr>
      <w:r w:rsidRPr="4AFDAE6C">
        <w:rPr>
          <w:rFonts w:ascii="Times" w:hAnsi="Times" w:cs="¬'58_ò"/>
          <w:b/>
          <w:bCs/>
          <w:lang w:val="en-US"/>
        </w:rPr>
        <w:t xml:space="preserve">Figure </w:t>
      </w:r>
      <w:r w:rsidR="003A257D" w:rsidRPr="4AFDAE6C">
        <w:rPr>
          <w:rFonts w:ascii="Times" w:hAnsi="Times" w:cs="¬'58_ò"/>
          <w:b/>
          <w:bCs/>
          <w:lang w:val="en-US"/>
        </w:rPr>
        <w:t>2</w:t>
      </w:r>
      <w:r w:rsidRPr="4AFDAE6C">
        <w:rPr>
          <w:rFonts w:ascii="Times" w:hAnsi="Times" w:cs="¬'58_ò"/>
          <w:lang w:val="en-US"/>
        </w:rPr>
        <w:t xml:space="preserve"> Individual concentration-time curves </w:t>
      </w:r>
      <w:r w:rsidR="44F7BA26" w:rsidRPr="4AFDAE6C">
        <w:rPr>
          <w:rFonts w:ascii="Times" w:hAnsi="Times" w:cs="¬'58_ò"/>
          <w:lang w:val="en-US"/>
        </w:rPr>
        <w:t xml:space="preserve">of midazolam </w:t>
      </w:r>
      <w:r w:rsidRPr="4AFDAE6C">
        <w:rPr>
          <w:rFonts w:ascii="Times" w:hAnsi="Times" w:cs="¬'58_ò"/>
          <w:lang w:val="en-US"/>
        </w:rPr>
        <w:t>for the three patients with rheumatoid</w:t>
      </w:r>
      <w:r w:rsidR="00D00EC5" w:rsidRPr="4AFDAE6C">
        <w:rPr>
          <w:rFonts w:ascii="Times" w:hAnsi="Times" w:cs="¬'58_ò"/>
          <w:lang w:val="en-US"/>
        </w:rPr>
        <w:t xml:space="preserve"> </w:t>
      </w:r>
      <w:r w:rsidRPr="4AFDAE6C">
        <w:rPr>
          <w:rFonts w:ascii="Times" w:hAnsi="Times" w:cs="¬'58_ò"/>
          <w:lang w:val="en-US"/>
        </w:rPr>
        <w:t xml:space="preserve">arthritis before and after three weeks and 12 weeks of </w:t>
      </w:r>
      <w:r w:rsidR="00D00EC5" w:rsidRPr="4AFDAE6C">
        <w:rPr>
          <w:rFonts w:ascii="Times" w:hAnsi="Times" w:cs="¬'58_ò"/>
          <w:lang w:val="en-US"/>
        </w:rPr>
        <w:t xml:space="preserve">interleukin </w:t>
      </w:r>
      <w:r w:rsidRPr="4AFDAE6C">
        <w:rPr>
          <w:rFonts w:ascii="Times" w:hAnsi="Times" w:cs="¬'58_ò"/>
          <w:lang w:val="en-US"/>
        </w:rPr>
        <w:t>6 receptor antagonist</w:t>
      </w:r>
      <w:r w:rsidR="00D00EC5" w:rsidRPr="4AFDAE6C">
        <w:rPr>
          <w:rFonts w:ascii="Times" w:hAnsi="Times" w:cs="¬'58_ò"/>
          <w:lang w:val="en-US"/>
        </w:rPr>
        <w:t xml:space="preserve"> (anti-IL-6R)</w:t>
      </w:r>
      <w:r w:rsidRPr="4AFDAE6C">
        <w:rPr>
          <w:rFonts w:ascii="Times" w:hAnsi="Times" w:cs="¬'58_ò"/>
          <w:lang w:val="en-US"/>
        </w:rPr>
        <w:t xml:space="preserve"> therapy.</w:t>
      </w:r>
    </w:p>
    <w:p w14:paraId="07456EB0" w14:textId="0F95F5C0" w:rsidR="00C54B29" w:rsidRDefault="00C54B29" w:rsidP="00B2093D">
      <w:pPr>
        <w:spacing w:line="360" w:lineRule="auto"/>
        <w:jc w:val="both"/>
        <w:rPr>
          <w:rFonts w:ascii="Times" w:hAnsi="Times"/>
          <w:lang w:val="en-US"/>
        </w:rPr>
      </w:pPr>
    </w:p>
    <w:p w14:paraId="67138D13" w14:textId="20D70EB4" w:rsidR="00A93C94" w:rsidRDefault="00A93C94" w:rsidP="00B2093D">
      <w:pPr>
        <w:spacing w:line="360" w:lineRule="auto"/>
        <w:jc w:val="both"/>
        <w:rPr>
          <w:rFonts w:ascii="Times" w:hAnsi="Times"/>
          <w:lang w:val="en-US"/>
        </w:rPr>
      </w:pPr>
    </w:p>
    <w:p w14:paraId="204D87D8" w14:textId="38A0D486" w:rsidR="00BE2639" w:rsidRDefault="00C54B29" w:rsidP="00B2093D">
      <w:pPr>
        <w:spacing w:line="360" w:lineRule="auto"/>
        <w:jc w:val="both"/>
        <w:rPr>
          <w:rFonts w:ascii="Times" w:hAnsi="Times"/>
          <w:lang w:val="en-US"/>
        </w:rPr>
      </w:pPr>
      <w:r w:rsidRPr="00C54B29">
        <w:rPr>
          <w:rFonts w:ascii="Times" w:hAnsi="Times"/>
          <w:b/>
          <w:bCs/>
          <w:lang w:val="en-US"/>
        </w:rPr>
        <w:t xml:space="preserve">Figure </w:t>
      </w:r>
      <w:r w:rsidR="003A257D">
        <w:rPr>
          <w:rFonts w:ascii="Times" w:hAnsi="Times"/>
          <w:b/>
          <w:bCs/>
          <w:lang w:val="en-US"/>
        </w:rPr>
        <w:t>3</w:t>
      </w:r>
      <w:r>
        <w:rPr>
          <w:rFonts w:ascii="Times" w:hAnsi="Times"/>
          <w:lang w:val="en-US"/>
        </w:rPr>
        <w:t xml:space="preserve"> Initiation of treatment with tocilizumab (n=20) or adalimumab (n=17) is associated with significant changes in inflammation after three months and six months of treatment</w:t>
      </w:r>
      <w:r w:rsidR="00605008">
        <w:rPr>
          <w:rFonts w:ascii="Times" w:hAnsi="Times"/>
          <w:lang w:val="en-US"/>
        </w:rPr>
        <w:t>.</w:t>
      </w:r>
      <w:r w:rsidR="00634B9D">
        <w:rPr>
          <w:rFonts w:ascii="Times" w:hAnsi="Times"/>
          <w:lang w:val="en-US"/>
        </w:rPr>
        <w:t xml:space="preserve"> </w:t>
      </w:r>
      <w:r w:rsidR="00634B9D" w:rsidRPr="000926B8">
        <w:rPr>
          <w:rFonts w:ascii="Times" w:hAnsi="Times" w:cs="Arial"/>
          <w:b/>
          <w:bCs/>
          <w:lang w:val="en-US"/>
        </w:rPr>
        <w:t>(a)</w:t>
      </w:r>
      <w:r w:rsidR="00634B9D" w:rsidRPr="000926B8">
        <w:rPr>
          <w:rFonts w:ascii="Times" w:hAnsi="Times" w:cs="Arial"/>
          <w:lang w:val="en-US"/>
        </w:rPr>
        <w:t xml:space="preserve"> High-sensitivity C-Reactive Protein (hsCRP) (mg/L). </w:t>
      </w:r>
      <w:r w:rsidR="00634B9D" w:rsidRPr="000926B8">
        <w:rPr>
          <w:rFonts w:ascii="Times" w:hAnsi="Times" w:cs="Arial"/>
          <w:b/>
          <w:bCs/>
          <w:lang w:val="en-US"/>
        </w:rPr>
        <w:t>(b)</w:t>
      </w:r>
      <w:r w:rsidR="00634B9D" w:rsidRPr="000926B8">
        <w:rPr>
          <w:rFonts w:ascii="Times" w:hAnsi="Times" w:cs="Arial"/>
          <w:lang w:val="en-US"/>
        </w:rPr>
        <w:t xml:space="preserve"> Interleukin 6 (IL-6) (pg/mL). (</w:t>
      </w:r>
      <w:r w:rsidR="00634B9D" w:rsidRPr="000926B8">
        <w:rPr>
          <w:rFonts w:ascii="Times" w:hAnsi="Times" w:cs="Arial"/>
          <w:b/>
          <w:bCs/>
          <w:lang w:val="en-US"/>
        </w:rPr>
        <w:t>c</w:t>
      </w:r>
      <w:r w:rsidR="00634B9D" w:rsidRPr="000926B8">
        <w:rPr>
          <w:rFonts w:ascii="Times" w:hAnsi="Times" w:cs="Arial"/>
          <w:lang w:val="en-US"/>
        </w:rPr>
        <w:t>) Interleukin 1beta (IL-1</w:t>
      </w:r>
      <w:r w:rsidR="00634B9D" w:rsidRPr="000926B8">
        <w:rPr>
          <w:rFonts w:ascii="Symbol" w:eastAsia="Symbol" w:hAnsi="Symbol" w:cs="Symbol"/>
          <w:lang w:val="en-US"/>
        </w:rPr>
        <w:t></w:t>
      </w:r>
      <w:r w:rsidR="00634B9D" w:rsidRPr="000926B8">
        <w:rPr>
          <w:rFonts w:ascii="Times" w:hAnsi="Times" w:cs="Arial"/>
          <w:lang w:val="en-US"/>
        </w:rPr>
        <w:t>) (pg/mL). (</w:t>
      </w:r>
      <w:r w:rsidR="00634B9D" w:rsidRPr="000926B8">
        <w:rPr>
          <w:rFonts w:ascii="Times" w:hAnsi="Times" w:cs="Arial"/>
          <w:b/>
          <w:bCs/>
          <w:lang w:val="en-US"/>
        </w:rPr>
        <w:t>d</w:t>
      </w:r>
      <w:r w:rsidR="00634B9D" w:rsidRPr="000926B8">
        <w:rPr>
          <w:rFonts w:ascii="Times" w:hAnsi="Times" w:cs="Arial"/>
          <w:lang w:val="en-US"/>
        </w:rPr>
        <w:t>) Tumor Necrosis Factor alfa (TNF-</w:t>
      </w:r>
      <w:r w:rsidR="00634B9D" w:rsidRPr="000926B8">
        <w:rPr>
          <w:rFonts w:ascii="Symbol" w:eastAsia="Symbol" w:hAnsi="Symbol" w:cs="Symbol"/>
          <w:lang w:val="en-US"/>
        </w:rPr>
        <w:t></w:t>
      </w:r>
      <w:r w:rsidR="00634B9D" w:rsidRPr="000926B8">
        <w:rPr>
          <w:rFonts w:ascii="Times" w:hAnsi="Times" w:cs="Arial"/>
          <w:lang w:val="en-US"/>
        </w:rPr>
        <w:t>) (pg/mL). (</w:t>
      </w:r>
      <w:r w:rsidR="00634B9D" w:rsidRPr="000926B8">
        <w:rPr>
          <w:rFonts w:ascii="Times" w:hAnsi="Times" w:cs="Arial"/>
          <w:b/>
          <w:bCs/>
          <w:lang w:val="en-US"/>
        </w:rPr>
        <w:t>e</w:t>
      </w:r>
      <w:r w:rsidR="00634B9D" w:rsidRPr="000926B8">
        <w:rPr>
          <w:rFonts w:ascii="Times" w:hAnsi="Times" w:cs="Arial"/>
          <w:lang w:val="en-US"/>
        </w:rPr>
        <w:t>) Interferon-gamma (IFN-</w:t>
      </w:r>
      <w:r w:rsidR="00634B9D" w:rsidRPr="000926B8">
        <w:rPr>
          <w:rFonts w:ascii="Symbol" w:eastAsia="Symbol" w:hAnsi="Symbol" w:cs="Symbol"/>
          <w:lang w:val="en-US"/>
        </w:rPr>
        <w:t></w:t>
      </w:r>
      <w:r w:rsidR="00634B9D" w:rsidRPr="000926B8">
        <w:rPr>
          <w:rFonts w:ascii="Times" w:hAnsi="Times" w:cs="Arial"/>
          <w:lang w:val="en-US"/>
        </w:rPr>
        <w:t>) (pg/mL).</w:t>
      </w:r>
    </w:p>
    <w:p w14:paraId="0A88652A" w14:textId="10705C89" w:rsidR="00CB36BA" w:rsidRPr="007976AC" w:rsidRDefault="00CB36BA" w:rsidP="00B2093D">
      <w:pPr>
        <w:rPr>
          <w:rFonts w:ascii="Times" w:hAnsi="Times"/>
          <w:lang w:val="en-US"/>
        </w:rPr>
      </w:pPr>
    </w:p>
    <w:sectPr w:rsidR="00CB36BA" w:rsidRPr="007976AC" w:rsidSect="00B2093D">
      <w:footerReference w:type="default" r:id="rId8"/>
      <w:pgSz w:w="11900" w:h="16840"/>
      <w:pgMar w:top="1701" w:right="1134" w:bottom="1701"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C35111" w14:textId="77777777" w:rsidR="008549D8" w:rsidRDefault="008549D8" w:rsidP="0044425A">
      <w:r>
        <w:separator/>
      </w:r>
    </w:p>
  </w:endnote>
  <w:endnote w:type="continuationSeparator" w:id="0">
    <w:p w14:paraId="0F2141E4" w14:textId="77777777" w:rsidR="008549D8" w:rsidRDefault="008549D8" w:rsidP="004442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w:altName w:val="Times New Roman"/>
    <w:panose1 w:val="00000500000000020000"/>
    <w:charset w:val="00"/>
    <w:family w:val="auto"/>
    <w:pitch w:val="variable"/>
    <w:sig w:usb0="E00002FF" w:usb1="5000205A" w:usb2="00000000" w:usb3="00000000" w:csb0="0000019F" w:csb1="00000000"/>
  </w:font>
  <w:font w:name="Segoe UI">
    <w:panose1 w:val="020B0604020202020204"/>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58_ò">
    <w:altName w:val="Calibri"/>
    <w:panose1 w:val="020B0604020202020204"/>
    <w:charset w:val="4D"/>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FE23ED" w14:textId="436AF18B" w:rsidR="00B34F03" w:rsidRPr="00984EB3" w:rsidRDefault="00B34F03">
    <w:pPr>
      <w:pStyle w:val="Sidefod"/>
      <w:jc w:val="center"/>
      <w:rPr>
        <w:rFonts w:ascii="Times" w:hAnsi="Times"/>
        <w:color w:val="000000" w:themeColor="text1"/>
      </w:rPr>
    </w:pPr>
    <w:r w:rsidRPr="00984EB3">
      <w:rPr>
        <w:rFonts w:ascii="Times" w:hAnsi="Times"/>
        <w:color w:val="000000" w:themeColor="text1"/>
      </w:rPr>
      <w:tab/>
    </w:r>
    <w:r w:rsidRPr="00984EB3">
      <w:rPr>
        <w:rFonts w:ascii="Times" w:hAnsi="Times"/>
        <w:color w:val="000000" w:themeColor="text1"/>
      </w:rPr>
      <w:tab/>
    </w:r>
    <w:r>
      <w:rPr>
        <w:rFonts w:ascii="Times" w:hAnsi="Times"/>
        <w:color w:val="000000" w:themeColor="text1"/>
      </w:rPr>
      <w:t>Page</w:t>
    </w:r>
    <w:r w:rsidRPr="00984EB3">
      <w:rPr>
        <w:rFonts w:ascii="Times" w:hAnsi="Times"/>
        <w:color w:val="000000" w:themeColor="text1"/>
      </w:rPr>
      <w:t xml:space="preserve"> </w:t>
    </w:r>
    <w:r w:rsidRPr="00984EB3">
      <w:rPr>
        <w:rFonts w:ascii="Times" w:hAnsi="Times"/>
        <w:color w:val="000000" w:themeColor="text1"/>
      </w:rPr>
      <w:fldChar w:fldCharType="begin"/>
    </w:r>
    <w:r w:rsidRPr="00984EB3">
      <w:rPr>
        <w:rFonts w:ascii="Times" w:hAnsi="Times"/>
        <w:color w:val="000000" w:themeColor="text1"/>
      </w:rPr>
      <w:instrText>PAGE  \* Arabic  \* MERGEFORMAT</w:instrText>
    </w:r>
    <w:r w:rsidRPr="00984EB3">
      <w:rPr>
        <w:rFonts w:ascii="Times" w:hAnsi="Times"/>
        <w:color w:val="000000" w:themeColor="text1"/>
      </w:rPr>
      <w:fldChar w:fldCharType="separate"/>
    </w:r>
    <w:r w:rsidRPr="00984EB3">
      <w:rPr>
        <w:rFonts w:ascii="Times" w:hAnsi="Times"/>
        <w:color w:val="000000" w:themeColor="text1"/>
      </w:rPr>
      <w:t>2</w:t>
    </w:r>
    <w:r w:rsidRPr="00984EB3">
      <w:rPr>
        <w:rFonts w:ascii="Times" w:hAnsi="Times"/>
        <w:color w:val="000000" w:themeColor="text1"/>
      </w:rPr>
      <w:fldChar w:fldCharType="end"/>
    </w:r>
    <w:r w:rsidRPr="00984EB3">
      <w:rPr>
        <w:rFonts w:ascii="Times" w:hAnsi="Times"/>
        <w:color w:val="000000" w:themeColor="text1"/>
      </w:rPr>
      <w:t xml:space="preserve"> </w:t>
    </w:r>
    <w:r>
      <w:rPr>
        <w:rFonts w:ascii="Times" w:hAnsi="Times"/>
        <w:color w:val="000000" w:themeColor="text1"/>
      </w:rPr>
      <w:t>o</w:t>
    </w:r>
    <w:r w:rsidRPr="00984EB3">
      <w:rPr>
        <w:rFonts w:ascii="Times" w:hAnsi="Times"/>
        <w:color w:val="000000" w:themeColor="text1"/>
      </w:rPr>
      <w:t xml:space="preserve">f </w:t>
    </w:r>
    <w:r w:rsidRPr="00984EB3">
      <w:rPr>
        <w:rFonts w:ascii="Times" w:hAnsi="Times"/>
        <w:color w:val="000000" w:themeColor="text1"/>
      </w:rPr>
      <w:fldChar w:fldCharType="begin"/>
    </w:r>
    <w:r w:rsidRPr="00984EB3">
      <w:rPr>
        <w:rFonts w:ascii="Times" w:hAnsi="Times"/>
        <w:color w:val="000000" w:themeColor="text1"/>
      </w:rPr>
      <w:instrText>NUMPAGES \ * arabisk \ * MERGEFORMAT</w:instrText>
    </w:r>
    <w:r w:rsidRPr="00984EB3">
      <w:rPr>
        <w:rFonts w:ascii="Times" w:hAnsi="Times"/>
        <w:color w:val="000000" w:themeColor="text1"/>
      </w:rPr>
      <w:fldChar w:fldCharType="separate"/>
    </w:r>
    <w:r w:rsidRPr="00984EB3">
      <w:rPr>
        <w:rFonts w:ascii="Times" w:hAnsi="Times"/>
        <w:color w:val="000000" w:themeColor="text1"/>
      </w:rPr>
      <w:t>2</w:t>
    </w:r>
    <w:r w:rsidRPr="00984EB3">
      <w:rPr>
        <w:rFonts w:ascii="Times" w:hAnsi="Times"/>
        <w:color w:val="000000" w:themeColor="text1"/>
      </w:rPr>
      <w:fldChar w:fldCharType="end"/>
    </w:r>
  </w:p>
  <w:p w14:paraId="5E30A804" w14:textId="77777777" w:rsidR="00B34F03" w:rsidRDefault="00B34F03">
    <w:pPr>
      <w:pStyle w:val="Sidefod"/>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45AE98" w14:textId="77777777" w:rsidR="008549D8" w:rsidRDefault="008549D8" w:rsidP="0044425A">
      <w:r>
        <w:separator/>
      </w:r>
    </w:p>
  </w:footnote>
  <w:footnote w:type="continuationSeparator" w:id="0">
    <w:p w14:paraId="7CDBBA16" w14:textId="77777777" w:rsidR="008549D8" w:rsidRDefault="008549D8" w:rsidP="0044425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CE6F23"/>
    <w:multiLevelType w:val="hybridMultilevel"/>
    <w:tmpl w:val="D960D09C"/>
    <w:lvl w:ilvl="0" w:tplc="0406000F">
      <w:start w:val="1"/>
      <w:numFmt w:val="decimal"/>
      <w:lvlText w:val="%1."/>
      <w:lvlJc w:val="left"/>
      <w:pPr>
        <w:ind w:left="720" w:hanging="360"/>
      </w:pPr>
    </w:lvl>
    <w:lvl w:ilvl="1" w:tplc="04060019" w:tentative="1">
      <w:start w:val="1"/>
      <w:numFmt w:val="lowerLetter"/>
      <w:lvlText w:val="%2."/>
      <w:lvlJc w:val="left"/>
      <w:pPr>
        <w:ind w:left="1440" w:hanging="360"/>
      </w:pPr>
    </w:lvl>
    <w:lvl w:ilvl="2" w:tplc="0406001B" w:tentative="1">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abstractNum w:abstractNumId="1" w15:restartNumberingAfterBreak="0">
    <w:nsid w:val="26152332"/>
    <w:multiLevelType w:val="hybridMultilevel"/>
    <w:tmpl w:val="179C296A"/>
    <w:lvl w:ilvl="0" w:tplc="27F8A394">
      <w:start w:val="4"/>
      <w:numFmt w:val="decimal"/>
      <w:lvlText w:val="%1."/>
      <w:lvlJc w:val="left"/>
      <w:pPr>
        <w:ind w:left="720" w:hanging="360"/>
      </w:pPr>
      <w:rPr>
        <w:rFonts w:hint="default"/>
      </w:rPr>
    </w:lvl>
    <w:lvl w:ilvl="1" w:tplc="04060019" w:tentative="1">
      <w:start w:val="1"/>
      <w:numFmt w:val="lowerLetter"/>
      <w:lvlText w:val="%2."/>
      <w:lvlJc w:val="left"/>
      <w:pPr>
        <w:ind w:left="1440" w:hanging="360"/>
      </w:pPr>
    </w:lvl>
    <w:lvl w:ilvl="2" w:tplc="0406001B" w:tentative="1">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abstractNum w:abstractNumId="2" w15:restartNumberingAfterBreak="0">
    <w:nsid w:val="39510729"/>
    <w:multiLevelType w:val="hybridMultilevel"/>
    <w:tmpl w:val="A2D42DD4"/>
    <w:lvl w:ilvl="0" w:tplc="0406000F">
      <w:start w:val="1"/>
      <w:numFmt w:val="decimal"/>
      <w:lvlText w:val="%1."/>
      <w:lvlJc w:val="left"/>
      <w:pPr>
        <w:ind w:left="720" w:hanging="360"/>
      </w:pPr>
    </w:lvl>
    <w:lvl w:ilvl="1" w:tplc="04060019" w:tentative="1">
      <w:start w:val="1"/>
      <w:numFmt w:val="lowerLetter"/>
      <w:lvlText w:val="%2."/>
      <w:lvlJc w:val="left"/>
      <w:pPr>
        <w:ind w:left="1440" w:hanging="360"/>
      </w:pPr>
    </w:lvl>
    <w:lvl w:ilvl="2" w:tplc="0406001B" w:tentative="1">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abstractNum w:abstractNumId="3" w15:restartNumberingAfterBreak="0">
    <w:nsid w:val="3CA82DFA"/>
    <w:multiLevelType w:val="hybridMultilevel"/>
    <w:tmpl w:val="37D428A0"/>
    <w:lvl w:ilvl="0" w:tplc="04060001">
      <w:start w:val="1"/>
      <w:numFmt w:val="bullet"/>
      <w:lvlText w:val=""/>
      <w:lvlJc w:val="left"/>
      <w:pPr>
        <w:ind w:left="720" w:hanging="360"/>
      </w:pPr>
      <w:rPr>
        <w:rFonts w:ascii="Symbol" w:hAnsi="Symbol"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4" w15:restartNumberingAfterBreak="0">
    <w:nsid w:val="4EFD0754"/>
    <w:multiLevelType w:val="hybridMultilevel"/>
    <w:tmpl w:val="659CA6E8"/>
    <w:lvl w:ilvl="0" w:tplc="B54A8B74">
      <w:start w:val="1"/>
      <w:numFmt w:val="decimal"/>
      <w:lvlText w:val="%1."/>
      <w:lvlJc w:val="left"/>
      <w:pPr>
        <w:ind w:left="720" w:hanging="360"/>
      </w:pPr>
      <w:rPr>
        <w:rFonts w:hint="default"/>
      </w:rPr>
    </w:lvl>
    <w:lvl w:ilvl="1" w:tplc="04060019" w:tentative="1">
      <w:start w:val="1"/>
      <w:numFmt w:val="lowerLetter"/>
      <w:lvlText w:val="%2."/>
      <w:lvlJc w:val="left"/>
      <w:pPr>
        <w:ind w:left="1440" w:hanging="360"/>
      </w:pPr>
    </w:lvl>
    <w:lvl w:ilvl="2" w:tplc="0406001B" w:tentative="1">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abstractNum w:abstractNumId="5" w15:restartNumberingAfterBreak="0">
    <w:nsid w:val="555737CB"/>
    <w:multiLevelType w:val="hybridMultilevel"/>
    <w:tmpl w:val="1C5A25C4"/>
    <w:lvl w:ilvl="0" w:tplc="04060001">
      <w:start w:val="1"/>
      <w:numFmt w:val="bullet"/>
      <w:lvlText w:val=""/>
      <w:lvlJc w:val="left"/>
      <w:pPr>
        <w:ind w:left="720" w:hanging="360"/>
      </w:pPr>
      <w:rPr>
        <w:rFonts w:ascii="Symbol" w:hAnsi="Symbol"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6" w15:restartNumberingAfterBreak="0">
    <w:nsid w:val="775E3287"/>
    <w:multiLevelType w:val="hybridMultilevel"/>
    <w:tmpl w:val="8E64FD06"/>
    <w:lvl w:ilvl="0" w:tplc="2F3C5710">
      <w:start w:val="4"/>
      <w:numFmt w:val="decimal"/>
      <w:lvlText w:val="%1."/>
      <w:lvlJc w:val="left"/>
      <w:pPr>
        <w:ind w:left="720" w:hanging="360"/>
      </w:pPr>
      <w:rPr>
        <w:rFonts w:hint="default"/>
      </w:rPr>
    </w:lvl>
    <w:lvl w:ilvl="1" w:tplc="04060019" w:tentative="1">
      <w:start w:val="1"/>
      <w:numFmt w:val="lowerLetter"/>
      <w:lvlText w:val="%2."/>
      <w:lvlJc w:val="left"/>
      <w:pPr>
        <w:ind w:left="1440" w:hanging="360"/>
      </w:pPr>
    </w:lvl>
    <w:lvl w:ilvl="2" w:tplc="0406001B" w:tentative="1">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num w:numId="1" w16cid:durableId="528950010">
    <w:abstractNumId w:val="0"/>
  </w:num>
  <w:num w:numId="2" w16cid:durableId="970475626">
    <w:abstractNumId w:val="2"/>
  </w:num>
  <w:num w:numId="3" w16cid:durableId="341251031">
    <w:abstractNumId w:val="3"/>
  </w:num>
  <w:num w:numId="4" w16cid:durableId="1106121932">
    <w:abstractNumId w:val="4"/>
  </w:num>
  <w:num w:numId="5" w16cid:durableId="1457480797">
    <w:abstractNumId w:val="1"/>
  </w:num>
  <w:num w:numId="6" w16cid:durableId="318536949">
    <w:abstractNumId w:val="6"/>
  </w:num>
  <w:num w:numId="7" w16cid:durableId="71304559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1304"/>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405E"/>
    <w:rsid w:val="00000BF9"/>
    <w:rsid w:val="000020B5"/>
    <w:rsid w:val="00002426"/>
    <w:rsid w:val="00002E1E"/>
    <w:rsid w:val="00003093"/>
    <w:rsid w:val="000036DB"/>
    <w:rsid w:val="00003864"/>
    <w:rsid w:val="0000397C"/>
    <w:rsid w:val="00004DCB"/>
    <w:rsid w:val="00006116"/>
    <w:rsid w:val="000063FE"/>
    <w:rsid w:val="000073FD"/>
    <w:rsid w:val="00010CFB"/>
    <w:rsid w:val="0001231B"/>
    <w:rsid w:val="0001284D"/>
    <w:rsid w:val="0001301D"/>
    <w:rsid w:val="00013EDC"/>
    <w:rsid w:val="0001479D"/>
    <w:rsid w:val="0001485B"/>
    <w:rsid w:val="000155BD"/>
    <w:rsid w:val="00016146"/>
    <w:rsid w:val="00017118"/>
    <w:rsid w:val="00017F0E"/>
    <w:rsid w:val="0002074B"/>
    <w:rsid w:val="000215C9"/>
    <w:rsid w:val="00022062"/>
    <w:rsid w:val="000222C0"/>
    <w:rsid w:val="000225F3"/>
    <w:rsid w:val="00026848"/>
    <w:rsid w:val="000301FE"/>
    <w:rsid w:val="00030B97"/>
    <w:rsid w:val="00030D55"/>
    <w:rsid w:val="00032160"/>
    <w:rsid w:val="0003245E"/>
    <w:rsid w:val="00032E7D"/>
    <w:rsid w:val="000332C4"/>
    <w:rsid w:val="00033CDC"/>
    <w:rsid w:val="0003425B"/>
    <w:rsid w:val="00034F2D"/>
    <w:rsid w:val="000353AD"/>
    <w:rsid w:val="00035EBE"/>
    <w:rsid w:val="000369B3"/>
    <w:rsid w:val="00036F06"/>
    <w:rsid w:val="00037157"/>
    <w:rsid w:val="00037B58"/>
    <w:rsid w:val="000409F8"/>
    <w:rsid w:val="00043FDB"/>
    <w:rsid w:val="00044588"/>
    <w:rsid w:val="000448D4"/>
    <w:rsid w:val="00045A72"/>
    <w:rsid w:val="000460DE"/>
    <w:rsid w:val="00047357"/>
    <w:rsid w:val="00050BA8"/>
    <w:rsid w:val="00050D5F"/>
    <w:rsid w:val="00050E0B"/>
    <w:rsid w:val="000535BC"/>
    <w:rsid w:val="00053897"/>
    <w:rsid w:val="00053C61"/>
    <w:rsid w:val="000547D8"/>
    <w:rsid w:val="00055AA6"/>
    <w:rsid w:val="00057ACC"/>
    <w:rsid w:val="00060555"/>
    <w:rsid w:val="00062721"/>
    <w:rsid w:val="000635B4"/>
    <w:rsid w:val="00063F18"/>
    <w:rsid w:val="00064020"/>
    <w:rsid w:val="000661B0"/>
    <w:rsid w:val="00066948"/>
    <w:rsid w:val="000729BC"/>
    <w:rsid w:val="00073434"/>
    <w:rsid w:val="00075508"/>
    <w:rsid w:val="00075914"/>
    <w:rsid w:val="00075AC5"/>
    <w:rsid w:val="00077C70"/>
    <w:rsid w:val="00080812"/>
    <w:rsid w:val="000808FE"/>
    <w:rsid w:val="00082A43"/>
    <w:rsid w:val="000839BA"/>
    <w:rsid w:val="00083A0C"/>
    <w:rsid w:val="000850D7"/>
    <w:rsid w:val="0009086E"/>
    <w:rsid w:val="00090FDA"/>
    <w:rsid w:val="00091B5C"/>
    <w:rsid w:val="000938E2"/>
    <w:rsid w:val="0009432A"/>
    <w:rsid w:val="000949EF"/>
    <w:rsid w:val="000958E4"/>
    <w:rsid w:val="00095D90"/>
    <w:rsid w:val="00097D5A"/>
    <w:rsid w:val="000A01E4"/>
    <w:rsid w:val="000A05C6"/>
    <w:rsid w:val="000A2D98"/>
    <w:rsid w:val="000A3156"/>
    <w:rsid w:val="000A37B7"/>
    <w:rsid w:val="000A4D04"/>
    <w:rsid w:val="000A5DF9"/>
    <w:rsid w:val="000A5F14"/>
    <w:rsid w:val="000A6DF4"/>
    <w:rsid w:val="000A7CD1"/>
    <w:rsid w:val="000B173A"/>
    <w:rsid w:val="000B232C"/>
    <w:rsid w:val="000B487A"/>
    <w:rsid w:val="000B4DAF"/>
    <w:rsid w:val="000B4E21"/>
    <w:rsid w:val="000B4E9C"/>
    <w:rsid w:val="000B73FB"/>
    <w:rsid w:val="000B793B"/>
    <w:rsid w:val="000B7D91"/>
    <w:rsid w:val="000C0D36"/>
    <w:rsid w:val="000C12CC"/>
    <w:rsid w:val="000C1366"/>
    <w:rsid w:val="000C35EB"/>
    <w:rsid w:val="000C4157"/>
    <w:rsid w:val="000C422A"/>
    <w:rsid w:val="000C55E1"/>
    <w:rsid w:val="000C5A47"/>
    <w:rsid w:val="000C65D5"/>
    <w:rsid w:val="000C7E14"/>
    <w:rsid w:val="000D139F"/>
    <w:rsid w:val="000D256F"/>
    <w:rsid w:val="000D2CF6"/>
    <w:rsid w:val="000D3314"/>
    <w:rsid w:val="000D62A5"/>
    <w:rsid w:val="000D6CF5"/>
    <w:rsid w:val="000D720C"/>
    <w:rsid w:val="000E006A"/>
    <w:rsid w:val="000E052F"/>
    <w:rsid w:val="000E5F82"/>
    <w:rsid w:val="000F0D68"/>
    <w:rsid w:val="000F13DB"/>
    <w:rsid w:val="000F23DF"/>
    <w:rsid w:val="000F338C"/>
    <w:rsid w:val="000F423F"/>
    <w:rsid w:val="000F43CB"/>
    <w:rsid w:val="000F626E"/>
    <w:rsid w:val="00100061"/>
    <w:rsid w:val="001034AA"/>
    <w:rsid w:val="00103790"/>
    <w:rsid w:val="00103FE5"/>
    <w:rsid w:val="00104072"/>
    <w:rsid w:val="00104245"/>
    <w:rsid w:val="001047D6"/>
    <w:rsid w:val="00105472"/>
    <w:rsid w:val="001104C6"/>
    <w:rsid w:val="00111A14"/>
    <w:rsid w:val="0011294E"/>
    <w:rsid w:val="00113D69"/>
    <w:rsid w:val="00115CFD"/>
    <w:rsid w:val="00122FD2"/>
    <w:rsid w:val="00123413"/>
    <w:rsid w:val="00125BE9"/>
    <w:rsid w:val="001306D4"/>
    <w:rsid w:val="00130700"/>
    <w:rsid w:val="001323F4"/>
    <w:rsid w:val="00132C6B"/>
    <w:rsid w:val="00133DBE"/>
    <w:rsid w:val="00137A8C"/>
    <w:rsid w:val="00140D0B"/>
    <w:rsid w:val="00141A54"/>
    <w:rsid w:val="00142841"/>
    <w:rsid w:val="00142F66"/>
    <w:rsid w:val="001463AA"/>
    <w:rsid w:val="00146C8A"/>
    <w:rsid w:val="00146E0F"/>
    <w:rsid w:val="00147BFF"/>
    <w:rsid w:val="00150398"/>
    <w:rsid w:val="00153EF7"/>
    <w:rsid w:val="00156097"/>
    <w:rsid w:val="00156C7F"/>
    <w:rsid w:val="001578D7"/>
    <w:rsid w:val="00157FAE"/>
    <w:rsid w:val="001615C1"/>
    <w:rsid w:val="00163260"/>
    <w:rsid w:val="00164616"/>
    <w:rsid w:val="00164DA6"/>
    <w:rsid w:val="00164DF8"/>
    <w:rsid w:val="00165860"/>
    <w:rsid w:val="00165EBE"/>
    <w:rsid w:val="00166E3B"/>
    <w:rsid w:val="0016754E"/>
    <w:rsid w:val="00170FFF"/>
    <w:rsid w:val="00171B65"/>
    <w:rsid w:val="00172593"/>
    <w:rsid w:val="001727C8"/>
    <w:rsid w:val="00172F65"/>
    <w:rsid w:val="00173CA4"/>
    <w:rsid w:val="001752C5"/>
    <w:rsid w:val="00175963"/>
    <w:rsid w:val="001764F6"/>
    <w:rsid w:val="00176CFB"/>
    <w:rsid w:val="0017772D"/>
    <w:rsid w:val="00177932"/>
    <w:rsid w:val="00180FDA"/>
    <w:rsid w:val="00181C78"/>
    <w:rsid w:val="0018224E"/>
    <w:rsid w:val="0018256D"/>
    <w:rsid w:val="00183EDE"/>
    <w:rsid w:val="00183FD9"/>
    <w:rsid w:val="00184ADD"/>
    <w:rsid w:val="00191763"/>
    <w:rsid w:val="00192FC8"/>
    <w:rsid w:val="00193D32"/>
    <w:rsid w:val="0019480B"/>
    <w:rsid w:val="00196631"/>
    <w:rsid w:val="001A226E"/>
    <w:rsid w:val="001A29AF"/>
    <w:rsid w:val="001A2D04"/>
    <w:rsid w:val="001A2D59"/>
    <w:rsid w:val="001A3D90"/>
    <w:rsid w:val="001A661C"/>
    <w:rsid w:val="001B066F"/>
    <w:rsid w:val="001B3F05"/>
    <w:rsid w:val="001B43B9"/>
    <w:rsid w:val="001B5666"/>
    <w:rsid w:val="001B6E0C"/>
    <w:rsid w:val="001B70F2"/>
    <w:rsid w:val="001C03BC"/>
    <w:rsid w:val="001C0414"/>
    <w:rsid w:val="001C0D19"/>
    <w:rsid w:val="001C1B27"/>
    <w:rsid w:val="001C1D65"/>
    <w:rsid w:val="001C2B2C"/>
    <w:rsid w:val="001C2E45"/>
    <w:rsid w:val="001C59CF"/>
    <w:rsid w:val="001C7ED0"/>
    <w:rsid w:val="001D047A"/>
    <w:rsid w:val="001D179E"/>
    <w:rsid w:val="001D1E92"/>
    <w:rsid w:val="001D2780"/>
    <w:rsid w:val="001D3135"/>
    <w:rsid w:val="001D60C6"/>
    <w:rsid w:val="001D62C4"/>
    <w:rsid w:val="001D6EE2"/>
    <w:rsid w:val="001D7292"/>
    <w:rsid w:val="001E0AA7"/>
    <w:rsid w:val="001E343E"/>
    <w:rsid w:val="001E35D6"/>
    <w:rsid w:val="001E3857"/>
    <w:rsid w:val="001E4EAA"/>
    <w:rsid w:val="001E6182"/>
    <w:rsid w:val="001E627F"/>
    <w:rsid w:val="001E62C7"/>
    <w:rsid w:val="001E63A9"/>
    <w:rsid w:val="001E643E"/>
    <w:rsid w:val="001E718E"/>
    <w:rsid w:val="001F017F"/>
    <w:rsid w:val="001F0ABC"/>
    <w:rsid w:val="001F0C05"/>
    <w:rsid w:val="001F1FA3"/>
    <w:rsid w:val="001F445F"/>
    <w:rsid w:val="001F4DCE"/>
    <w:rsid w:val="001F50B1"/>
    <w:rsid w:val="001F636F"/>
    <w:rsid w:val="001F6BD8"/>
    <w:rsid w:val="001F72E2"/>
    <w:rsid w:val="001F7680"/>
    <w:rsid w:val="001F7684"/>
    <w:rsid w:val="001F7EDA"/>
    <w:rsid w:val="00200A8E"/>
    <w:rsid w:val="00201558"/>
    <w:rsid w:val="002030EC"/>
    <w:rsid w:val="00207230"/>
    <w:rsid w:val="002078FF"/>
    <w:rsid w:val="00207BA0"/>
    <w:rsid w:val="00210121"/>
    <w:rsid w:val="00210ECC"/>
    <w:rsid w:val="00210ECF"/>
    <w:rsid w:val="0021149B"/>
    <w:rsid w:val="0021171B"/>
    <w:rsid w:val="00211CF1"/>
    <w:rsid w:val="00213EBD"/>
    <w:rsid w:val="00217198"/>
    <w:rsid w:val="0022317D"/>
    <w:rsid w:val="00224697"/>
    <w:rsid w:val="00224A0A"/>
    <w:rsid w:val="0022589D"/>
    <w:rsid w:val="00226843"/>
    <w:rsid w:val="00231AEF"/>
    <w:rsid w:val="00235226"/>
    <w:rsid w:val="00235802"/>
    <w:rsid w:val="00236317"/>
    <w:rsid w:val="00237BA3"/>
    <w:rsid w:val="00237EB8"/>
    <w:rsid w:val="00240111"/>
    <w:rsid w:val="002414DB"/>
    <w:rsid w:val="002414FD"/>
    <w:rsid w:val="0024288F"/>
    <w:rsid w:val="00242C9E"/>
    <w:rsid w:val="00243270"/>
    <w:rsid w:val="00245255"/>
    <w:rsid w:val="00247451"/>
    <w:rsid w:val="00251A28"/>
    <w:rsid w:val="00252D37"/>
    <w:rsid w:val="002537E7"/>
    <w:rsid w:val="00254898"/>
    <w:rsid w:val="002556DE"/>
    <w:rsid w:val="002577F2"/>
    <w:rsid w:val="00257CD4"/>
    <w:rsid w:val="002603ED"/>
    <w:rsid w:val="00261BE7"/>
    <w:rsid w:val="00264809"/>
    <w:rsid w:val="00264ED1"/>
    <w:rsid w:val="00264FFF"/>
    <w:rsid w:val="00266E5E"/>
    <w:rsid w:val="00270367"/>
    <w:rsid w:val="002706CF"/>
    <w:rsid w:val="00271DD4"/>
    <w:rsid w:val="00272138"/>
    <w:rsid w:val="00273356"/>
    <w:rsid w:val="00274569"/>
    <w:rsid w:val="00277512"/>
    <w:rsid w:val="0028140F"/>
    <w:rsid w:val="00281A8A"/>
    <w:rsid w:val="002823A8"/>
    <w:rsid w:val="002824BA"/>
    <w:rsid w:val="002850A6"/>
    <w:rsid w:val="002853C2"/>
    <w:rsid w:val="0028565A"/>
    <w:rsid w:val="0028574B"/>
    <w:rsid w:val="00286227"/>
    <w:rsid w:val="002879EA"/>
    <w:rsid w:val="00287D36"/>
    <w:rsid w:val="00287E78"/>
    <w:rsid w:val="0029201B"/>
    <w:rsid w:val="00292C46"/>
    <w:rsid w:val="00293151"/>
    <w:rsid w:val="002941BE"/>
    <w:rsid w:val="00294D7D"/>
    <w:rsid w:val="002953CD"/>
    <w:rsid w:val="00296450"/>
    <w:rsid w:val="00297710"/>
    <w:rsid w:val="002A04B7"/>
    <w:rsid w:val="002A06A0"/>
    <w:rsid w:val="002A0EE4"/>
    <w:rsid w:val="002A18BF"/>
    <w:rsid w:val="002A4238"/>
    <w:rsid w:val="002A42D5"/>
    <w:rsid w:val="002A7731"/>
    <w:rsid w:val="002B0072"/>
    <w:rsid w:val="002B0C88"/>
    <w:rsid w:val="002B0FF7"/>
    <w:rsid w:val="002B4159"/>
    <w:rsid w:val="002B4571"/>
    <w:rsid w:val="002B5F72"/>
    <w:rsid w:val="002B6AFC"/>
    <w:rsid w:val="002C0408"/>
    <w:rsid w:val="002C17AA"/>
    <w:rsid w:val="002C220D"/>
    <w:rsid w:val="002C27B0"/>
    <w:rsid w:val="002C34C1"/>
    <w:rsid w:val="002C473E"/>
    <w:rsid w:val="002C691B"/>
    <w:rsid w:val="002C6E96"/>
    <w:rsid w:val="002D0A2E"/>
    <w:rsid w:val="002D1768"/>
    <w:rsid w:val="002D2384"/>
    <w:rsid w:val="002D3CE4"/>
    <w:rsid w:val="002D6336"/>
    <w:rsid w:val="002D6E1B"/>
    <w:rsid w:val="002E1ABC"/>
    <w:rsid w:val="002E3351"/>
    <w:rsid w:val="002E7DFF"/>
    <w:rsid w:val="002F26C3"/>
    <w:rsid w:val="002F3F74"/>
    <w:rsid w:val="002F7BD9"/>
    <w:rsid w:val="00300BFA"/>
    <w:rsid w:val="00300D54"/>
    <w:rsid w:val="003011D1"/>
    <w:rsid w:val="003017AA"/>
    <w:rsid w:val="0030306C"/>
    <w:rsid w:val="003030E3"/>
    <w:rsid w:val="00303C21"/>
    <w:rsid w:val="003063B8"/>
    <w:rsid w:val="0030649D"/>
    <w:rsid w:val="003066E3"/>
    <w:rsid w:val="0030767E"/>
    <w:rsid w:val="00307F6F"/>
    <w:rsid w:val="00310CB8"/>
    <w:rsid w:val="00310CBD"/>
    <w:rsid w:val="003117CD"/>
    <w:rsid w:val="00311B2D"/>
    <w:rsid w:val="00312558"/>
    <w:rsid w:val="00313F21"/>
    <w:rsid w:val="00314FBB"/>
    <w:rsid w:val="00315CAF"/>
    <w:rsid w:val="003165C2"/>
    <w:rsid w:val="00317B8B"/>
    <w:rsid w:val="0032090D"/>
    <w:rsid w:val="00320DD4"/>
    <w:rsid w:val="00321521"/>
    <w:rsid w:val="0032531E"/>
    <w:rsid w:val="0032697D"/>
    <w:rsid w:val="00326A9E"/>
    <w:rsid w:val="00326BDE"/>
    <w:rsid w:val="0032792B"/>
    <w:rsid w:val="003313AD"/>
    <w:rsid w:val="00331484"/>
    <w:rsid w:val="003314A5"/>
    <w:rsid w:val="00331A8D"/>
    <w:rsid w:val="00331C4B"/>
    <w:rsid w:val="00334EB5"/>
    <w:rsid w:val="003378F2"/>
    <w:rsid w:val="003404A8"/>
    <w:rsid w:val="00341058"/>
    <w:rsid w:val="0034118E"/>
    <w:rsid w:val="00342632"/>
    <w:rsid w:val="00344347"/>
    <w:rsid w:val="00345A56"/>
    <w:rsid w:val="0034686F"/>
    <w:rsid w:val="0034776A"/>
    <w:rsid w:val="00347CB1"/>
    <w:rsid w:val="00350B9A"/>
    <w:rsid w:val="00351403"/>
    <w:rsid w:val="00352323"/>
    <w:rsid w:val="003523B1"/>
    <w:rsid w:val="00352420"/>
    <w:rsid w:val="003527AB"/>
    <w:rsid w:val="003534F5"/>
    <w:rsid w:val="00353618"/>
    <w:rsid w:val="003539C0"/>
    <w:rsid w:val="003547F2"/>
    <w:rsid w:val="003553BF"/>
    <w:rsid w:val="00355725"/>
    <w:rsid w:val="00355ADD"/>
    <w:rsid w:val="003600ED"/>
    <w:rsid w:val="00360458"/>
    <w:rsid w:val="00360823"/>
    <w:rsid w:val="00361829"/>
    <w:rsid w:val="00363963"/>
    <w:rsid w:val="0036465E"/>
    <w:rsid w:val="00365737"/>
    <w:rsid w:val="00365B42"/>
    <w:rsid w:val="00367718"/>
    <w:rsid w:val="00373DB3"/>
    <w:rsid w:val="003771FF"/>
    <w:rsid w:val="00380A20"/>
    <w:rsid w:val="00381DAC"/>
    <w:rsid w:val="0038201D"/>
    <w:rsid w:val="00382619"/>
    <w:rsid w:val="00383979"/>
    <w:rsid w:val="0039226F"/>
    <w:rsid w:val="00392A91"/>
    <w:rsid w:val="003944EB"/>
    <w:rsid w:val="00394993"/>
    <w:rsid w:val="0039582D"/>
    <w:rsid w:val="00395A43"/>
    <w:rsid w:val="00397BE5"/>
    <w:rsid w:val="003A02DB"/>
    <w:rsid w:val="003A0EF4"/>
    <w:rsid w:val="003A1BAE"/>
    <w:rsid w:val="003A1DD6"/>
    <w:rsid w:val="003A257D"/>
    <w:rsid w:val="003A3090"/>
    <w:rsid w:val="003A349E"/>
    <w:rsid w:val="003A4756"/>
    <w:rsid w:val="003A5D9C"/>
    <w:rsid w:val="003A6616"/>
    <w:rsid w:val="003A6B4F"/>
    <w:rsid w:val="003A6E10"/>
    <w:rsid w:val="003B14AA"/>
    <w:rsid w:val="003B2539"/>
    <w:rsid w:val="003B3DA1"/>
    <w:rsid w:val="003B43DB"/>
    <w:rsid w:val="003B51CF"/>
    <w:rsid w:val="003C199A"/>
    <w:rsid w:val="003C254A"/>
    <w:rsid w:val="003C3843"/>
    <w:rsid w:val="003C3D58"/>
    <w:rsid w:val="003C65BB"/>
    <w:rsid w:val="003C717D"/>
    <w:rsid w:val="003C743D"/>
    <w:rsid w:val="003C7A2D"/>
    <w:rsid w:val="003D0424"/>
    <w:rsid w:val="003D1504"/>
    <w:rsid w:val="003D1D3F"/>
    <w:rsid w:val="003D2155"/>
    <w:rsid w:val="003D27DA"/>
    <w:rsid w:val="003D3609"/>
    <w:rsid w:val="003D5796"/>
    <w:rsid w:val="003E02A3"/>
    <w:rsid w:val="003E0868"/>
    <w:rsid w:val="003E0F7E"/>
    <w:rsid w:val="003E16AB"/>
    <w:rsid w:val="003E270F"/>
    <w:rsid w:val="003E4FAB"/>
    <w:rsid w:val="003E6171"/>
    <w:rsid w:val="003E6526"/>
    <w:rsid w:val="003E73B7"/>
    <w:rsid w:val="003E745B"/>
    <w:rsid w:val="003E79D9"/>
    <w:rsid w:val="003E7DBC"/>
    <w:rsid w:val="003F0AEF"/>
    <w:rsid w:val="003F3E7A"/>
    <w:rsid w:val="003F4384"/>
    <w:rsid w:val="003F44D4"/>
    <w:rsid w:val="003F53F6"/>
    <w:rsid w:val="003F69EF"/>
    <w:rsid w:val="003F6F13"/>
    <w:rsid w:val="004003A6"/>
    <w:rsid w:val="00400FEF"/>
    <w:rsid w:val="00401096"/>
    <w:rsid w:val="0040135C"/>
    <w:rsid w:val="00401CB8"/>
    <w:rsid w:val="00403C24"/>
    <w:rsid w:val="004058BD"/>
    <w:rsid w:val="0040758D"/>
    <w:rsid w:val="00407BF5"/>
    <w:rsid w:val="0041047B"/>
    <w:rsid w:val="0041265C"/>
    <w:rsid w:val="00412C26"/>
    <w:rsid w:val="00414021"/>
    <w:rsid w:val="00414FC4"/>
    <w:rsid w:val="00415F7C"/>
    <w:rsid w:val="004172BA"/>
    <w:rsid w:val="004213EE"/>
    <w:rsid w:val="00421A24"/>
    <w:rsid w:val="00421A32"/>
    <w:rsid w:val="00421ABB"/>
    <w:rsid w:val="00426B73"/>
    <w:rsid w:val="00430BE1"/>
    <w:rsid w:val="00432DE4"/>
    <w:rsid w:val="00432EBE"/>
    <w:rsid w:val="00433720"/>
    <w:rsid w:val="00433EB3"/>
    <w:rsid w:val="004361B4"/>
    <w:rsid w:val="004371AB"/>
    <w:rsid w:val="00437DE6"/>
    <w:rsid w:val="00437E54"/>
    <w:rsid w:val="00437E9E"/>
    <w:rsid w:val="00442F55"/>
    <w:rsid w:val="00443BB3"/>
    <w:rsid w:val="0044425A"/>
    <w:rsid w:val="004463AC"/>
    <w:rsid w:val="00450140"/>
    <w:rsid w:val="00450A80"/>
    <w:rsid w:val="00452591"/>
    <w:rsid w:val="00452F3A"/>
    <w:rsid w:val="00453AE7"/>
    <w:rsid w:val="0046049A"/>
    <w:rsid w:val="00460EC3"/>
    <w:rsid w:val="00461928"/>
    <w:rsid w:val="00461E96"/>
    <w:rsid w:val="00462AFB"/>
    <w:rsid w:val="00464B5D"/>
    <w:rsid w:val="00464D74"/>
    <w:rsid w:val="004650B3"/>
    <w:rsid w:val="00466B4A"/>
    <w:rsid w:val="00467BBF"/>
    <w:rsid w:val="00470ED5"/>
    <w:rsid w:val="00476590"/>
    <w:rsid w:val="00477D7C"/>
    <w:rsid w:val="0048084A"/>
    <w:rsid w:val="0048233E"/>
    <w:rsid w:val="004838D7"/>
    <w:rsid w:val="00484D5C"/>
    <w:rsid w:val="00484DB5"/>
    <w:rsid w:val="00485836"/>
    <w:rsid w:val="00485FEA"/>
    <w:rsid w:val="004863D8"/>
    <w:rsid w:val="00487210"/>
    <w:rsid w:val="004903F7"/>
    <w:rsid w:val="0049044B"/>
    <w:rsid w:val="00490ED4"/>
    <w:rsid w:val="004910E0"/>
    <w:rsid w:val="00491427"/>
    <w:rsid w:val="00492B1E"/>
    <w:rsid w:val="004933ED"/>
    <w:rsid w:val="00494C55"/>
    <w:rsid w:val="00494ED3"/>
    <w:rsid w:val="004953CC"/>
    <w:rsid w:val="00495A40"/>
    <w:rsid w:val="00495A8E"/>
    <w:rsid w:val="00495C48"/>
    <w:rsid w:val="0049723E"/>
    <w:rsid w:val="004A0369"/>
    <w:rsid w:val="004A0C32"/>
    <w:rsid w:val="004A1804"/>
    <w:rsid w:val="004A3870"/>
    <w:rsid w:val="004A387B"/>
    <w:rsid w:val="004A4300"/>
    <w:rsid w:val="004A56AE"/>
    <w:rsid w:val="004A7554"/>
    <w:rsid w:val="004B1D07"/>
    <w:rsid w:val="004B2303"/>
    <w:rsid w:val="004B28FA"/>
    <w:rsid w:val="004B3360"/>
    <w:rsid w:val="004B3BBE"/>
    <w:rsid w:val="004B4199"/>
    <w:rsid w:val="004B444C"/>
    <w:rsid w:val="004B446F"/>
    <w:rsid w:val="004B5DF9"/>
    <w:rsid w:val="004C0335"/>
    <w:rsid w:val="004C13DB"/>
    <w:rsid w:val="004C2F92"/>
    <w:rsid w:val="004C3515"/>
    <w:rsid w:val="004C3E30"/>
    <w:rsid w:val="004C495B"/>
    <w:rsid w:val="004C699E"/>
    <w:rsid w:val="004C78B2"/>
    <w:rsid w:val="004D128B"/>
    <w:rsid w:val="004D1E41"/>
    <w:rsid w:val="004D26FA"/>
    <w:rsid w:val="004D60C0"/>
    <w:rsid w:val="004D6108"/>
    <w:rsid w:val="004E029D"/>
    <w:rsid w:val="004E0F8E"/>
    <w:rsid w:val="004E1B5F"/>
    <w:rsid w:val="004E23FF"/>
    <w:rsid w:val="004E4848"/>
    <w:rsid w:val="004E49B3"/>
    <w:rsid w:val="004E539C"/>
    <w:rsid w:val="004E5B7C"/>
    <w:rsid w:val="004F0429"/>
    <w:rsid w:val="004F1119"/>
    <w:rsid w:val="004F18FB"/>
    <w:rsid w:val="004F5696"/>
    <w:rsid w:val="004F798E"/>
    <w:rsid w:val="004F7B56"/>
    <w:rsid w:val="00500358"/>
    <w:rsid w:val="00502A0A"/>
    <w:rsid w:val="005034EB"/>
    <w:rsid w:val="005038F7"/>
    <w:rsid w:val="00503AB1"/>
    <w:rsid w:val="005040D5"/>
    <w:rsid w:val="00504DCA"/>
    <w:rsid w:val="005055D9"/>
    <w:rsid w:val="005065D8"/>
    <w:rsid w:val="00507A4A"/>
    <w:rsid w:val="00510730"/>
    <w:rsid w:val="00510F55"/>
    <w:rsid w:val="00511CAB"/>
    <w:rsid w:val="005157C9"/>
    <w:rsid w:val="00515AD8"/>
    <w:rsid w:val="00516E1C"/>
    <w:rsid w:val="00517474"/>
    <w:rsid w:val="00517EE3"/>
    <w:rsid w:val="00520159"/>
    <w:rsid w:val="00520318"/>
    <w:rsid w:val="0052101C"/>
    <w:rsid w:val="00521CBE"/>
    <w:rsid w:val="005221D2"/>
    <w:rsid w:val="00522812"/>
    <w:rsid w:val="0052683A"/>
    <w:rsid w:val="0052713A"/>
    <w:rsid w:val="00527440"/>
    <w:rsid w:val="00527964"/>
    <w:rsid w:val="00530967"/>
    <w:rsid w:val="0053096B"/>
    <w:rsid w:val="0053136D"/>
    <w:rsid w:val="005331F0"/>
    <w:rsid w:val="00533DE9"/>
    <w:rsid w:val="005359BF"/>
    <w:rsid w:val="0054073B"/>
    <w:rsid w:val="00540E9A"/>
    <w:rsid w:val="00541C06"/>
    <w:rsid w:val="005420A3"/>
    <w:rsid w:val="00542680"/>
    <w:rsid w:val="00542B21"/>
    <w:rsid w:val="00542C9E"/>
    <w:rsid w:val="00543710"/>
    <w:rsid w:val="00544515"/>
    <w:rsid w:val="00544560"/>
    <w:rsid w:val="00544925"/>
    <w:rsid w:val="00545138"/>
    <w:rsid w:val="005455F8"/>
    <w:rsid w:val="0054585B"/>
    <w:rsid w:val="00545EE3"/>
    <w:rsid w:val="00551622"/>
    <w:rsid w:val="0055285E"/>
    <w:rsid w:val="00553961"/>
    <w:rsid w:val="005545D2"/>
    <w:rsid w:val="005554F5"/>
    <w:rsid w:val="005574B3"/>
    <w:rsid w:val="0055794C"/>
    <w:rsid w:val="00561414"/>
    <w:rsid w:val="005615AC"/>
    <w:rsid w:val="0056167A"/>
    <w:rsid w:val="005629BE"/>
    <w:rsid w:val="00562DFE"/>
    <w:rsid w:val="00562FE0"/>
    <w:rsid w:val="005630AD"/>
    <w:rsid w:val="0056328C"/>
    <w:rsid w:val="005636F0"/>
    <w:rsid w:val="00566133"/>
    <w:rsid w:val="00567C84"/>
    <w:rsid w:val="00570328"/>
    <w:rsid w:val="00571757"/>
    <w:rsid w:val="00572B8A"/>
    <w:rsid w:val="005734B4"/>
    <w:rsid w:val="00575EA2"/>
    <w:rsid w:val="005765F6"/>
    <w:rsid w:val="00576FEE"/>
    <w:rsid w:val="00577232"/>
    <w:rsid w:val="00577722"/>
    <w:rsid w:val="00577873"/>
    <w:rsid w:val="00577BC8"/>
    <w:rsid w:val="00581A37"/>
    <w:rsid w:val="00581F38"/>
    <w:rsid w:val="00582E93"/>
    <w:rsid w:val="00583690"/>
    <w:rsid w:val="005847E8"/>
    <w:rsid w:val="00585796"/>
    <w:rsid w:val="00585A5B"/>
    <w:rsid w:val="00585E40"/>
    <w:rsid w:val="005869C3"/>
    <w:rsid w:val="00586B15"/>
    <w:rsid w:val="00587613"/>
    <w:rsid w:val="00590257"/>
    <w:rsid w:val="005903AD"/>
    <w:rsid w:val="00590CF8"/>
    <w:rsid w:val="0059116D"/>
    <w:rsid w:val="00593637"/>
    <w:rsid w:val="00593E03"/>
    <w:rsid w:val="005948A0"/>
    <w:rsid w:val="005972E2"/>
    <w:rsid w:val="005979BC"/>
    <w:rsid w:val="005A03E4"/>
    <w:rsid w:val="005A096D"/>
    <w:rsid w:val="005A0A7D"/>
    <w:rsid w:val="005A14F4"/>
    <w:rsid w:val="005A1C39"/>
    <w:rsid w:val="005A20D9"/>
    <w:rsid w:val="005A2A15"/>
    <w:rsid w:val="005A31A3"/>
    <w:rsid w:val="005A5FDF"/>
    <w:rsid w:val="005A632D"/>
    <w:rsid w:val="005A66F6"/>
    <w:rsid w:val="005B1ABC"/>
    <w:rsid w:val="005B2BE6"/>
    <w:rsid w:val="005B47F6"/>
    <w:rsid w:val="005B72B4"/>
    <w:rsid w:val="005C0AC9"/>
    <w:rsid w:val="005C10FF"/>
    <w:rsid w:val="005C1FD9"/>
    <w:rsid w:val="005C317A"/>
    <w:rsid w:val="005C3DDB"/>
    <w:rsid w:val="005C432E"/>
    <w:rsid w:val="005C4D2B"/>
    <w:rsid w:val="005C70B9"/>
    <w:rsid w:val="005D113F"/>
    <w:rsid w:val="005D1664"/>
    <w:rsid w:val="005D2818"/>
    <w:rsid w:val="005D2E20"/>
    <w:rsid w:val="005D5B03"/>
    <w:rsid w:val="005D5ECD"/>
    <w:rsid w:val="005E0CFB"/>
    <w:rsid w:val="005E208D"/>
    <w:rsid w:val="005E23B8"/>
    <w:rsid w:val="005E3066"/>
    <w:rsid w:val="005E47D0"/>
    <w:rsid w:val="005E483B"/>
    <w:rsid w:val="005E78D9"/>
    <w:rsid w:val="005F1054"/>
    <w:rsid w:val="005F1798"/>
    <w:rsid w:val="005F2CC4"/>
    <w:rsid w:val="005F2F00"/>
    <w:rsid w:val="005F36D9"/>
    <w:rsid w:val="005F371E"/>
    <w:rsid w:val="005F4BAC"/>
    <w:rsid w:val="005F5C95"/>
    <w:rsid w:val="00600BFF"/>
    <w:rsid w:val="00600F6A"/>
    <w:rsid w:val="00602ED6"/>
    <w:rsid w:val="0060328A"/>
    <w:rsid w:val="006038DA"/>
    <w:rsid w:val="006043FE"/>
    <w:rsid w:val="00605008"/>
    <w:rsid w:val="006072C8"/>
    <w:rsid w:val="0060772F"/>
    <w:rsid w:val="0061122D"/>
    <w:rsid w:val="00611F8E"/>
    <w:rsid w:val="00612920"/>
    <w:rsid w:val="00613528"/>
    <w:rsid w:val="006210F8"/>
    <w:rsid w:val="006218B9"/>
    <w:rsid w:val="0062304B"/>
    <w:rsid w:val="00623A90"/>
    <w:rsid w:val="006277C6"/>
    <w:rsid w:val="006310EF"/>
    <w:rsid w:val="00631723"/>
    <w:rsid w:val="0063192D"/>
    <w:rsid w:val="006328A7"/>
    <w:rsid w:val="00632B94"/>
    <w:rsid w:val="00632BDD"/>
    <w:rsid w:val="00633B7E"/>
    <w:rsid w:val="00634B9D"/>
    <w:rsid w:val="0063520B"/>
    <w:rsid w:val="00640453"/>
    <w:rsid w:val="006413EC"/>
    <w:rsid w:val="006426BC"/>
    <w:rsid w:val="00643483"/>
    <w:rsid w:val="006436F4"/>
    <w:rsid w:val="00643EB6"/>
    <w:rsid w:val="0064709E"/>
    <w:rsid w:val="00647A8C"/>
    <w:rsid w:val="00647AA7"/>
    <w:rsid w:val="0065020E"/>
    <w:rsid w:val="006517FE"/>
    <w:rsid w:val="006529E5"/>
    <w:rsid w:val="0065597F"/>
    <w:rsid w:val="00655CB5"/>
    <w:rsid w:val="00655FDE"/>
    <w:rsid w:val="006570C5"/>
    <w:rsid w:val="00660A41"/>
    <w:rsid w:val="00660EE4"/>
    <w:rsid w:val="0066137D"/>
    <w:rsid w:val="00662564"/>
    <w:rsid w:val="00662749"/>
    <w:rsid w:val="006632EF"/>
    <w:rsid w:val="00665835"/>
    <w:rsid w:val="00666B43"/>
    <w:rsid w:val="006678A8"/>
    <w:rsid w:val="0066798D"/>
    <w:rsid w:val="00667E83"/>
    <w:rsid w:val="00671DC2"/>
    <w:rsid w:val="006730F7"/>
    <w:rsid w:val="00673F87"/>
    <w:rsid w:val="006764BC"/>
    <w:rsid w:val="006765A0"/>
    <w:rsid w:val="00677D7F"/>
    <w:rsid w:val="0068214F"/>
    <w:rsid w:val="006821CF"/>
    <w:rsid w:val="00682599"/>
    <w:rsid w:val="00683FFD"/>
    <w:rsid w:val="00686C64"/>
    <w:rsid w:val="0069062A"/>
    <w:rsid w:val="006913C9"/>
    <w:rsid w:val="00692981"/>
    <w:rsid w:val="00692BFF"/>
    <w:rsid w:val="00695F54"/>
    <w:rsid w:val="006979C3"/>
    <w:rsid w:val="006A0827"/>
    <w:rsid w:val="006A141B"/>
    <w:rsid w:val="006A26C2"/>
    <w:rsid w:val="006A6946"/>
    <w:rsid w:val="006A7644"/>
    <w:rsid w:val="006A7A91"/>
    <w:rsid w:val="006B0949"/>
    <w:rsid w:val="006B0999"/>
    <w:rsid w:val="006B0F8B"/>
    <w:rsid w:val="006B3659"/>
    <w:rsid w:val="006C187A"/>
    <w:rsid w:val="006C3776"/>
    <w:rsid w:val="006C405E"/>
    <w:rsid w:val="006C461C"/>
    <w:rsid w:val="006C49C2"/>
    <w:rsid w:val="006C6340"/>
    <w:rsid w:val="006D0E37"/>
    <w:rsid w:val="006D2325"/>
    <w:rsid w:val="006D4381"/>
    <w:rsid w:val="006D4826"/>
    <w:rsid w:val="006D4B20"/>
    <w:rsid w:val="006D6727"/>
    <w:rsid w:val="006D6D61"/>
    <w:rsid w:val="006D7143"/>
    <w:rsid w:val="006D772F"/>
    <w:rsid w:val="006E09D3"/>
    <w:rsid w:val="006E0AA4"/>
    <w:rsid w:val="006E1DF2"/>
    <w:rsid w:val="006E238D"/>
    <w:rsid w:val="006E30B2"/>
    <w:rsid w:val="006E3C89"/>
    <w:rsid w:val="006E45D5"/>
    <w:rsid w:val="006E7CDC"/>
    <w:rsid w:val="006F24A5"/>
    <w:rsid w:val="006F266C"/>
    <w:rsid w:val="006F2CC4"/>
    <w:rsid w:val="006F375F"/>
    <w:rsid w:val="006F4282"/>
    <w:rsid w:val="006F46A3"/>
    <w:rsid w:val="006F67F6"/>
    <w:rsid w:val="006F70BC"/>
    <w:rsid w:val="006F7170"/>
    <w:rsid w:val="006F73D6"/>
    <w:rsid w:val="006F7F23"/>
    <w:rsid w:val="00702B15"/>
    <w:rsid w:val="007038AA"/>
    <w:rsid w:val="0070607B"/>
    <w:rsid w:val="0070738B"/>
    <w:rsid w:val="007123F3"/>
    <w:rsid w:val="007124B2"/>
    <w:rsid w:val="00712C05"/>
    <w:rsid w:val="007134B4"/>
    <w:rsid w:val="00713BEC"/>
    <w:rsid w:val="007161BB"/>
    <w:rsid w:val="00716CCB"/>
    <w:rsid w:val="00717B55"/>
    <w:rsid w:val="00720239"/>
    <w:rsid w:val="00720FB6"/>
    <w:rsid w:val="00722039"/>
    <w:rsid w:val="00723083"/>
    <w:rsid w:val="00723CC8"/>
    <w:rsid w:val="00724048"/>
    <w:rsid w:val="007252F8"/>
    <w:rsid w:val="00727B36"/>
    <w:rsid w:val="00730B4F"/>
    <w:rsid w:val="00733CEA"/>
    <w:rsid w:val="00734447"/>
    <w:rsid w:val="00734C30"/>
    <w:rsid w:val="00735977"/>
    <w:rsid w:val="00735D60"/>
    <w:rsid w:val="00736623"/>
    <w:rsid w:val="00737372"/>
    <w:rsid w:val="00737831"/>
    <w:rsid w:val="00737F09"/>
    <w:rsid w:val="00740BBA"/>
    <w:rsid w:val="0074157F"/>
    <w:rsid w:val="007420CF"/>
    <w:rsid w:val="007428E9"/>
    <w:rsid w:val="0074305B"/>
    <w:rsid w:val="0074320A"/>
    <w:rsid w:val="00743B2C"/>
    <w:rsid w:val="00743D76"/>
    <w:rsid w:val="00745E58"/>
    <w:rsid w:val="00753488"/>
    <w:rsid w:val="007554AF"/>
    <w:rsid w:val="007560C7"/>
    <w:rsid w:val="00761414"/>
    <w:rsid w:val="00761543"/>
    <w:rsid w:val="0076330B"/>
    <w:rsid w:val="0076392B"/>
    <w:rsid w:val="00764241"/>
    <w:rsid w:val="007666A7"/>
    <w:rsid w:val="0076735C"/>
    <w:rsid w:val="0076737E"/>
    <w:rsid w:val="00767F0A"/>
    <w:rsid w:val="00767FF7"/>
    <w:rsid w:val="00771E14"/>
    <w:rsid w:val="0077470F"/>
    <w:rsid w:val="0077472F"/>
    <w:rsid w:val="00774C6E"/>
    <w:rsid w:val="00775959"/>
    <w:rsid w:val="00777528"/>
    <w:rsid w:val="00777695"/>
    <w:rsid w:val="00780A97"/>
    <w:rsid w:val="00780E38"/>
    <w:rsid w:val="0078126F"/>
    <w:rsid w:val="00781F66"/>
    <w:rsid w:val="007834C9"/>
    <w:rsid w:val="00783A0E"/>
    <w:rsid w:val="0078485C"/>
    <w:rsid w:val="00785992"/>
    <w:rsid w:val="00786263"/>
    <w:rsid w:val="007904AF"/>
    <w:rsid w:val="00790EA0"/>
    <w:rsid w:val="0079258D"/>
    <w:rsid w:val="00792B59"/>
    <w:rsid w:val="007930D3"/>
    <w:rsid w:val="00793C2B"/>
    <w:rsid w:val="007948A0"/>
    <w:rsid w:val="007956CC"/>
    <w:rsid w:val="007971E4"/>
    <w:rsid w:val="00797415"/>
    <w:rsid w:val="007976AC"/>
    <w:rsid w:val="007A16AF"/>
    <w:rsid w:val="007A1C65"/>
    <w:rsid w:val="007A1D07"/>
    <w:rsid w:val="007A25E4"/>
    <w:rsid w:val="007A326F"/>
    <w:rsid w:val="007A37F8"/>
    <w:rsid w:val="007A58DB"/>
    <w:rsid w:val="007A7983"/>
    <w:rsid w:val="007A7BA5"/>
    <w:rsid w:val="007B0962"/>
    <w:rsid w:val="007B17CE"/>
    <w:rsid w:val="007B1FD0"/>
    <w:rsid w:val="007B79A5"/>
    <w:rsid w:val="007C1F5C"/>
    <w:rsid w:val="007C2EBE"/>
    <w:rsid w:val="007C359A"/>
    <w:rsid w:val="007C3E53"/>
    <w:rsid w:val="007C4068"/>
    <w:rsid w:val="007C6954"/>
    <w:rsid w:val="007C6FDD"/>
    <w:rsid w:val="007D0D5C"/>
    <w:rsid w:val="007D3073"/>
    <w:rsid w:val="007D45E4"/>
    <w:rsid w:val="007D52E9"/>
    <w:rsid w:val="007D63AD"/>
    <w:rsid w:val="007D6A11"/>
    <w:rsid w:val="007D7E66"/>
    <w:rsid w:val="007E0CC7"/>
    <w:rsid w:val="007E145B"/>
    <w:rsid w:val="007E1ADB"/>
    <w:rsid w:val="007E65E4"/>
    <w:rsid w:val="007F142A"/>
    <w:rsid w:val="007F40A2"/>
    <w:rsid w:val="007F4408"/>
    <w:rsid w:val="007F55A3"/>
    <w:rsid w:val="007F6326"/>
    <w:rsid w:val="00801224"/>
    <w:rsid w:val="008018C1"/>
    <w:rsid w:val="00802960"/>
    <w:rsid w:val="00802D59"/>
    <w:rsid w:val="00803F02"/>
    <w:rsid w:val="00804FA8"/>
    <w:rsid w:val="00805673"/>
    <w:rsid w:val="0080655D"/>
    <w:rsid w:val="00806DCC"/>
    <w:rsid w:val="00807CE8"/>
    <w:rsid w:val="00810161"/>
    <w:rsid w:val="008109BE"/>
    <w:rsid w:val="00811207"/>
    <w:rsid w:val="008120D1"/>
    <w:rsid w:val="00812DDE"/>
    <w:rsid w:val="00813E48"/>
    <w:rsid w:val="008143A5"/>
    <w:rsid w:val="00821E08"/>
    <w:rsid w:val="00826404"/>
    <w:rsid w:val="00827280"/>
    <w:rsid w:val="0082729D"/>
    <w:rsid w:val="00830C1F"/>
    <w:rsid w:val="00830E29"/>
    <w:rsid w:val="00832128"/>
    <w:rsid w:val="00833355"/>
    <w:rsid w:val="00833696"/>
    <w:rsid w:val="00833A8C"/>
    <w:rsid w:val="008348E3"/>
    <w:rsid w:val="00834CD0"/>
    <w:rsid w:val="008352E5"/>
    <w:rsid w:val="008356CB"/>
    <w:rsid w:val="0083638E"/>
    <w:rsid w:val="008378C1"/>
    <w:rsid w:val="00840E5F"/>
    <w:rsid w:val="0084385A"/>
    <w:rsid w:val="00845B0A"/>
    <w:rsid w:val="008463EE"/>
    <w:rsid w:val="00846A36"/>
    <w:rsid w:val="0084740A"/>
    <w:rsid w:val="00847973"/>
    <w:rsid w:val="00847A06"/>
    <w:rsid w:val="00850618"/>
    <w:rsid w:val="008522F0"/>
    <w:rsid w:val="0085238C"/>
    <w:rsid w:val="00852EBA"/>
    <w:rsid w:val="00853B79"/>
    <w:rsid w:val="008547E9"/>
    <w:rsid w:val="008549D8"/>
    <w:rsid w:val="008557DA"/>
    <w:rsid w:val="00855A42"/>
    <w:rsid w:val="00855BCA"/>
    <w:rsid w:val="00856E9E"/>
    <w:rsid w:val="00857D39"/>
    <w:rsid w:val="00861CFD"/>
    <w:rsid w:val="00861EFD"/>
    <w:rsid w:val="00862CA1"/>
    <w:rsid w:val="008630C2"/>
    <w:rsid w:val="008632A3"/>
    <w:rsid w:val="00864006"/>
    <w:rsid w:val="0086519D"/>
    <w:rsid w:val="008658AA"/>
    <w:rsid w:val="0086661E"/>
    <w:rsid w:val="0086663E"/>
    <w:rsid w:val="008703C1"/>
    <w:rsid w:val="00870D1D"/>
    <w:rsid w:val="00871322"/>
    <w:rsid w:val="00871434"/>
    <w:rsid w:val="008728DB"/>
    <w:rsid w:val="00872DDE"/>
    <w:rsid w:val="00873525"/>
    <w:rsid w:val="008744A2"/>
    <w:rsid w:val="00877668"/>
    <w:rsid w:val="00880681"/>
    <w:rsid w:val="00882A66"/>
    <w:rsid w:val="00882BDA"/>
    <w:rsid w:val="00883A14"/>
    <w:rsid w:val="00883C62"/>
    <w:rsid w:val="00884687"/>
    <w:rsid w:val="008907A6"/>
    <w:rsid w:val="008920AB"/>
    <w:rsid w:val="0089494B"/>
    <w:rsid w:val="00894D99"/>
    <w:rsid w:val="00897BEC"/>
    <w:rsid w:val="008A1059"/>
    <w:rsid w:val="008A1E19"/>
    <w:rsid w:val="008A3770"/>
    <w:rsid w:val="008A3972"/>
    <w:rsid w:val="008A3FEC"/>
    <w:rsid w:val="008A46D0"/>
    <w:rsid w:val="008A65FA"/>
    <w:rsid w:val="008B1466"/>
    <w:rsid w:val="008B1E91"/>
    <w:rsid w:val="008B2AEC"/>
    <w:rsid w:val="008B2F98"/>
    <w:rsid w:val="008B5574"/>
    <w:rsid w:val="008B586E"/>
    <w:rsid w:val="008B6EC7"/>
    <w:rsid w:val="008C33AD"/>
    <w:rsid w:val="008C3D7B"/>
    <w:rsid w:val="008C54A5"/>
    <w:rsid w:val="008C6368"/>
    <w:rsid w:val="008C6A07"/>
    <w:rsid w:val="008C6B5F"/>
    <w:rsid w:val="008C6C5C"/>
    <w:rsid w:val="008C74D3"/>
    <w:rsid w:val="008D0569"/>
    <w:rsid w:val="008D1BAC"/>
    <w:rsid w:val="008D4598"/>
    <w:rsid w:val="008D7B33"/>
    <w:rsid w:val="008E2230"/>
    <w:rsid w:val="008E2DC9"/>
    <w:rsid w:val="008E47F0"/>
    <w:rsid w:val="008E4AA6"/>
    <w:rsid w:val="008E5F9B"/>
    <w:rsid w:val="008F1C95"/>
    <w:rsid w:val="008F227A"/>
    <w:rsid w:val="008F2556"/>
    <w:rsid w:val="008F2C4A"/>
    <w:rsid w:val="008F346B"/>
    <w:rsid w:val="008F3F69"/>
    <w:rsid w:val="008F5F8F"/>
    <w:rsid w:val="00900E48"/>
    <w:rsid w:val="00900EE9"/>
    <w:rsid w:val="009025D3"/>
    <w:rsid w:val="009025F2"/>
    <w:rsid w:val="009029C5"/>
    <w:rsid w:val="00903143"/>
    <w:rsid w:val="00903F6F"/>
    <w:rsid w:val="00904036"/>
    <w:rsid w:val="00904BA0"/>
    <w:rsid w:val="00905C0F"/>
    <w:rsid w:val="00906DA9"/>
    <w:rsid w:val="00912E50"/>
    <w:rsid w:val="00913E17"/>
    <w:rsid w:val="009155C4"/>
    <w:rsid w:val="0091751C"/>
    <w:rsid w:val="009203FC"/>
    <w:rsid w:val="00920A14"/>
    <w:rsid w:val="00921638"/>
    <w:rsid w:val="009217EC"/>
    <w:rsid w:val="00924142"/>
    <w:rsid w:val="00924422"/>
    <w:rsid w:val="00925AFA"/>
    <w:rsid w:val="009267A2"/>
    <w:rsid w:val="00926F6B"/>
    <w:rsid w:val="00933899"/>
    <w:rsid w:val="00933DBC"/>
    <w:rsid w:val="00934382"/>
    <w:rsid w:val="009352FB"/>
    <w:rsid w:val="0093567F"/>
    <w:rsid w:val="009376A9"/>
    <w:rsid w:val="009406D8"/>
    <w:rsid w:val="00942AD2"/>
    <w:rsid w:val="009441FA"/>
    <w:rsid w:val="00944A82"/>
    <w:rsid w:val="00946C52"/>
    <w:rsid w:val="009506B4"/>
    <w:rsid w:val="0095089C"/>
    <w:rsid w:val="00950A3D"/>
    <w:rsid w:val="009521B1"/>
    <w:rsid w:val="009532F9"/>
    <w:rsid w:val="009549B9"/>
    <w:rsid w:val="0095580F"/>
    <w:rsid w:val="00955D52"/>
    <w:rsid w:val="0095624B"/>
    <w:rsid w:val="009600DD"/>
    <w:rsid w:val="0096144D"/>
    <w:rsid w:val="0096169C"/>
    <w:rsid w:val="0096515A"/>
    <w:rsid w:val="00966A00"/>
    <w:rsid w:val="009707E4"/>
    <w:rsid w:val="00972D07"/>
    <w:rsid w:val="0097344E"/>
    <w:rsid w:val="00974BEE"/>
    <w:rsid w:val="00975A8B"/>
    <w:rsid w:val="00975CC0"/>
    <w:rsid w:val="00975F4A"/>
    <w:rsid w:val="00977F61"/>
    <w:rsid w:val="00982542"/>
    <w:rsid w:val="00984EB3"/>
    <w:rsid w:val="00985A27"/>
    <w:rsid w:val="0098685F"/>
    <w:rsid w:val="009876B5"/>
    <w:rsid w:val="00987873"/>
    <w:rsid w:val="0099213A"/>
    <w:rsid w:val="00994076"/>
    <w:rsid w:val="00995A15"/>
    <w:rsid w:val="009A0756"/>
    <w:rsid w:val="009A0E8C"/>
    <w:rsid w:val="009A2F16"/>
    <w:rsid w:val="009A3B39"/>
    <w:rsid w:val="009A3C96"/>
    <w:rsid w:val="009A52DB"/>
    <w:rsid w:val="009A761C"/>
    <w:rsid w:val="009B0DD7"/>
    <w:rsid w:val="009B18F6"/>
    <w:rsid w:val="009B3F8A"/>
    <w:rsid w:val="009B549E"/>
    <w:rsid w:val="009B7439"/>
    <w:rsid w:val="009C04C7"/>
    <w:rsid w:val="009C45C0"/>
    <w:rsid w:val="009C5A10"/>
    <w:rsid w:val="009C6264"/>
    <w:rsid w:val="009C74E3"/>
    <w:rsid w:val="009D01FD"/>
    <w:rsid w:val="009D224C"/>
    <w:rsid w:val="009D2B95"/>
    <w:rsid w:val="009D2F38"/>
    <w:rsid w:val="009D3242"/>
    <w:rsid w:val="009D438A"/>
    <w:rsid w:val="009D6F11"/>
    <w:rsid w:val="009E036B"/>
    <w:rsid w:val="009E0F01"/>
    <w:rsid w:val="009E1136"/>
    <w:rsid w:val="009E2178"/>
    <w:rsid w:val="009E3764"/>
    <w:rsid w:val="009E419A"/>
    <w:rsid w:val="009E5B5B"/>
    <w:rsid w:val="009E748E"/>
    <w:rsid w:val="009F0C0F"/>
    <w:rsid w:val="009F0E62"/>
    <w:rsid w:val="009F1A9C"/>
    <w:rsid w:val="009F2D56"/>
    <w:rsid w:val="009F2F48"/>
    <w:rsid w:val="009F3101"/>
    <w:rsid w:val="009F3673"/>
    <w:rsid w:val="009F533B"/>
    <w:rsid w:val="009F546A"/>
    <w:rsid w:val="009F7F8B"/>
    <w:rsid w:val="00A00ED8"/>
    <w:rsid w:val="00A024C2"/>
    <w:rsid w:val="00A03F82"/>
    <w:rsid w:val="00A04D6A"/>
    <w:rsid w:val="00A05F13"/>
    <w:rsid w:val="00A07101"/>
    <w:rsid w:val="00A108B2"/>
    <w:rsid w:val="00A10CBD"/>
    <w:rsid w:val="00A13FF3"/>
    <w:rsid w:val="00A147D8"/>
    <w:rsid w:val="00A16350"/>
    <w:rsid w:val="00A20598"/>
    <w:rsid w:val="00A227C2"/>
    <w:rsid w:val="00A235AF"/>
    <w:rsid w:val="00A27B3A"/>
    <w:rsid w:val="00A320C5"/>
    <w:rsid w:val="00A34BC1"/>
    <w:rsid w:val="00A358EF"/>
    <w:rsid w:val="00A3F84B"/>
    <w:rsid w:val="00A401E3"/>
    <w:rsid w:val="00A403BB"/>
    <w:rsid w:val="00A40C71"/>
    <w:rsid w:val="00A42135"/>
    <w:rsid w:val="00A4446A"/>
    <w:rsid w:val="00A46654"/>
    <w:rsid w:val="00A470C4"/>
    <w:rsid w:val="00A47B2F"/>
    <w:rsid w:val="00A47C3D"/>
    <w:rsid w:val="00A51A13"/>
    <w:rsid w:val="00A51F4F"/>
    <w:rsid w:val="00A53032"/>
    <w:rsid w:val="00A53A0E"/>
    <w:rsid w:val="00A546ED"/>
    <w:rsid w:val="00A570DD"/>
    <w:rsid w:val="00A63A2F"/>
    <w:rsid w:val="00A646D1"/>
    <w:rsid w:val="00A64C6E"/>
    <w:rsid w:val="00A64F5D"/>
    <w:rsid w:val="00A66744"/>
    <w:rsid w:val="00A671EC"/>
    <w:rsid w:val="00A6766D"/>
    <w:rsid w:val="00A700D6"/>
    <w:rsid w:val="00A71049"/>
    <w:rsid w:val="00A72894"/>
    <w:rsid w:val="00A731E9"/>
    <w:rsid w:val="00A736F7"/>
    <w:rsid w:val="00A7555C"/>
    <w:rsid w:val="00A75EA9"/>
    <w:rsid w:val="00A81052"/>
    <w:rsid w:val="00A81720"/>
    <w:rsid w:val="00A81E8A"/>
    <w:rsid w:val="00A8256C"/>
    <w:rsid w:val="00A839DF"/>
    <w:rsid w:val="00A84211"/>
    <w:rsid w:val="00A85204"/>
    <w:rsid w:val="00A9092C"/>
    <w:rsid w:val="00A90BE2"/>
    <w:rsid w:val="00A9258B"/>
    <w:rsid w:val="00A93C94"/>
    <w:rsid w:val="00A941E8"/>
    <w:rsid w:val="00A94F3C"/>
    <w:rsid w:val="00A95BA6"/>
    <w:rsid w:val="00AA1B27"/>
    <w:rsid w:val="00AA1D05"/>
    <w:rsid w:val="00AA1FAB"/>
    <w:rsid w:val="00AA5173"/>
    <w:rsid w:val="00AA6CD2"/>
    <w:rsid w:val="00AA7495"/>
    <w:rsid w:val="00AB091E"/>
    <w:rsid w:val="00AB313A"/>
    <w:rsid w:val="00AB3293"/>
    <w:rsid w:val="00AB3836"/>
    <w:rsid w:val="00AB3CEF"/>
    <w:rsid w:val="00AB40A7"/>
    <w:rsid w:val="00AB44AA"/>
    <w:rsid w:val="00AB4505"/>
    <w:rsid w:val="00AB4C9F"/>
    <w:rsid w:val="00AB7100"/>
    <w:rsid w:val="00AB735E"/>
    <w:rsid w:val="00AC13EA"/>
    <w:rsid w:val="00AC1B51"/>
    <w:rsid w:val="00AC3A2C"/>
    <w:rsid w:val="00AC63C6"/>
    <w:rsid w:val="00AC724F"/>
    <w:rsid w:val="00AD03F2"/>
    <w:rsid w:val="00AD51E5"/>
    <w:rsid w:val="00AD587B"/>
    <w:rsid w:val="00AE0710"/>
    <w:rsid w:val="00AE2221"/>
    <w:rsid w:val="00AE5D0C"/>
    <w:rsid w:val="00AE672F"/>
    <w:rsid w:val="00AE7B84"/>
    <w:rsid w:val="00AF0947"/>
    <w:rsid w:val="00AF0C84"/>
    <w:rsid w:val="00AF20C5"/>
    <w:rsid w:val="00AF215D"/>
    <w:rsid w:val="00AF264A"/>
    <w:rsid w:val="00AF34EE"/>
    <w:rsid w:val="00AF59B1"/>
    <w:rsid w:val="00AF69E8"/>
    <w:rsid w:val="00B01B7F"/>
    <w:rsid w:val="00B029C8"/>
    <w:rsid w:val="00B03C3A"/>
    <w:rsid w:val="00B03E9F"/>
    <w:rsid w:val="00B06136"/>
    <w:rsid w:val="00B1094A"/>
    <w:rsid w:val="00B116B8"/>
    <w:rsid w:val="00B11731"/>
    <w:rsid w:val="00B12890"/>
    <w:rsid w:val="00B13514"/>
    <w:rsid w:val="00B1351F"/>
    <w:rsid w:val="00B13DF5"/>
    <w:rsid w:val="00B14588"/>
    <w:rsid w:val="00B1554E"/>
    <w:rsid w:val="00B167A5"/>
    <w:rsid w:val="00B16C6E"/>
    <w:rsid w:val="00B17CED"/>
    <w:rsid w:val="00B20751"/>
    <w:rsid w:val="00B2093D"/>
    <w:rsid w:val="00B213F8"/>
    <w:rsid w:val="00B218AF"/>
    <w:rsid w:val="00B23E38"/>
    <w:rsid w:val="00B24C5A"/>
    <w:rsid w:val="00B256CA"/>
    <w:rsid w:val="00B25C7A"/>
    <w:rsid w:val="00B27083"/>
    <w:rsid w:val="00B27BB4"/>
    <w:rsid w:val="00B303B1"/>
    <w:rsid w:val="00B3041C"/>
    <w:rsid w:val="00B305D2"/>
    <w:rsid w:val="00B340B2"/>
    <w:rsid w:val="00B34DCA"/>
    <w:rsid w:val="00B34EA8"/>
    <w:rsid w:val="00B34F03"/>
    <w:rsid w:val="00B355FE"/>
    <w:rsid w:val="00B357AC"/>
    <w:rsid w:val="00B359C6"/>
    <w:rsid w:val="00B35B93"/>
    <w:rsid w:val="00B40001"/>
    <w:rsid w:val="00B4156B"/>
    <w:rsid w:val="00B41E36"/>
    <w:rsid w:val="00B43051"/>
    <w:rsid w:val="00B44D18"/>
    <w:rsid w:val="00B501CA"/>
    <w:rsid w:val="00B5187B"/>
    <w:rsid w:val="00B52D1F"/>
    <w:rsid w:val="00B538A9"/>
    <w:rsid w:val="00B53A66"/>
    <w:rsid w:val="00B54D51"/>
    <w:rsid w:val="00B554B5"/>
    <w:rsid w:val="00B557AA"/>
    <w:rsid w:val="00B55D96"/>
    <w:rsid w:val="00B55F3C"/>
    <w:rsid w:val="00B609FB"/>
    <w:rsid w:val="00B6115D"/>
    <w:rsid w:val="00B6194B"/>
    <w:rsid w:val="00B623FD"/>
    <w:rsid w:val="00B63FAF"/>
    <w:rsid w:val="00B64860"/>
    <w:rsid w:val="00B649E0"/>
    <w:rsid w:val="00B64EFA"/>
    <w:rsid w:val="00B66114"/>
    <w:rsid w:val="00B666EB"/>
    <w:rsid w:val="00B66FE5"/>
    <w:rsid w:val="00B674D1"/>
    <w:rsid w:val="00B67738"/>
    <w:rsid w:val="00B716AD"/>
    <w:rsid w:val="00B720D1"/>
    <w:rsid w:val="00B75EB9"/>
    <w:rsid w:val="00B766DA"/>
    <w:rsid w:val="00B76DAA"/>
    <w:rsid w:val="00B76F65"/>
    <w:rsid w:val="00B77EFC"/>
    <w:rsid w:val="00B80240"/>
    <w:rsid w:val="00B80E7C"/>
    <w:rsid w:val="00B824E7"/>
    <w:rsid w:val="00B8278E"/>
    <w:rsid w:val="00B87D36"/>
    <w:rsid w:val="00B902B2"/>
    <w:rsid w:val="00B90719"/>
    <w:rsid w:val="00B90813"/>
    <w:rsid w:val="00B90A99"/>
    <w:rsid w:val="00B91126"/>
    <w:rsid w:val="00B9198E"/>
    <w:rsid w:val="00B92D9F"/>
    <w:rsid w:val="00B938E6"/>
    <w:rsid w:val="00B93D32"/>
    <w:rsid w:val="00B9473D"/>
    <w:rsid w:val="00B960AF"/>
    <w:rsid w:val="00B96A72"/>
    <w:rsid w:val="00B97049"/>
    <w:rsid w:val="00BA263A"/>
    <w:rsid w:val="00BA2AF2"/>
    <w:rsid w:val="00BA2C01"/>
    <w:rsid w:val="00BA3658"/>
    <w:rsid w:val="00BA3788"/>
    <w:rsid w:val="00BA3F88"/>
    <w:rsid w:val="00BA63FD"/>
    <w:rsid w:val="00BA7454"/>
    <w:rsid w:val="00BA7B3D"/>
    <w:rsid w:val="00BB2DD2"/>
    <w:rsid w:val="00BB54E9"/>
    <w:rsid w:val="00BB6FC6"/>
    <w:rsid w:val="00BC00FD"/>
    <w:rsid w:val="00BC1B4D"/>
    <w:rsid w:val="00BC2FC3"/>
    <w:rsid w:val="00BC3AE3"/>
    <w:rsid w:val="00BC51AA"/>
    <w:rsid w:val="00BC5396"/>
    <w:rsid w:val="00BC61D0"/>
    <w:rsid w:val="00BC6E5E"/>
    <w:rsid w:val="00BD2A49"/>
    <w:rsid w:val="00BD32C6"/>
    <w:rsid w:val="00BD58D4"/>
    <w:rsid w:val="00BD7D9D"/>
    <w:rsid w:val="00BE10E2"/>
    <w:rsid w:val="00BE17DA"/>
    <w:rsid w:val="00BE1CF1"/>
    <w:rsid w:val="00BE2639"/>
    <w:rsid w:val="00BE293E"/>
    <w:rsid w:val="00BE33F5"/>
    <w:rsid w:val="00BE34C4"/>
    <w:rsid w:val="00BE3837"/>
    <w:rsid w:val="00BE396C"/>
    <w:rsid w:val="00BE406A"/>
    <w:rsid w:val="00BE42C2"/>
    <w:rsid w:val="00BE4A1E"/>
    <w:rsid w:val="00BE4EF5"/>
    <w:rsid w:val="00BE558A"/>
    <w:rsid w:val="00BE647A"/>
    <w:rsid w:val="00BE6F85"/>
    <w:rsid w:val="00BE7E66"/>
    <w:rsid w:val="00BF1309"/>
    <w:rsid w:val="00BF2C26"/>
    <w:rsid w:val="00BF2D32"/>
    <w:rsid w:val="00BF3125"/>
    <w:rsid w:val="00BF3DA5"/>
    <w:rsid w:val="00BF4CA2"/>
    <w:rsid w:val="00BF634E"/>
    <w:rsid w:val="00BF66C7"/>
    <w:rsid w:val="00BF7A38"/>
    <w:rsid w:val="00C00F24"/>
    <w:rsid w:val="00C01277"/>
    <w:rsid w:val="00C02C14"/>
    <w:rsid w:val="00C02CE3"/>
    <w:rsid w:val="00C036C6"/>
    <w:rsid w:val="00C060BE"/>
    <w:rsid w:val="00C063F0"/>
    <w:rsid w:val="00C066AB"/>
    <w:rsid w:val="00C129F3"/>
    <w:rsid w:val="00C12DF4"/>
    <w:rsid w:val="00C13D30"/>
    <w:rsid w:val="00C15294"/>
    <w:rsid w:val="00C15B3C"/>
    <w:rsid w:val="00C15F38"/>
    <w:rsid w:val="00C16048"/>
    <w:rsid w:val="00C1604B"/>
    <w:rsid w:val="00C17D2D"/>
    <w:rsid w:val="00C202CD"/>
    <w:rsid w:val="00C207F7"/>
    <w:rsid w:val="00C210B7"/>
    <w:rsid w:val="00C213E9"/>
    <w:rsid w:val="00C2270A"/>
    <w:rsid w:val="00C22C04"/>
    <w:rsid w:val="00C23423"/>
    <w:rsid w:val="00C25841"/>
    <w:rsid w:val="00C262DE"/>
    <w:rsid w:val="00C26BC5"/>
    <w:rsid w:val="00C30897"/>
    <w:rsid w:val="00C31066"/>
    <w:rsid w:val="00C31181"/>
    <w:rsid w:val="00C31A5C"/>
    <w:rsid w:val="00C31AD9"/>
    <w:rsid w:val="00C322F7"/>
    <w:rsid w:val="00C33DF4"/>
    <w:rsid w:val="00C359B1"/>
    <w:rsid w:val="00C379C8"/>
    <w:rsid w:val="00C37A35"/>
    <w:rsid w:val="00C37A44"/>
    <w:rsid w:val="00C410D2"/>
    <w:rsid w:val="00C42E24"/>
    <w:rsid w:val="00C42E7F"/>
    <w:rsid w:val="00C43CBA"/>
    <w:rsid w:val="00C441DD"/>
    <w:rsid w:val="00C449DF"/>
    <w:rsid w:val="00C45AE4"/>
    <w:rsid w:val="00C46813"/>
    <w:rsid w:val="00C46C62"/>
    <w:rsid w:val="00C47D22"/>
    <w:rsid w:val="00C47F00"/>
    <w:rsid w:val="00C5284F"/>
    <w:rsid w:val="00C528E8"/>
    <w:rsid w:val="00C52C04"/>
    <w:rsid w:val="00C53334"/>
    <w:rsid w:val="00C5415C"/>
    <w:rsid w:val="00C54650"/>
    <w:rsid w:val="00C54B29"/>
    <w:rsid w:val="00C54CD1"/>
    <w:rsid w:val="00C55746"/>
    <w:rsid w:val="00C57699"/>
    <w:rsid w:val="00C578D1"/>
    <w:rsid w:val="00C5797B"/>
    <w:rsid w:val="00C615E5"/>
    <w:rsid w:val="00C619C3"/>
    <w:rsid w:val="00C61DF3"/>
    <w:rsid w:val="00C63EDB"/>
    <w:rsid w:val="00C641F3"/>
    <w:rsid w:val="00C65609"/>
    <w:rsid w:val="00C658C2"/>
    <w:rsid w:val="00C6743C"/>
    <w:rsid w:val="00C7174B"/>
    <w:rsid w:val="00C72A22"/>
    <w:rsid w:val="00C736A3"/>
    <w:rsid w:val="00C73D17"/>
    <w:rsid w:val="00C73F57"/>
    <w:rsid w:val="00C75595"/>
    <w:rsid w:val="00C7560C"/>
    <w:rsid w:val="00C76347"/>
    <w:rsid w:val="00C76390"/>
    <w:rsid w:val="00C8105B"/>
    <w:rsid w:val="00C81A27"/>
    <w:rsid w:val="00C834BD"/>
    <w:rsid w:val="00C8420A"/>
    <w:rsid w:val="00C85802"/>
    <w:rsid w:val="00C873DE"/>
    <w:rsid w:val="00C87E9F"/>
    <w:rsid w:val="00C90CAA"/>
    <w:rsid w:val="00C90F04"/>
    <w:rsid w:val="00C912F9"/>
    <w:rsid w:val="00C91647"/>
    <w:rsid w:val="00C91EED"/>
    <w:rsid w:val="00C9365D"/>
    <w:rsid w:val="00C95D11"/>
    <w:rsid w:val="00C9694E"/>
    <w:rsid w:val="00C96E30"/>
    <w:rsid w:val="00CA0906"/>
    <w:rsid w:val="00CA11E7"/>
    <w:rsid w:val="00CA175B"/>
    <w:rsid w:val="00CA1FF7"/>
    <w:rsid w:val="00CA28C6"/>
    <w:rsid w:val="00CB0908"/>
    <w:rsid w:val="00CB132F"/>
    <w:rsid w:val="00CB1FE5"/>
    <w:rsid w:val="00CB36BA"/>
    <w:rsid w:val="00CB6D8F"/>
    <w:rsid w:val="00CB7C66"/>
    <w:rsid w:val="00CC0C4C"/>
    <w:rsid w:val="00CC3EBC"/>
    <w:rsid w:val="00CC4516"/>
    <w:rsid w:val="00CC499C"/>
    <w:rsid w:val="00CC600B"/>
    <w:rsid w:val="00CC6766"/>
    <w:rsid w:val="00CC72E3"/>
    <w:rsid w:val="00CD0703"/>
    <w:rsid w:val="00CD0E41"/>
    <w:rsid w:val="00CD154F"/>
    <w:rsid w:val="00CD1E99"/>
    <w:rsid w:val="00CD479D"/>
    <w:rsid w:val="00CD67FE"/>
    <w:rsid w:val="00CD6FEF"/>
    <w:rsid w:val="00CD729C"/>
    <w:rsid w:val="00CD7498"/>
    <w:rsid w:val="00CD7F7D"/>
    <w:rsid w:val="00CE03B7"/>
    <w:rsid w:val="00CE182E"/>
    <w:rsid w:val="00CE231B"/>
    <w:rsid w:val="00CE2BFF"/>
    <w:rsid w:val="00CE4894"/>
    <w:rsid w:val="00CE5529"/>
    <w:rsid w:val="00CE5944"/>
    <w:rsid w:val="00CE7D30"/>
    <w:rsid w:val="00CF08D1"/>
    <w:rsid w:val="00CF34A7"/>
    <w:rsid w:val="00CF35E1"/>
    <w:rsid w:val="00CF3758"/>
    <w:rsid w:val="00CF62BD"/>
    <w:rsid w:val="00CF695B"/>
    <w:rsid w:val="00CF72CB"/>
    <w:rsid w:val="00CF78D3"/>
    <w:rsid w:val="00D00EC5"/>
    <w:rsid w:val="00D01E8B"/>
    <w:rsid w:val="00D02838"/>
    <w:rsid w:val="00D02CDF"/>
    <w:rsid w:val="00D03C01"/>
    <w:rsid w:val="00D056AE"/>
    <w:rsid w:val="00D06425"/>
    <w:rsid w:val="00D07679"/>
    <w:rsid w:val="00D100AC"/>
    <w:rsid w:val="00D106B7"/>
    <w:rsid w:val="00D129E1"/>
    <w:rsid w:val="00D132D7"/>
    <w:rsid w:val="00D137C8"/>
    <w:rsid w:val="00D1432F"/>
    <w:rsid w:val="00D14AF1"/>
    <w:rsid w:val="00D14B70"/>
    <w:rsid w:val="00D14EAA"/>
    <w:rsid w:val="00D20DA2"/>
    <w:rsid w:val="00D22ED5"/>
    <w:rsid w:val="00D23EE6"/>
    <w:rsid w:val="00D24A38"/>
    <w:rsid w:val="00D27273"/>
    <w:rsid w:val="00D2763E"/>
    <w:rsid w:val="00D2798A"/>
    <w:rsid w:val="00D30162"/>
    <w:rsid w:val="00D328B8"/>
    <w:rsid w:val="00D35404"/>
    <w:rsid w:val="00D405B1"/>
    <w:rsid w:val="00D409AD"/>
    <w:rsid w:val="00D41AB8"/>
    <w:rsid w:val="00D4245D"/>
    <w:rsid w:val="00D426DD"/>
    <w:rsid w:val="00D42C2E"/>
    <w:rsid w:val="00D44872"/>
    <w:rsid w:val="00D47457"/>
    <w:rsid w:val="00D506FF"/>
    <w:rsid w:val="00D51ACF"/>
    <w:rsid w:val="00D51EEE"/>
    <w:rsid w:val="00D53664"/>
    <w:rsid w:val="00D53B11"/>
    <w:rsid w:val="00D544B4"/>
    <w:rsid w:val="00D544C3"/>
    <w:rsid w:val="00D551A0"/>
    <w:rsid w:val="00D55BD2"/>
    <w:rsid w:val="00D570D9"/>
    <w:rsid w:val="00D573CA"/>
    <w:rsid w:val="00D605FF"/>
    <w:rsid w:val="00D6188A"/>
    <w:rsid w:val="00D61C48"/>
    <w:rsid w:val="00D6211F"/>
    <w:rsid w:val="00D6234D"/>
    <w:rsid w:val="00D643BF"/>
    <w:rsid w:val="00D66C58"/>
    <w:rsid w:val="00D67FDA"/>
    <w:rsid w:val="00D7141B"/>
    <w:rsid w:val="00D71AE1"/>
    <w:rsid w:val="00D71AE5"/>
    <w:rsid w:val="00D737E1"/>
    <w:rsid w:val="00D7443D"/>
    <w:rsid w:val="00D7462F"/>
    <w:rsid w:val="00D747E6"/>
    <w:rsid w:val="00D75E79"/>
    <w:rsid w:val="00D76202"/>
    <w:rsid w:val="00D7735F"/>
    <w:rsid w:val="00D77EC4"/>
    <w:rsid w:val="00D803BC"/>
    <w:rsid w:val="00D81A1F"/>
    <w:rsid w:val="00D82F27"/>
    <w:rsid w:val="00D83C1B"/>
    <w:rsid w:val="00D84D8A"/>
    <w:rsid w:val="00D8530C"/>
    <w:rsid w:val="00D86F3C"/>
    <w:rsid w:val="00D87ABF"/>
    <w:rsid w:val="00D9178A"/>
    <w:rsid w:val="00D93577"/>
    <w:rsid w:val="00D949B7"/>
    <w:rsid w:val="00D9572C"/>
    <w:rsid w:val="00D95BEF"/>
    <w:rsid w:val="00D97340"/>
    <w:rsid w:val="00DA0DD5"/>
    <w:rsid w:val="00DA113B"/>
    <w:rsid w:val="00DA2629"/>
    <w:rsid w:val="00DA5930"/>
    <w:rsid w:val="00DA672E"/>
    <w:rsid w:val="00DA6EC8"/>
    <w:rsid w:val="00DA7D57"/>
    <w:rsid w:val="00DB2880"/>
    <w:rsid w:val="00DB2D73"/>
    <w:rsid w:val="00DB3689"/>
    <w:rsid w:val="00DB4867"/>
    <w:rsid w:val="00DB52D8"/>
    <w:rsid w:val="00DC1517"/>
    <w:rsid w:val="00DC2A5B"/>
    <w:rsid w:val="00DD0DB5"/>
    <w:rsid w:val="00DD31A3"/>
    <w:rsid w:val="00DD369E"/>
    <w:rsid w:val="00DD451F"/>
    <w:rsid w:val="00DD73BA"/>
    <w:rsid w:val="00DE12E8"/>
    <w:rsid w:val="00DE1445"/>
    <w:rsid w:val="00DE1476"/>
    <w:rsid w:val="00DE1A72"/>
    <w:rsid w:val="00DE2856"/>
    <w:rsid w:val="00DE3D4C"/>
    <w:rsid w:val="00DE3D82"/>
    <w:rsid w:val="00DF0660"/>
    <w:rsid w:val="00DF13B8"/>
    <w:rsid w:val="00DF1B7E"/>
    <w:rsid w:val="00DF1BC1"/>
    <w:rsid w:val="00DF25CE"/>
    <w:rsid w:val="00DF4C66"/>
    <w:rsid w:val="00DF69A3"/>
    <w:rsid w:val="00DF7D79"/>
    <w:rsid w:val="00E00A75"/>
    <w:rsid w:val="00E00E7C"/>
    <w:rsid w:val="00E010DB"/>
    <w:rsid w:val="00E03CC7"/>
    <w:rsid w:val="00E03CCA"/>
    <w:rsid w:val="00E0634F"/>
    <w:rsid w:val="00E07D3B"/>
    <w:rsid w:val="00E108ED"/>
    <w:rsid w:val="00E120F7"/>
    <w:rsid w:val="00E12D52"/>
    <w:rsid w:val="00E14676"/>
    <w:rsid w:val="00E15A97"/>
    <w:rsid w:val="00E17630"/>
    <w:rsid w:val="00E20445"/>
    <w:rsid w:val="00E20A01"/>
    <w:rsid w:val="00E22B3D"/>
    <w:rsid w:val="00E234D8"/>
    <w:rsid w:val="00E26806"/>
    <w:rsid w:val="00E27B42"/>
    <w:rsid w:val="00E27D38"/>
    <w:rsid w:val="00E34FDD"/>
    <w:rsid w:val="00E353F4"/>
    <w:rsid w:val="00E41051"/>
    <w:rsid w:val="00E417F2"/>
    <w:rsid w:val="00E423AD"/>
    <w:rsid w:val="00E428B5"/>
    <w:rsid w:val="00E42FE0"/>
    <w:rsid w:val="00E43B0B"/>
    <w:rsid w:val="00E43D9B"/>
    <w:rsid w:val="00E44471"/>
    <w:rsid w:val="00E45F5F"/>
    <w:rsid w:val="00E51836"/>
    <w:rsid w:val="00E53729"/>
    <w:rsid w:val="00E55185"/>
    <w:rsid w:val="00E551D2"/>
    <w:rsid w:val="00E567D2"/>
    <w:rsid w:val="00E6163C"/>
    <w:rsid w:val="00E63A0F"/>
    <w:rsid w:val="00E63D98"/>
    <w:rsid w:val="00E63EF5"/>
    <w:rsid w:val="00E65C22"/>
    <w:rsid w:val="00E67DAB"/>
    <w:rsid w:val="00E67F30"/>
    <w:rsid w:val="00E701FD"/>
    <w:rsid w:val="00E716C6"/>
    <w:rsid w:val="00E726CD"/>
    <w:rsid w:val="00E73615"/>
    <w:rsid w:val="00E74405"/>
    <w:rsid w:val="00E74EF7"/>
    <w:rsid w:val="00E7570A"/>
    <w:rsid w:val="00E76867"/>
    <w:rsid w:val="00E80131"/>
    <w:rsid w:val="00E802C8"/>
    <w:rsid w:val="00E82D5A"/>
    <w:rsid w:val="00E837C6"/>
    <w:rsid w:val="00E8628E"/>
    <w:rsid w:val="00E9031A"/>
    <w:rsid w:val="00E90C27"/>
    <w:rsid w:val="00E914DB"/>
    <w:rsid w:val="00E91C6B"/>
    <w:rsid w:val="00E91DAD"/>
    <w:rsid w:val="00E92025"/>
    <w:rsid w:val="00E92871"/>
    <w:rsid w:val="00E95614"/>
    <w:rsid w:val="00EA1979"/>
    <w:rsid w:val="00EA2160"/>
    <w:rsid w:val="00EA2335"/>
    <w:rsid w:val="00EA2A72"/>
    <w:rsid w:val="00EA6B1A"/>
    <w:rsid w:val="00EB05A4"/>
    <w:rsid w:val="00EB13FB"/>
    <w:rsid w:val="00EB1504"/>
    <w:rsid w:val="00EB21E3"/>
    <w:rsid w:val="00EB29DF"/>
    <w:rsid w:val="00EB37C0"/>
    <w:rsid w:val="00EB45DE"/>
    <w:rsid w:val="00EB5338"/>
    <w:rsid w:val="00EB5730"/>
    <w:rsid w:val="00EB6BF4"/>
    <w:rsid w:val="00EC02A8"/>
    <w:rsid w:val="00EC12CF"/>
    <w:rsid w:val="00EC1700"/>
    <w:rsid w:val="00EC21A8"/>
    <w:rsid w:val="00EC33B3"/>
    <w:rsid w:val="00EC43A8"/>
    <w:rsid w:val="00EC47D6"/>
    <w:rsid w:val="00EC484F"/>
    <w:rsid w:val="00EC7530"/>
    <w:rsid w:val="00EC791E"/>
    <w:rsid w:val="00EC7936"/>
    <w:rsid w:val="00ED0AA9"/>
    <w:rsid w:val="00ED19AD"/>
    <w:rsid w:val="00ED440D"/>
    <w:rsid w:val="00ED5835"/>
    <w:rsid w:val="00ED5B91"/>
    <w:rsid w:val="00EE02C2"/>
    <w:rsid w:val="00EE058F"/>
    <w:rsid w:val="00EE0781"/>
    <w:rsid w:val="00EE10FD"/>
    <w:rsid w:val="00EE16F2"/>
    <w:rsid w:val="00EE3A52"/>
    <w:rsid w:val="00EE3CE3"/>
    <w:rsid w:val="00EE46A6"/>
    <w:rsid w:val="00EE5281"/>
    <w:rsid w:val="00EE5CB1"/>
    <w:rsid w:val="00EE75DF"/>
    <w:rsid w:val="00EF1488"/>
    <w:rsid w:val="00EF2FC9"/>
    <w:rsid w:val="00EF3CAF"/>
    <w:rsid w:val="00EF4439"/>
    <w:rsid w:val="00EF74DA"/>
    <w:rsid w:val="00F0103B"/>
    <w:rsid w:val="00F02B23"/>
    <w:rsid w:val="00F06950"/>
    <w:rsid w:val="00F06BC0"/>
    <w:rsid w:val="00F10453"/>
    <w:rsid w:val="00F1155D"/>
    <w:rsid w:val="00F115B5"/>
    <w:rsid w:val="00F13316"/>
    <w:rsid w:val="00F13BEB"/>
    <w:rsid w:val="00F13C55"/>
    <w:rsid w:val="00F151A3"/>
    <w:rsid w:val="00F16731"/>
    <w:rsid w:val="00F175DF"/>
    <w:rsid w:val="00F20103"/>
    <w:rsid w:val="00F234E6"/>
    <w:rsid w:val="00F27782"/>
    <w:rsid w:val="00F33580"/>
    <w:rsid w:val="00F348C1"/>
    <w:rsid w:val="00F353B9"/>
    <w:rsid w:val="00F3564B"/>
    <w:rsid w:val="00F361D0"/>
    <w:rsid w:val="00F36742"/>
    <w:rsid w:val="00F36AB5"/>
    <w:rsid w:val="00F36D71"/>
    <w:rsid w:val="00F36E67"/>
    <w:rsid w:val="00F3726A"/>
    <w:rsid w:val="00F43D64"/>
    <w:rsid w:val="00F44035"/>
    <w:rsid w:val="00F44373"/>
    <w:rsid w:val="00F44A95"/>
    <w:rsid w:val="00F453A6"/>
    <w:rsid w:val="00F460D2"/>
    <w:rsid w:val="00F4702D"/>
    <w:rsid w:val="00F50394"/>
    <w:rsid w:val="00F522F6"/>
    <w:rsid w:val="00F52B07"/>
    <w:rsid w:val="00F52CD6"/>
    <w:rsid w:val="00F53ED3"/>
    <w:rsid w:val="00F54285"/>
    <w:rsid w:val="00F55FCB"/>
    <w:rsid w:val="00F5610A"/>
    <w:rsid w:val="00F57AD6"/>
    <w:rsid w:val="00F6024D"/>
    <w:rsid w:val="00F62980"/>
    <w:rsid w:val="00F64300"/>
    <w:rsid w:val="00F67AA1"/>
    <w:rsid w:val="00F7100E"/>
    <w:rsid w:val="00F715A1"/>
    <w:rsid w:val="00F71908"/>
    <w:rsid w:val="00F719A0"/>
    <w:rsid w:val="00F71C5E"/>
    <w:rsid w:val="00F7595B"/>
    <w:rsid w:val="00F75F70"/>
    <w:rsid w:val="00F77911"/>
    <w:rsid w:val="00F77BE7"/>
    <w:rsid w:val="00F80080"/>
    <w:rsid w:val="00F80FD5"/>
    <w:rsid w:val="00F8130C"/>
    <w:rsid w:val="00F827FE"/>
    <w:rsid w:val="00F8498D"/>
    <w:rsid w:val="00F911D7"/>
    <w:rsid w:val="00F92CD9"/>
    <w:rsid w:val="00F92DEA"/>
    <w:rsid w:val="00F93552"/>
    <w:rsid w:val="00F93CED"/>
    <w:rsid w:val="00F95C42"/>
    <w:rsid w:val="00F95EB7"/>
    <w:rsid w:val="00FA1138"/>
    <w:rsid w:val="00FA14C2"/>
    <w:rsid w:val="00FA14EC"/>
    <w:rsid w:val="00FA375A"/>
    <w:rsid w:val="00FB0396"/>
    <w:rsid w:val="00FB26A3"/>
    <w:rsid w:val="00FB2784"/>
    <w:rsid w:val="00FB3DC4"/>
    <w:rsid w:val="00FB518F"/>
    <w:rsid w:val="00FB6207"/>
    <w:rsid w:val="00FB6489"/>
    <w:rsid w:val="00FB7238"/>
    <w:rsid w:val="00FB75B6"/>
    <w:rsid w:val="00FC0720"/>
    <w:rsid w:val="00FC1A19"/>
    <w:rsid w:val="00FC2A45"/>
    <w:rsid w:val="00FC32C7"/>
    <w:rsid w:val="00FC34D0"/>
    <w:rsid w:val="00FC4311"/>
    <w:rsid w:val="00FC4CD8"/>
    <w:rsid w:val="00FC4D9E"/>
    <w:rsid w:val="00FC5EC7"/>
    <w:rsid w:val="00FC6978"/>
    <w:rsid w:val="00FD046E"/>
    <w:rsid w:val="00FD278C"/>
    <w:rsid w:val="00FD2CE9"/>
    <w:rsid w:val="00FD49CB"/>
    <w:rsid w:val="00FD56E5"/>
    <w:rsid w:val="00FD6707"/>
    <w:rsid w:val="00FD6718"/>
    <w:rsid w:val="00FE018A"/>
    <w:rsid w:val="00FE0DFE"/>
    <w:rsid w:val="00FE14DC"/>
    <w:rsid w:val="00FE20DA"/>
    <w:rsid w:val="00FE28FB"/>
    <w:rsid w:val="00FE3539"/>
    <w:rsid w:val="00FE790D"/>
    <w:rsid w:val="00FF06B7"/>
    <w:rsid w:val="00FF380E"/>
    <w:rsid w:val="00FF3D4D"/>
    <w:rsid w:val="00FF53A1"/>
    <w:rsid w:val="00FF642C"/>
    <w:rsid w:val="01038954"/>
    <w:rsid w:val="018C99B1"/>
    <w:rsid w:val="01963B5E"/>
    <w:rsid w:val="01ABCF7A"/>
    <w:rsid w:val="01EE70F5"/>
    <w:rsid w:val="01F208DE"/>
    <w:rsid w:val="022C33EC"/>
    <w:rsid w:val="061AB0F1"/>
    <w:rsid w:val="0669AC81"/>
    <w:rsid w:val="071C7B0F"/>
    <w:rsid w:val="0754007C"/>
    <w:rsid w:val="08E837CF"/>
    <w:rsid w:val="0A06709B"/>
    <w:rsid w:val="0A1DED85"/>
    <w:rsid w:val="0C3BC5A1"/>
    <w:rsid w:val="0D259D88"/>
    <w:rsid w:val="0DB6D162"/>
    <w:rsid w:val="0F607A41"/>
    <w:rsid w:val="0F736663"/>
    <w:rsid w:val="110F36C4"/>
    <w:rsid w:val="115C8751"/>
    <w:rsid w:val="1173178C"/>
    <w:rsid w:val="121F50B3"/>
    <w:rsid w:val="12ABD32D"/>
    <w:rsid w:val="12CF7D7D"/>
    <w:rsid w:val="1416A6FD"/>
    <w:rsid w:val="1501818C"/>
    <w:rsid w:val="154B781A"/>
    <w:rsid w:val="15AD927A"/>
    <w:rsid w:val="15CB0FFA"/>
    <w:rsid w:val="15E7A0FC"/>
    <w:rsid w:val="15E96DEE"/>
    <w:rsid w:val="1665D38D"/>
    <w:rsid w:val="16B77DDA"/>
    <w:rsid w:val="16E7487B"/>
    <w:rsid w:val="17853E4F"/>
    <w:rsid w:val="181AC877"/>
    <w:rsid w:val="18238E32"/>
    <w:rsid w:val="185B0D1C"/>
    <w:rsid w:val="185F68BD"/>
    <w:rsid w:val="18933EDF"/>
    <w:rsid w:val="196B5716"/>
    <w:rsid w:val="197B99E6"/>
    <w:rsid w:val="19BF5E93"/>
    <w:rsid w:val="1AFC4576"/>
    <w:rsid w:val="1C323F18"/>
    <w:rsid w:val="1C8C1F3A"/>
    <w:rsid w:val="1CB9C723"/>
    <w:rsid w:val="1D37AABE"/>
    <w:rsid w:val="1D8B07F4"/>
    <w:rsid w:val="1FFBD232"/>
    <w:rsid w:val="2002FAAC"/>
    <w:rsid w:val="20B0D667"/>
    <w:rsid w:val="212536A4"/>
    <w:rsid w:val="21680255"/>
    <w:rsid w:val="221FE388"/>
    <w:rsid w:val="237257DA"/>
    <w:rsid w:val="23ED935B"/>
    <w:rsid w:val="2597B4E1"/>
    <w:rsid w:val="26B2515F"/>
    <w:rsid w:val="26B4EFFC"/>
    <w:rsid w:val="26D36647"/>
    <w:rsid w:val="28149856"/>
    <w:rsid w:val="28231C7C"/>
    <w:rsid w:val="28353083"/>
    <w:rsid w:val="2845164D"/>
    <w:rsid w:val="28F34ACD"/>
    <w:rsid w:val="29687733"/>
    <w:rsid w:val="2B383024"/>
    <w:rsid w:val="2C152DF8"/>
    <w:rsid w:val="2CAAA29A"/>
    <w:rsid w:val="2CF6F5E9"/>
    <w:rsid w:val="2DDB4EB6"/>
    <w:rsid w:val="2E0073DD"/>
    <w:rsid w:val="2E177DBE"/>
    <w:rsid w:val="2F6FFCD5"/>
    <w:rsid w:val="3022F0D8"/>
    <w:rsid w:val="30260C74"/>
    <w:rsid w:val="310BCD36"/>
    <w:rsid w:val="311E59E4"/>
    <w:rsid w:val="3258D3BB"/>
    <w:rsid w:val="33A38467"/>
    <w:rsid w:val="344A8889"/>
    <w:rsid w:val="3656C087"/>
    <w:rsid w:val="36858F39"/>
    <w:rsid w:val="36B1EB69"/>
    <w:rsid w:val="36B4610A"/>
    <w:rsid w:val="386C3310"/>
    <w:rsid w:val="3B9B99C3"/>
    <w:rsid w:val="3DF13807"/>
    <w:rsid w:val="3E3E858A"/>
    <w:rsid w:val="3F14E469"/>
    <w:rsid w:val="409FAD89"/>
    <w:rsid w:val="4275B520"/>
    <w:rsid w:val="43E94FCA"/>
    <w:rsid w:val="4454BCE4"/>
    <w:rsid w:val="44A2A7AF"/>
    <w:rsid w:val="44E886D1"/>
    <w:rsid w:val="44F7BA26"/>
    <w:rsid w:val="4618EC8B"/>
    <w:rsid w:val="4691D63C"/>
    <w:rsid w:val="46A258D8"/>
    <w:rsid w:val="46F1999D"/>
    <w:rsid w:val="46F7E13B"/>
    <w:rsid w:val="470D2406"/>
    <w:rsid w:val="47488ECB"/>
    <w:rsid w:val="47C2FAC5"/>
    <w:rsid w:val="49A0D834"/>
    <w:rsid w:val="4ACDFD4A"/>
    <w:rsid w:val="4AFDAE6C"/>
    <w:rsid w:val="4CCA674B"/>
    <w:rsid w:val="4D105A59"/>
    <w:rsid w:val="50633B9D"/>
    <w:rsid w:val="51BEED56"/>
    <w:rsid w:val="51F9C1FA"/>
    <w:rsid w:val="548A1433"/>
    <w:rsid w:val="54D3B485"/>
    <w:rsid w:val="56F2DEF0"/>
    <w:rsid w:val="5738BEFE"/>
    <w:rsid w:val="5749EAC3"/>
    <w:rsid w:val="57AAFF92"/>
    <w:rsid w:val="583C162A"/>
    <w:rsid w:val="588F613F"/>
    <w:rsid w:val="59A83711"/>
    <w:rsid w:val="5B16D226"/>
    <w:rsid w:val="5B6383CA"/>
    <w:rsid w:val="5C4F481B"/>
    <w:rsid w:val="5CFF542B"/>
    <w:rsid w:val="5D0A1224"/>
    <w:rsid w:val="5E71C581"/>
    <w:rsid w:val="5E8ADAF9"/>
    <w:rsid w:val="5EF65C6C"/>
    <w:rsid w:val="5F6C3BD9"/>
    <w:rsid w:val="600A31AD"/>
    <w:rsid w:val="62A5B27B"/>
    <w:rsid w:val="633C5BAB"/>
    <w:rsid w:val="638C6622"/>
    <w:rsid w:val="65219534"/>
    <w:rsid w:val="663B12EC"/>
    <w:rsid w:val="6732F28F"/>
    <w:rsid w:val="67E53CE8"/>
    <w:rsid w:val="681531C2"/>
    <w:rsid w:val="694D39A6"/>
    <w:rsid w:val="6B1F46EE"/>
    <w:rsid w:val="6BFFA3FB"/>
    <w:rsid w:val="6CE9CF09"/>
    <w:rsid w:val="6F1C3AF3"/>
    <w:rsid w:val="708C2047"/>
    <w:rsid w:val="72F29B2C"/>
    <w:rsid w:val="7347D4BB"/>
    <w:rsid w:val="7382158F"/>
    <w:rsid w:val="73DA53C7"/>
    <w:rsid w:val="75762428"/>
    <w:rsid w:val="7583AF40"/>
    <w:rsid w:val="75AE72CC"/>
    <w:rsid w:val="7614BD8A"/>
    <w:rsid w:val="762D2EA3"/>
    <w:rsid w:val="76D01E4D"/>
    <w:rsid w:val="76DB172F"/>
    <w:rsid w:val="76F2B6AB"/>
    <w:rsid w:val="77C9BF41"/>
    <w:rsid w:val="7C997D72"/>
    <w:rsid w:val="7DC30E49"/>
    <w:rsid w:val="7E57689A"/>
    <w:rsid w:val="7FB7F5D7"/>
    <w:rsid w:val="7FBC0748"/>
    <w:rsid w:val="7FDCDFF0"/>
  </w:rsids>
  <m:mathPr>
    <m:mathFont m:val="Cambria Math"/>
    <m:brkBin m:val="before"/>
    <m:brkBinSub m:val="--"/>
    <m:smallFrac m:val="0"/>
    <m:dispDef/>
    <m:lMargin m:val="0"/>
    <m:rMargin m:val="0"/>
    <m:defJc m:val="centerGroup"/>
    <m:wrapIndent m:val="1440"/>
    <m:intLim m:val="subSup"/>
    <m:naryLim m:val="undOvr"/>
  </m:mathPr>
  <w:themeFontLang w:val="da-D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C360C6"/>
  <w15:chartTrackingRefBased/>
  <w15:docId w15:val="{70063D1C-FF88-3040-B083-014971DB2A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da-DK"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4A82"/>
    <w:rPr>
      <w:rFonts w:ascii="Times New Roman" w:eastAsia="Times New Roman" w:hAnsi="Times New Roman" w:cs="Times New Roman"/>
      <w:lang w:eastAsia="da-DK"/>
    </w:rPr>
  </w:style>
  <w:style w:type="paragraph" w:styleId="Overskrift2">
    <w:name w:val="heading 2"/>
    <w:basedOn w:val="Normal"/>
    <w:next w:val="Normal"/>
    <w:link w:val="Overskrift2Tegn"/>
    <w:uiPriority w:val="9"/>
    <w:semiHidden/>
    <w:unhideWhenUsed/>
    <w:qFormat/>
    <w:rsid w:val="00B24C5A"/>
    <w:pPr>
      <w:keepNext/>
      <w:keepLines/>
      <w:spacing w:before="40"/>
      <w:outlineLvl w:val="1"/>
    </w:pPr>
    <w:rPr>
      <w:rFonts w:asciiTheme="majorHAnsi" w:eastAsiaTheme="majorEastAsia" w:hAnsiTheme="majorHAnsi" w:cstheme="majorBidi"/>
      <w:color w:val="2F5496" w:themeColor="accent1" w:themeShade="BF"/>
      <w:sz w:val="26"/>
      <w:szCs w:val="26"/>
      <w:lang w:eastAsia="en-US"/>
    </w:rPr>
  </w:style>
  <w:style w:type="character" w:default="1" w:styleId="Standardskrifttypeiafsn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Ingenoversigt">
    <w:name w:val="No List"/>
    <w:uiPriority w:val="99"/>
    <w:semiHidden/>
    <w:unhideWhenUsed/>
  </w:style>
  <w:style w:type="character" w:styleId="Kommentarhenvisning">
    <w:name w:val="annotation reference"/>
    <w:basedOn w:val="Standardskrifttypeiafsnit"/>
    <w:uiPriority w:val="99"/>
    <w:semiHidden/>
    <w:unhideWhenUsed/>
    <w:rsid w:val="003C254A"/>
    <w:rPr>
      <w:sz w:val="16"/>
      <w:szCs w:val="16"/>
    </w:rPr>
  </w:style>
  <w:style w:type="paragraph" w:styleId="Kommentartekst">
    <w:name w:val="annotation text"/>
    <w:basedOn w:val="Normal"/>
    <w:link w:val="KommentartekstTegn"/>
    <w:uiPriority w:val="99"/>
    <w:unhideWhenUsed/>
    <w:rsid w:val="003C254A"/>
    <w:rPr>
      <w:rFonts w:asciiTheme="minorHAnsi" w:eastAsiaTheme="minorEastAsia" w:hAnsiTheme="minorHAnsi" w:cstheme="minorBidi"/>
      <w:sz w:val="20"/>
      <w:szCs w:val="20"/>
      <w:lang w:eastAsia="en-US"/>
    </w:rPr>
  </w:style>
  <w:style w:type="character" w:customStyle="1" w:styleId="KommentartekstTegn">
    <w:name w:val="Kommentartekst Tegn"/>
    <w:basedOn w:val="Standardskrifttypeiafsnit"/>
    <w:link w:val="Kommentartekst"/>
    <w:uiPriority w:val="99"/>
    <w:rsid w:val="003C254A"/>
    <w:rPr>
      <w:sz w:val="20"/>
      <w:szCs w:val="20"/>
    </w:rPr>
  </w:style>
  <w:style w:type="paragraph" w:styleId="Kommentaremne">
    <w:name w:val="annotation subject"/>
    <w:basedOn w:val="Kommentartekst"/>
    <w:next w:val="Kommentartekst"/>
    <w:link w:val="KommentaremneTegn"/>
    <w:uiPriority w:val="99"/>
    <w:semiHidden/>
    <w:unhideWhenUsed/>
    <w:rsid w:val="003C254A"/>
    <w:rPr>
      <w:b/>
      <w:bCs/>
    </w:rPr>
  </w:style>
  <w:style w:type="character" w:customStyle="1" w:styleId="KommentaremneTegn">
    <w:name w:val="Kommentaremne Tegn"/>
    <w:basedOn w:val="KommentartekstTegn"/>
    <w:link w:val="Kommentaremne"/>
    <w:uiPriority w:val="99"/>
    <w:semiHidden/>
    <w:rsid w:val="003C254A"/>
    <w:rPr>
      <w:b/>
      <w:bCs/>
      <w:sz w:val="20"/>
      <w:szCs w:val="20"/>
    </w:rPr>
  </w:style>
  <w:style w:type="paragraph" w:styleId="Listeafsnit">
    <w:name w:val="List Paragraph"/>
    <w:basedOn w:val="Normal"/>
    <w:uiPriority w:val="34"/>
    <w:qFormat/>
    <w:rsid w:val="009217EC"/>
    <w:pPr>
      <w:spacing w:after="160" w:line="256" w:lineRule="auto"/>
      <w:ind w:left="720"/>
      <w:contextualSpacing/>
    </w:pPr>
    <w:rPr>
      <w:rFonts w:asciiTheme="minorHAnsi" w:eastAsiaTheme="minorEastAsia" w:hAnsiTheme="minorHAnsi" w:cstheme="minorBidi"/>
      <w:sz w:val="22"/>
      <w:szCs w:val="22"/>
      <w:lang w:eastAsia="en-US"/>
    </w:rPr>
  </w:style>
  <w:style w:type="character" w:styleId="Hyperlink">
    <w:name w:val="Hyperlink"/>
    <w:basedOn w:val="Standardskrifttypeiafsnit"/>
    <w:uiPriority w:val="99"/>
    <w:unhideWhenUsed/>
    <w:rsid w:val="0048084A"/>
    <w:rPr>
      <w:color w:val="0563C1" w:themeColor="hyperlink"/>
      <w:u w:val="single"/>
    </w:rPr>
  </w:style>
  <w:style w:type="character" w:styleId="Ulstomtale">
    <w:name w:val="Unresolved Mention"/>
    <w:basedOn w:val="Standardskrifttypeiafsnit"/>
    <w:uiPriority w:val="99"/>
    <w:unhideWhenUsed/>
    <w:rsid w:val="0048084A"/>
    <w:rPr>
      <w:color w:val="605E5C"/>
      <w:shd w:val="clear" w:color="auto" w:fill="E1DFDD"/>
    </w:rPr>
  </w:style>
  <w:style w:type="paragraph" w:customStyle="1" w:styleId="Bibliografi1">
    <w:name w:val="Bibliografi1"/>
    <w:basedOn w:val="Normal"/>
    <w:link w:val="BibliographyTegn"/>
    <w:rsid w:val="003B51CF"/>
    <w:pPr>
      <w:tabs>
        <w:tab w:val="left" w:pos="380"/>
      </w:tabs>
      <w:spacing w:after="240"/>
      <w:ind w:left="384" w:hanging="384"/>
      <w:jc w:val="both"/>
    </w:pPr>
    <w:rPr>
      <w:rFonts w:ascii="Times" w:eastAsiaTheme="minorEastAsia" w:hAnsi="Times" w:cstheme="minorBidi"/>
      <w:lang w:val="en-US" w:eastAsia="en-US"/>
    </w:rPr>
  </w:style>
  <w:style w:type="character" w:customStyle="1" w:styleId="BibliographyTegn">
    <w:name w:val="Bibliography Tegn"/>
    <w:basedOn w:val="Standardskrifttypeiafsnit"/>
    <w:link w:val="Bibliografi1"/>
    <w:rsid w:val="003B51CF"/>
    <w:rPr>
      <w:rFonts w:ascii="Times" w:hAnsi="Times"/>
      <w:lang w:val="en-US"/>
    </w:rPr>
  </w:style>
  <w:style w:type="paragraph" w:styleId="Korrektur">
    <w:name w:val="Revision"/>
    <w:hidden/>
    <w:uiPriority w:val="99"/>
    <w:semiHidden/>
    <w:rsid w:val="008F346B"/>
  </w:style>
  <w:style w:type="character" w:customStyle="1" w:styleId="normaltextrun">
    <w:name w:val="normaltextrun"/>
    <w:basedOn w:val="Standardskrifttypeiafsnit"/>
    <w:rsid w:val="002F3F74"/>
  </w:style>
  <w:style w:type="table" w:styleId="Tabel-Gitter">
    <w:name w:val="Table Grid"/>
    <w:basedOn w:val="Tabel-Normal"/>
    <w:uiPriority w:val="39"/>
    <w:rsid w:val="00AF094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rmateretHTML">
    <w:name w:val="HTML Preformatted"/>
    <w:basedOn w:val="Normal"/>
    <w:link w:val="FormateretHTMLTegn"/>
    <w:uiPriority w:val="99"/>
    <w:unhideWhenUsed/>
    <w:rsid w:val="00AF09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FormateretHTMLTegn">
    <w:name w:val="Formateret HTML Tegn"/>
    <w:basedOn w:val="Standardskrifttypeiafsnit"/>
    <w:link w:val="FormateretHTML"/>
    <w:uiPriority w:val="99"/>
    <w:rsid w:val="00AF0947"/>
    <w:rPr>
      <w:rFonts w:ascii="Courier New" w:eastAsia="Times New Roman" w:hAnsi="Courier New" w:cs="Courier New"/>
      <w:sz w:val="20"/>
      <w:szCs w:val="20"/>
      <w:lang w:eastAsia="da-DK"/>
    </w:rPr>
  </w:style>
  <w:style w:type="paragraph" w:styleId="Sidehoved">
    <w:name w:val="header"/>
    <w:basedOn w:val="Normal"/>
    <w:link w:val="SidehovedTegn"/>
    <w:uiPriority w:val="99"/>
    <w:unhideWhenUsed/>
    <w:rsid w:val="0044425A"/>
    <w:pPr>
      <w:tabs>
        <w:tab w:val="center" w:pos="4819"/>
        <w:tab w:val="right" w:pos="9638"/>
      </w:tabs>
    </w:pPr>
    <w:rPr>
      <w:rFonts w:asciiTheme="minorHAnsi" w:eastAsiaTheme="minorEastAsia" w:hAnsiTheme="minorHAnsi" w:cstheme="minorBidi"/>
      <w:lang w:eastAsia="en-US"/>
    </w:rPr>
  </w:style>
  <w:style w:type="character" w:customStyle="1" w:styleId="SidehovedTegn">
    <w:name w:val="Sidehoved Tegn"/>
    <w:basedOn w:val="Standardskrifttypeiafsnit"/>
    <w:link w:val="Sidehoved"/>
    <w:uiPriority w:val="99"/>
    <w:rsid w:val="0044425A"/>
  </w:style>
  <w:style w:type="paragraph" w:styleId="Sidefod">
    <w:name w:val="footer"/>
    <w:basedOn w:val="Normal"/>
    <w:link w:val="SidefodTegn"/>
    <w:uiPriority w:val="99"/>
    <w:unhideWhenUsed/>
    <w:rsid w:val="0044425A"/>
    <w:pPr>
      <w:tabs>
        <w:tab w:val="center" w:pos="4819"/>
        <w:tab w:val="right" w:pos="9638"/>
      </w:tabs>
    </w:pPr>
    <w:rPr>
      <w:rFonts w:asciiTheme="minorHAnsi" w:eastAsiaTheme="minorEastAsia" w:hAnsiTheme="minorHAnsi" w:cstheme="minorBidi"/>
      <w:lang w:eastAsia="en-US"/>
    </w:rPr>
  </w:style>
  <w:style w:type="character" w:customStyle="1" w:styleId="SidefodTegn">
    <w:name w:val="Sidefod Tegn"/>
    <w:basedOn w:val="Standardskrifttypeiafsnit"/>
    <w:link w:val="Sidefod"/>
    <w:uiPriority w:val="99"/>
    <w:rsid w:val="0044425A"/>
  </w:style>
  <w:style w:type="character" w:customStyle="1" w:styleId="Overskrift2Tegn">
    <w:name w:val="Overskrift 2 Tegn"/>
    <w:basedOn w:val="Standardskrifttypeiafsnit"/>
    <w:link w:val="Overskrift2"/>
    <w:uiPriority w:val="9"/>
    <w:semiHidden/>
    <w:rsid w:val="00B24C5A"/>
    <w:rPr>
      <w:rFonts w:asciiTheme="majorHAnsi" w:eastAsiaTheme="majorEastAsia" w:hAnsiTheme="majorHAnsi" w:cstheme="majorBidi"/>
      <w:color w:val="2F5496" w:themeColor="accent1" w:themeShade="BF"/>
      <w:sz w:val="26"/>
      <w:szCs w:val="26"/>
    </w:rPr>
  </w:style>
  <w:style w:type="character" w:styleId="Sidetal">
    <w:name w:val="page number"/>
    <w:basedOn w:val="Standardskrifttypeiafsnit"/>
    <w:uiPriority w:val="99"/>
    <w:semiHidden/>
    <w:unhideWhenUsed/>
    <w:rsid w:val="008744A2"/>
  </w:style>
  <w:style w:type="character" w:styleId="Strk">
    <w:name w:val="Strong"/>
    <w:basedOn w:val="Standardskrifttypeiafsnit"/>
    <w:uiPriority w:val="22"/>
    <w:qFormat/>
    <w:rsid w:val="00944A82"/>
    <w:rPr>
      <w:b/>
      <w:bCs/>
    </w:rPr>
  </w:style>
  <w:style w:type="character" w:customStyle="1" w:styleId="apple-converted-space">
    <w:name w:val="apple-converted-space"/>
    <w:basedOn w:val="Standardskrifttypeiafsnit"/>
    <w:rsid w:val="00944A82"/>
  </w:style>
  <w:style w:type="paragraph" w:styleId="Markeringsbobletekst">
    <w:name w:val="Balloon Text"/>
    <w:basedOn w:val="Normal"/>
    <w:link w:val="MarkeringsbobletekstTegn"/>
    <w:uiPriority w:val="99"/>
    <w:semiHidden/>
    <w:unhideWhenUsed/>
    <w:rsid w:val="00655FDE"/>
    <w:rPr>
      <w:rFonts w:ascii="Segoe UI" w:hAnsi="Segoe UI" w:cs="Segoe UI"/>
      <w:sz w:val="18"/>
      <w:szCs w:val="18"/>
    </w:rPr>
  </w:style>
  <w:style w:type="character" w:customStyle="1" w:styleId="MarkeringsbobletekstTegn">
    <w:name w:val="Markeringsbobletekst Tegn"/>
    <w:basedOn w:val="Standardskrifttypeiafsnit"/>
    <w:link w:val="Markeringsbobletekst"/>
    <w:uiPriority w:val="99"/>
    <w:semiHidden/>
    <w:rsid w:val="00655FDE"/>
    <w:rPr>
      <w:rFonts w:ascii="Segoe UI" w:eastAsia="Times New Roman" w:hAnsi="Segoe UI" w:cs="Segoe UI"/>
      <w:sz w:val="18"/>
      <w:szCs w:val="18"/>
      <w:lang w:eastAsia="da-DK"/>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193108">
      <w:bodyDiv w:val="1"/>
      <w:marLeft w:val="0"/>
      <w:marRight w:val="0"/>
      <w:marTop w:val="0"/>
      <w:marBottom w:val="0"/>
      <w:divBdr>
        <w:top w:val="none" w:sz="0" w:space="0" w:color="auto"/>
        <w:left w:val="none" w:sz="0" w:space="0" w:color="auto"/>
        <w:bottom w:val="none" w:sz="0" w:space="0" w:color="auto"/>
        <w:right w:val="none" w:sz="0" w:space="0" w:color="auto"/>
      </w:divBdr>
    </w:div>
    <w:div w:id="197863139">
      <w:bodyDiv w:val="1"/>
      <w:marLeft w:val="0"/>
      <w:marRight w:val="0"/>
      <w:marTop w:val="0"/>
      <w:marBottom w:val="0"/>
      <w:divBdr>
        <w:top w:val="none" w:sz="0" w:space="0" w:color="auto"/>
        <w:left w:val="none" w:sz="0" w:space="0" w:color="auto"/>
        <w:bottom w:val="none" w:sz="0" w:space="0" w:color="auto"/>
        <w:right w:val="none" w:sz="0" w:space="0" w:color="auto"/>
      </w:divBdr>
    </w:div>
    <w:div w:id="340746066">
      <w:bodyDiv w:val="1"/>
      <w:marLeft w:val="0"/>
      <w:marRight w:val="0"/>
      <w:marTop w:val="0"/>
      <w:marBottom w:val="0"/>
      <w:divBdr>
        <w:top w:val="none" w:sz="0" w:space="0" w:color="auto"/>
        <w:left w:val="none" w:sz="0" w:space="0" w:color="auto"/>
        <w:bottom w:val="none" w:sz="0" w:space="0" w:color="auto"/>
        <w:right w:val="none" w:sz="0" w:space="0" w:color="auto"/>
      </w:divBdr>
    </w:div>
    <w:div w:id="424961683">
      <w:bodyDiv w:val="1"/>
      <w:marLeft w:val="0"/>
      <w:marRight w:val="0"/>
      <w:marTop w:val="0"/>
      <w:marBottom w:val="0"/>
      <w:divBdr>
        <w:top w:val="none" w:sz="0" w:space="0" w:color="auto"/>
        <w:left w:val="none" w:sz="0" w:space="0" w:color="auto"/>
        <w:bottom w:val="none" w:sz="0" w:space="0" w:color="auto"/>
        <w:right w:val="none" w:sz="0" w:space="0" w:color="auto"/>
      </w:divBdr>
      <w:divsChild>
        <w:div w:id="355541729">
          <w:marLeft w:val="0"/>
          <w:marRight w:val="0"/>
          <w:marTop w:val="0"/>
          <w:marBottom w:val="0"/>
          <w:divBdr>
            <w:top w:val="none" w:sz="0" w:space="0" w:color="auto"/>
            <w:left w:val="none" w:sz="0" w:space="0" w:color="auto"/>
            <w:bottom w:val="none" w:sz="0" w:space="0" w:color="auto"/>
            <w:right w:val="none" w:sz="0" w:space="0" w:color="auto"/>
          </w:divBdr>
          <w:divsChild>
            <w:div w:id="503013700">
              <w:marLeft w:val="0"/>
              <w:marRight w:val="0"/>
              <w:marTop w:val="0"/>
              <w:marBottom w:val="0"/>
              <w:divBdr>
                <w:top w:val="none" w:sz="0" w:space="0" w:color="auto"/>
                <w:left w:val="none" w:sz="0" w:space="0" w:color="auto"/>
                <w:bottom w:val="none" w:sz="0" w:space="0" w:color="auto"/>
                <w:right w:val="none" w:sz="0" w:space="0" w:color="auto"/>
              </w:divBdr>
              <w:divsChild>
                <w:div w:id="1419981664">
                  <w:marLeft w:val="0"/>
                  <w:marRight w:val="0"/>
                  <w:marTop w:val="0"/>
                  <w:marBottom w:val="0"/>
                  <w:divBdr>
                    <w:top w:val="none" w:sz="0" w:space="0" w:color="auto"/>
                    <w:left w:val="none" w:sz="0" w:space="0" w:color="auto"/>
                    <w:bottom w:val="none" w:sz="0" w:space="0" w:color="auto"/>
                    <w:right w:val="none" w:sz="0" w:space="0" w:color="auto"/>
                  </w:divBdr>
                </w:div>
                <w:div w:id="296835041">
                  <w:marLeft w:val="0"/>
                  <w:marRight w:val="0"/>
                  <w:marTop w:val="0"/>
                  <w:marBottom w:val="0"/>
                  <w:divBdr>
                    <w:top w:val="none" w:sz="0" w:space="0" w:color="auto"/>
                    <w:left w:val="none" w:sz="0" w:space="0" w:color="auto"/>
                    <w:bottom w:val="none" w:sz="0" w:space="0" w:color="auto"/>
                    <w:right w:val="none" w:sz="0" w:space="0" w:color="auto"/>
                  </w:divBdr>
                </w:div>
                <w:div w:id="100879675">
                  <w:marLeft w:val="0"/>
                  <w:marRight w:val="0"/>
                  <w:marTop w:val="160"/>
                  <w:marBottom w:val="0"/>
                  <w:divBdr>
                    <w:top w:val="none" w:sz="0" w:space="0" w:color="auto"/>
                    <w:left w:val="none" w:sz="0" w:space="0" w:color="auto"/>
                    <w:bottom w:val="none" w:sz="0" w:space="0" w:color="auto"/>
                    <w:right w:val="none" w:sz="0" w:space="0" w:color="auto"/>
                  </w:divBdr>
                </w:div>
                <w:div w:id="1608271647">
                  <w:marLeft w:val="0"/>
                  <w:marRight w:val="0"/>
                  <w:marTop w:val="160"/>
                  <w:marBottom w:val="0"/>
                  <w:divBdr>
                    <w:top w:val="none" w:sz="0" w:space="0" w:color="auto"/>
                    <w:left w:val="none" w:sz="0" w:space="0" w:color="auto"/>
                    <w:bottom w:val="none" w:sz="0" w:space="0" w:color="auto"/>
                    <w:right w:val="none" w:sz="0" w:space="0" w:color="auto"/>
                  </w:divBdr>
                </w:div>
                <w:div w:id="488207604">
                  <w:marLeft w:val="0"/>
                  <w:marRight w:val="0"/>
                  <w:marTop w:val="0"/>
                  <w:marBottom w:val="0"/>
                  <w:divBdr>
                    <w:top w:val="none" w:sz="0" w:space="0" w:color="auto"/>
                    <w:left w:val="none" w:sz="0" w:space="0" w:color="auto"/>
                    <w:bottom w:val="none" w:sz="0" w:space="0" w:color="auto"/>
                    <w:right w:val="none" w:sz="0" w:space="0" w:color="auto"/>
                  </w:divBdr>
                </w:div>
                <w:div w:id="1725909977">
                  <w:marLeft w:val="0"/>
                  <w:marRight w:val="0"/>
                  <w:marTop w:val="0"/>
                  <w:marBottom w:val="0"/>
                  <w:divBdr>
                    <w:top w:val="none" w:sz="0" w:space="0" w:color="auto"/>
                    <w:left w:val="none" w:sz="0" w:space="0" w:color="auto"/>
                    <w:bottom w:val="none" w:sz="0" w:space="0" w:color="auto"/>
                    <w:right w:val="none" w:sz="0" w:space="0" w:color="auto"/>
                  </w:divBdr>
                </w:div>
                <w:div w:id="1622148326">
                  <w:marLeft w:val="0"/>
                  <w:marRight w:val="0"/>
                  <w:marTop w:val="0"/>
                  <w:marBottom w:val="0"/>
                  <w:divBdr>
                    <w:top w:val="none" w:sz="0" w:space="0" w:color="auto"/>
                    <w:left w:val="none" w:sz="0" w:space="0" w:color="auto"/>
                    <w:bottom w:val="none" w:sz="0" w:space="0" w:color="auto"/>
                    <w:right w:val="none" w:sz="0" w:space="0" w:color="auto"/>
                  </w:divBdr>
                </w:div>
                <w:div w:id="1899439162">
                  <w:marLeft w:val="0"/>
                  <w:marRight w:val="0"/>
                  <w:marTop w:val="0"/>
                  <w:marBottom w:val="0"/>
                  <w:divBdr>
                    <w:top w:val="none" w:sz="0" w:space="0" w:color="auto"/>
                    <w:left w:val="none" w:sz="0" w:space="0" w:color="auto"/>
                    <w:bottom w:val="none" w:sz="0" w:space="0" w:color="auto"/>
                    <w:right w:val="none" w:sz="0" w:space="0" w:color="auto"/>
                  </w:divBdr>
                </w:div>
                <w:div w:id="1767068362">
                  <w:marLeft w:val="0"/>
                  <w:marRight w:val="0"/>
                  <w:marTop w:val="0"/>
                  <w:marBottom w:val="0"/>
                  <w:divBdr>
                    <w:top w:val="none" w:sz="0" w:space="0" w:color="auto"/>
                    <w:left w:val="none" w:sz="0" w:space="0" w:color="auto"/>
                    <w:bottom w:val="none" w:sz="0" w:space="0" w:color="auto"/>
                    <w:right w:val="none" w:sz="0" w:space="0" w:color="auto"/>
                  </w:divBdr>
                </w:div>
                <w:div w:id="783884441">
                  <w:marLeft w:val="0"/>
                  <w:marRight w:val="0"/>
                  <w:marTop w:val="0"/>
                  <w:marBottom w:val="0"/>
                  <w:divBdr>
                    <w:top w:val="none" w:sz="0" w:space="0" w:color="auto"/>
                    <w:left w:val="none" w:sz="0" w:space="0" w:color="auto"/>
                    <w:bottom w:val="none" w:sz="0" w:space="0" w:color="auto"/>
                    <w:right w:val="none" w:sz="0" w:space="0" w:color="auto"/>
                  </w:divBdr>
                </w:div>
                <w:div w:id="498235279">
                  <w:marLeft w:val="0"/>
                  <w:marRight w:val="0"/>
                  <w:marTop w:val="0"/>
                  <w:marBottom w:val="0"/>
                  <w:divBdr>
                    <w:top w:val="none" w:sz="0" w:space="0" w:color="auto"/>
                    <w:left w:val="none" w:sz="0" w:space="0" w:color="auto"/>
                    <w:bottom w:val="none" w:sz="0" w:space="0" w:color="auto"/>
                    <w:right w:val="none" w:sz="0" w:space="0" w:color="auto"/>
                  </w:divBdr>
                </w:div>
                <w:div w:id="1560508008">
                  <w:marLeft w:val="0"/>
                  <w:marRight w:val="0"/>
                  <w:marTop w:val="0"/>
                  <w:marBottom w:val="0"/>
                  <w:divBdr>
                    <w:top w:val="none" w:sz="0" w:space="0" w:color="auto"/>
                    <w:left w:val="none" w:sz="0" w:space="0" w:color="auto"/>
                    <w:bottom w:val="none" w:sz="0" w:space="0" w:color="auto"/>
                    <w:right w:val="none" w:sz="0" w:space="0" w:color="auto"/>
                  </w:divBdr>
                </w:div>
                <w:div w:id="511720123">
                  <w:marLeft w:val="0"/>
                  <w:marRight w:val="0"/>
                  <w:marTop w:val="0"/>
                  <w:marBottom w:val="0"/>
                  <w:divBdr>
                    <w:top w:val="none" w:sz="0" w:space="0" w:color="auto"/>
                    <w:left w:val="none" w:sz="0" w:space="0" w:color="auto"/>
                    <w:bottom w:val="none" w:sz="0" w:space="0" w:color="auto"/>
                    <w:right w:val="none" w:sz="0" w:space="0" w:color="auto"/>
                  </w:divBdr>
                </w:div>
                <w:div w:id="866718596">
                  <w:marLeft w:val="0"/>
                  <w:marRight w:val="0"/>
                  <w:marTop w:val="0"/>
                  <w:marBottom w:val="0"/>
                  <w:divBdr>
                    <w:top w:val="none" w:sz="0" w:space="0" w:color="auto"/>
                    <w:left w:val="none" w:sz="0" w:space="0" w:color="auto"/>
                    <w:bottom w:val="none" w:sz="0" w:space="0" w:color="auto"/>
                    <w:right w:val="none" w:sz="0" w:space="0" w:color="auto"/>
                  </w:divBdr>
                </w:div>
                <w:div w:id="783232098">
                  <w:marLeft w:val="0"/>
                  <w:marRight w:val="0"/>
                  <w:marTop w:val="0"/>
                  <w:marBottom w:val="0"/>
                  <w:divBdr>
                    <w:top w:val="none" w:sz="0" w:space="0" w:color="auto"/>
                    <w:left w:val="none" w:sz="0" w:space="0" w:color="auto"/>
                    <w:bottom w:val="none" w:sz="0" w:space="0" w:color="auto"/>
                    <w:right w:val="none" w:sz="0" w:space="0" w:color="auto"/>
                  </w:divBdr>
                </w:div>
                <w:div w:id="1237010786">
                  <w:marLeft w:val="0"/>
                  <w:marRight w:val="0"/>
                  <w:marTop w:val="0"/>
                  <w:marBottom w:val="0"/>
                  <w:divBdr>
                    <w:top w:val="none" w:sz="0" w:space="0" w:color="auto"/>
                    <w:left w:val="none" w:sz="0" w:space="0" w:color="auto"/>
                    <w:bottom w:val="none" w:sz="0" w:space="0" w:color="auto"/>
                    <w:right w:val="none" w:sz="0" w:space="0" w:color="auto"/>
                  </w:divBdr>
                </w:div>
                <w:div w:id="1375539250">
                  <w:marLeft w:val="0"/>
                  <w:marRight w:val="0"/>
                  <w:marTop w:val="0"/>
                  <w:marBottom w:val="0"/>
                  <w:divBdr>
                    <w:top w:val="none" w:sz="0" w:space="0" w:color="auto"/>
                    <w:left w:val="none" w:sz="0" w:space="0" w:color="auto"/>
                    <w:bottom w:val="none" w:sz="0" w:space="0" w:color="auto"/>
                    <w:right w:val="none" w:sz="0" w:space="0" w:color="auto"/>
                  </w:divBdr>
                </w:div>
                <w:div w:id="1753817611">
                  <w:marLeft w:val="0"/>
                  <w:marRight w:val="0"/>
                  <w:marTop w:val="160"/>
                  <w:marBottom w:val="0"/>
                  <w:divBdr>
                    <w:top w:val="none" w:sz="0" w:space="0" w:color="auto"/>
                    <w:left w:val="none" w:sz="0" w:space="0" w:color="auto"/>
                    <w:bottom w:val="none" w:sz="0" w:space="0" w:color="auto"/>
                    <w:right w:val="none" w:sz="0" w:space="0" w:color="auto"/>
                  </w:divBdr>
                </w:div>
              </w:divsChild>
            </w:div>
          </w:divsChild>
        </w:div>
      </w:divsChild>
    </w:div>
    <w:div w:id="1111512081">
      <w:bodyDiv w:val="1"/>
      <w:marLeft w:val="0"/>
      <w:marRight w:val="0"/>
      <w:marTop w:val="0"/>
      <w:marBottom w:val="0"/>
      <w:divBdr>
        <w:top w:val="none" w:sz="0" w:space="0" w:color="auto"/>
        <w:left w:val="none" w:sz="0" w:space="0" w:color="auto"/>
        <w:bottom w:val="none" w:sz="0" w:space="0" w:color="auto"/>
        <w:right w:val="none" w:sz="0" w:space="0" w:color="auto"/>
      </w:divBdr>
    </w:div>
    <w:div w:id="1293705738">
      <w:bodyDiv w:val="1"/>
      <w:marLeft w:val="0"/>
      <w:marRight w:val="0"/>
      <w:marTop w:val="0"/>
      <w:marBottom w:val="0"/>
      <w:divBdr>
        <w:top w:val="none" w:sz="0" w:space="0" w:color="auto"/>
        <w:left w:val="none" w:sz="0" w:space="0" w:color="auto"/>
        <w:bottom w:val="none" w:sz="0" w:space="0" w:color="auto"/>
        <w:right w:val="none" w:sz="0" w:space="0" w:color="auto"/>
      </w:divBdr>
    </w:div>
    <w:div w:id="1407874766">
      <w:bodyDiv w:val="1"/>
      <w:marLeft w:val="0"/>
      <w:marRight w:val="0"/>
      <w:marTop w:val="0"/>
      <w:marBottom w:val="0"/>
      <w:divBdr>
        <w:top w:val="none" w:sz="0" w:space="0" w:color="auto"/>
        <w:left w:val="none" w:sz="0" w:space="0" w:color="auto"/>
        <w:bottom w:val="none" w:sz="0" w:space="0" w:color="auto"/>
        <w:right w:val="none" w:sz="0" w:space="0" w:color="auto"/>
      </w:divBdr>
    </w:div>
    <w:div w:id="1759325134">
      <w:bodyDiv w:val="1"/>
      <w:marLeft w:val="0"/>
      <w:marRight w:val="0"/>
      <w:marTop w:val="0"/>
      <w:marBottom w:val="0"/>
      <w:divBdr>
        <w:top w:val="none" w:sz="0" w:space="0" w:color="auto"/>
        <w:left w:val="none" w:sz="0" w:space="0" w:color="auto"/>
        <w:bottom w:val="none" w:sz="0" w:space="0" w:color="auto"/>
        <w:right w:val="none" w:sz="0" w:space="0" w:color="auto"/>
      </w:divBdr>
    </w:div>
    <w:div w:id="20414674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74E6C8-9587-4968-919C-780352C314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18</Pages>
  <Words>17747</Words>
  <Characters>108258</Characters>
  <Application>Microsoft Office Word</Application>
  <DocSecurity>0</DocSecurity>
  <Lines>902</Lines>
  <Paragraphs>251</Paragraphs>
  <ScaleCrop>false</ScaleCrop>
  <Company/>
  <LinksUpToDate>false</LinksUpToDate>
  <CharactersWithSpaces>125754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Ann-Cathrine Dalgård Dunvald</dc:creator>
  <cp:keywords/>
  <dc:description/>
  <cp:lastModifiedBy>Ann-Cathrine Dalgård Dunvald</cp:lastModifiedBy>
  <cp:revision>3</cp:revision>
  <dcterms:created xsi:type="dcterms:W3CDTF">2023-09-18T15:06:00Z</dcterms:created>
  <dcterms:modified xsi:type="dcterms:W3CDTF">2023-09-18T15:07:00Z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zotero-version="6.0.26"&gt;&lt;session id="MdP0TMIz"/&gt;&lt;style id="http://www.zotero.org/styles/vancouver" locale="en-US" hasBibliography="1" bibliographyStyleHasBeenSet="1"/&gt;&lt;prefs&gt;&lt;pref name="fieldType" value="Field"/&gt;&lt;pref name="automati</vt:lpwstr>
  </property>
  <property fmtid="{D5CDD505-2E9C-101B-9397-08002B2CF9AE}" pid="3" name="ZOTERO_PREF_2">
    <vt:lpwstr>cJournalAbbreviations" value="true"/&gt;&lt;/prefs&gt;&lt;/data&gt;</vt:lpwstr>
  </property>
</Properties>
</file>