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91BCF" w14:textId="17F99566" w:rsidR="004677C3" w:rsidRDefault="00513081" w:rsidP="00CB0DE5">
      <w:pPr>
        <w:pStyle w:val="Heading1"/>
        <w:numPr>
          <w:ilvl w:val="0"/>
          <w:numId w:val="0"/>
        </w:numPr>
        <w:rPr>
          <w:lang w:val="en-GB"/>
        </w:rPr>
      </w:pPr>
      <w:bookmarkStart w:id="0" w:name="_Toc77930500"/>
      <w:r>
        <w:rPr>
          <w:lang w:val="en-GB"/>
        </w:rPr>
        <w:t>Synopsis</w:t>
      </w:r>
      <w:bookmarkEnd w:id="0"/>
    </w:p>
    <w:tbl>
      <w:tblPr>
        <w:tblW w:w="901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86"/>
        <w:gridCol w:w="6624"/>
      </w:tblGrid>
      <w:tr w:rsidR="00D25D1A" w:rsidRPr="00D25D1A" w14:paraId="6BA6F32A" w14:textId="77777777" w:rsidTr="008D46EC">
        <w:trPr>
          <w:trHeight w:val="209"/>
          <w:tblHeader/>
        </w:trPr>
        <w:tc>
          <w:tcPr>
            <w:tcW w:w="2386" w:type="dxa"/>
            <w:shd w:val="clear" w:color="auto" w:fill="auto"/>
          </w:tcPr>
          <w:p w14:paraId="7689B844" w14:textId="77777777" w:rsidR="00D25D1A" w:rsidRPr="00D25D1A" w:rsidRDefault="00D25D1A" w:rsidP="008D46EC">
            <w:pPr>
              <w:spacing w:before="60" w:after="60"/>
              <w:rPr>
                <w:rFonts w:ascii="Arial" w:hAnsi="Arial" w:cs="Arial"/>
                <w:b/>
                <w:sz w:val="22"/>
                <w:szCs w:val="22"/>
                <w:lang w:val="en-GB"/>
              </w:rPr>
            </w:pPr>
            <w:r w:rsidRPr="00D25D1A">
              <w:rPr>
                <w:rFonts w:ascii="Arial" w:hAnsi="Arial" w:cs="Arial"/>
                <w:b/>
                <w:sz w:val="22"/>
                <w:szCs w:val="22"/>
                <w:lang w:val="en-GB"/>
              </w:rPr>
              <w:t>Study number:</w:t>
            </w:r>
          </w:p>
        </w:tc>
        <w:tc>
          <w:tcPr>
            <w:tcW w:w="6624" w:type="dxa"/>
            <w:shd w:val="clear" w:color="auto" w:fill="auto"/>
          </w:tcPr>
          <w:p w14:paraId="1C6F0F34" w14:textId="77777777" w:rsidR="00D25D1A" w:rsidRPr="00D25D1A" w:rsidRDefault="00D25D1A" w:rsidP="008D46EC">
            <w:pPr>
              <w:spacing w:before="60" w:after="60"/>
              <w:rPr>
                <w:rFonts w:ascii="Arial" w:hAnsi="Arial" w:cs="Arial"/>
                <w:sz w:val="22"/>
                <w:szCs w:val="22"/>
                <w:lang w:val="en-GB"/>
              </w:rPr>
            </w:pPr>
            <w:r w:rsidRPr="00D25D1A">
              <w:rPr>
                <w:rFonts w:ascii="Arial" w:hAnsi="Arial" w:cs="Arial"/>
                <w:sz w:val="22"/>
                <w:szCs w:val="22"/>
                <w:lang w:val="en-GB"/>
              </w:rPr>
              <w:t>PTF202</w:t>
            </w:r>
          </w:p>
        </w:tc>
      </w:tr>
      <w:tr w:rsidR="00D25D1A" w:rsidRPr="00D25D1A" w14:paraId="4A83C114" w14:textId="77777777" w:rsidTr="008D46EC">
        <w:tc>
          <w:tcPr>
            <w:tcW w:w="2386" w:type="dxa"/>
            <w:shd w:val="clear" w:color="auto" w:fill="auto"/>
          </w:tcPr>
          <w:p w14:paraId="7ECB71B7" w14:textId="77777777" w:rsidR="00D25D1A" w:rsidRPr="00D25D1A" w:rsidRDefault="00D25D1A" w:rsidP="008D46EC">
            <w:pPr>
              <w:spacing w:before="60" w:after="60"/>
              <w:rPr>
                <w:rFonts w:ascii="Arial" w:hAnsi="Arial" w:cs="Arial"/>
                <w:b/>
                <w:sz w:val="22"/>
                <w:szCs w:val="22"/>
                <w:lang w:val="en-GB"/>
              </w:rPr>
            </w:pPr>
            <w:r w:rsidRPr="00D25D1A">
              <w:rPr>
                <w:rFonts w:ascii="Arial" w:hAnsi="Arial" w:cs="Arial"/>
                <w:b/>
                <w:sz w:val="22"/>
                <w:szCs w:val="22"/>
                <w:lang w:val="en-GB"/>
              </w:rPr>
              <w:t>Study title:</w:t>
            </w:r>
          </w:p>
          <w:p w14:paraId="5DD66334" w14:textId="77777777" w:rsidR="00D25D1A" w:rsidRPr="00D25D1A" w:rsidRDefault="00D25D1A" w:rsidP="008D46EC">
            <w:pPr>
              <w:rPr>
                <w:rFonts w:ascii="Arial" w:hAnsi="Arial" w:cs="Arial"/>
                <w:sz w:val="22"/>
                <w:szCs w:val="22"/>
                <w:lang w:val="en-GB"/>
              </w:rPr>
            </w:pPr>
          </w:p>
          <w:p w14:paraId="04A8A71F" w14:textId="77777777" w:rsidR="00D25D1A" w:rsidRPr="00D25D1A" w:rsidRDefault="00D25D1A" w:rsidP="008D46EC">
            <w:pPr>
              <w:jc w:val="right"/>
              <w:rPr>
                <w:rFonts w:ascii="Arial" w:hAnsi="Arial" w:cs="Arial"/>
                <w:sz w:val="22"/>
                <w:szCs w:val="22"/>
                <w:lang w:val="en-GB"/>
              </w:rPr>
            </w:pPr>
          </w:p>
        </w:tc>
        <w:tc>
          <w:tcPr>
            <w:tcW w:w="6624" w:type="dxa"/>
            <w:shd w:val="clear" w:color="auto" w:fill="auto"/>
          </w:tcPr>
          <w:p w14:paraId="552012F2" w14:textId="77777777"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A prospective, international, multi-centre, open-label, single-arm phase II study investigating</w:t>
            </w:r>
            <w:r w:rsidRPr="00D25D1A">
              <w:rPr>
                <w:rFonts w:ascii="Arial" w:hAnsi="Arial" w:cs="Arial"/>
                <w:bCs/>
                <w:sz w:val="22"/>
                <w:szCs w:val="22"/>
                <w:lang w:val="en-GB"/>
              </w:rPr>
              <w:t xml:space="preserve"> </w:t>
            </w:r>
            <w:r w:rsidRPr="00D25D1A">
              <w:rPr>
                <w:rFonts w:ascii="Arial" w:hAnsi="Arial" w:cs="Arial"/>
                <w:sz w:val="22"/>
                <w:szCs w:val="22"/>
                <w:lang w:val="en-GB"/>
              </w:rPr>
              <w:t>the predictive value of [</w:t>
            </w:r>
            <w:r w:rsidRPr="00D25D1A">
              <w:rPr>
                <w:rFonts w:ascii="Arial" w:hAnsi="Arial" w:cs="Arial"/>
                <w:sz w:val="22"/>
                <w:szCs w:val="22"/>
                <w:vertAlign w:val="superscript"/>
                <w:lang w:val="en-GB"/>
              </w:rPr>
              <w:t>68</w:t>
            </w:r>
            <w:proofErr w:type="gramStart"/>
            <w:r w:rsidRPr="00D25D1A">
              <w:rPr>
                <w:rFonts w:ascii="Arial" w:hAnsi="Arial" w:cs="Arial"/>
                <w:sz w:val="22"/>
                <w:szCs w:val="22"/>
                <w:lang w:val="en-GB"/>
              </w:rPr>
              <w:t>Ga]Ga</w:t>
            </w:r>
            <w:proofErr w:type="gramEnd"/>
            <w:r w:rsidRPr="00D25D1A">
              <w:rPr>
                <w:rFonts w:ascii="Arial" w:hAnsi="Arial" w:cs="Arial"/>
                <w:sz w:val="22"/>
                <w:szCs w:val="22"/>
                <w:lang w:val="en-GB"/>
              </w:rPr>
              <w:noBreakHyphen/>
            </w:r>
            <w:proofErr w:type="spellStart"/>
            <w:r w:rsidRPr="00D25D1A">
              <w:rPr>
                <w:rFonts w:ascii="Arial" w:hAnsi="Arial" w:cs="Arial"/>
                <w:sz w:val="22"/>
                <w:szCs w:val="22"/>
                <w:lang w:val="en-GB"/>
              </w:rPr>
              <w:t>PentixaFor</w:t>
            </w:r>
            <w:proofErr w:type="spellEnd"/>
            <w:r w:rsidRPr="00D25D1A">
              <w:rPr>
                <w:rFonts w:ascii="Arial" w:hAnsi="Arial" w:cs="Arial"/>
                <w:sz w:val="22"/>
                <w:szCs w:val="22"/>
                <w:lang w:val="en-GB"/>
              </w:rPr>
              <w:t xml:space="preserve"> PET imaging in primary and isolated secondary CNS lymphoma patients</w:t>
            </w:r>
          </w:p>
        </w:tc>
      </w:tr>
      <w:tr w:rsidR="00D25D1A" w:rsidRPr="00D25D1A" w14:paraId="50A32EE7" w14:textId="77777777" w:rsidTr="008D46EC">
        <w:tc>
          <w:tcPr>
            <w:tcW w:w="2386" w:type="dxa"/>
            <w:tcBorders>
              <w:bottom w:val="single" w:sz="4" w:space="0" w:color="auto"/>
            </w:tcBorders>
            <w:shd w:val="clear" w:color="auto" w:fill="auto"/>
          </w:tcPr>
          <w:p w14:paraId="3B92FD13" w14:textId="3B09D50E" w:rsidR="00D25D1A" w:rsidRPr="00D25D1A" w:rsidRDefault="00D25D1A" w:rsidP="008D46EC">
            <w:pPr>
              <w:spacing w:before="60" w:after="60"/>
              <w:rPr>
                <w:rFonts w:ascii="Arial" w:hAnsi="Arial" w:cs="Arial"/>
                <w:b/>
                <w:sz w:val="22"/>
                <w:szCs w:val="22"/>
                <w:lang w:val="en-GB"/>
              </w:rPr>
            </w:pPr>
            <w:bookmarkStart w:id="1" w:name="_Toc387122783"/>
            <w:r w:rsidRPr="00D25D1A">
              <w:rPr>
                <w:rFonts w:ascii="Arial" w:hAnsi="Arial" w:cs="Arial"/>
                <w:b/>
                <w:sz w:val="22"/>
                <w:szCs w:val="22"/>
                <w:lang w:val="en-GB"/>
              </w:rPr>
              <w:t>Short title</w:t>
            </w:r>
            <w:bookmarkEnd w:id="1"/>
            <w:r w:rsidRPr="00D25D1A">
              <w:rPr>
                <w:rFonts w:ascii="Arial" w:hAnsi="Arial" w:cs="Arial"/>
                <w:b/>
                <w:sz w:val="22"/>
                <w:szCs w:val="22"/>
                <w:lang w:val="en-GB"/>
              </w:rPr>
              <w:t>:</w:t>
            </w:r>
          </w:p>
        </w:tc>
        <w:tc>
          <w:tcPr>
            <w:tcW w:w="6624" w:type="dxa"/>
            <w:shd w:val="clear" w:color="auto" w:fill="auto"/>
          </w:tcPr>
          <w:p w14:paraId="11038F75" w14:textId="77777777" w:rsidR="00D25D1A" w:rsidRPr="00D25D1A" w:rsidRDefault="00D25D1A" w:rsidP="008D46EC">
            <w:pPr>
              <w:spacing w:before="60" w:after="60"/>
              <w:jc w:val="left"/>
              <w:rPr>
                <w:rFonts w:ascii="Arial" w:hAnsi="Arial" w:cs="Arial"/>
                <w:sz w:val="22"/>
                <w:szCs w:val="22"/>
                <w:lang w:val="en-GB"/>
              </w:rPr>
            </w:pPr>
            <w:r w:rsidRPr="00D25D1A">
              <w:rPr>
                <w:rFonts w:ascii="Arial" w:hAnsi="Arial" w:cs="Arial"/>
                <w:sz w:val="22"/>
                <w:szCs w:val="22"/>
                <w:lang w:val="en-GB"/>
              </w:rPr>
              <w:t>[</w:t>
            </w:r>
            <w:r w:rsidRPr="00D25D1A">
              <w:rPr>
                <w:rFonts w:ascii="Arial" w:hAnsi="Arial" w:cs="Arial"/>
                <w:sz w:val="22"/>
                <w:szCs w:val="22"/>
                <w:vertAlign w:val="superscript"/>
                <w:lang w:val="en-GB"/>
              </w:rPr>
              <w:t>68</w:t>
            </w:r>
            <w:proofErr w:type="gramStart"/>
            <w:r w:rsidRPr="00D25D1A">
              <w:rPr>
                <w:rFonts w:ascii="Arial" w:hAnsi="Arial" w:cs="Arial"/>
                <w:sz w:val="22"/>
                <w:szCs w:val="22"/>
                <w:lang w:val="en-GB"/>
              </w:rPr>
              <w:t>Ga]Ga</w:t>
            </w:r>
            <w:proofErr w:type="gramEnd"/>
            <w:r w:rsidRPr="00D25D1A">
              <w:rPr>
                <w:rFonts w:ascii="Arial" w:hAnsi="Arial" w:cs="Arial"/>
                <w:sz w:val="22"/>
                <w:szCs w:val="22"/>
                <w:lang w:val="en-GB"/>
              </w:rPr>
              <w:t>-</w:t>
            </w:r>
            <w:proofErr w:type="spellStart"/>
            <w:r w:rsidRPr="00D25D1A">
              <w:rPr>
                <w:rFonts w:ascii="Arial" w:hAnsi="Arial" w:cs="Arial"/>
                <w:sz w:val="22"/>
                <w:szCs w:val="22"/>
                <w:lang w:val="en-GB"/>
              </w:rPr>
              <w:t>PentixaFor</w:t>
            </w:r>
            <w:proofErr w:type="spellEnd"/>
            <w:r w:rsidRPr="00D25D1A">
              <w:rPr>
                <w:rFonts w:ascii="Arial" w:hAnsi="Arial" w:cs="Arial"/>
                <w:sz w:val="22"/>
                <w:szCs w:val="22"/>
                <w:lang w:val="en-GB"/>
              </w:rPr>
              <w:t xml:space="preserve"> PET imaging in CNS lymphoma patients</w:t>
            </w:r>
          </w:p>
        </w:tc>
      </w:tr>
      <w:tr w:rsidR="00D25D1A" w:rsidRPr="00D25D1A" w14:paraId="7BB3CF3E" w14:textId="77777777" w:rsidTr="008D46EC">
        <w:tc>
          <w:tcPr>
            <w:tcW w:w="2386" w:type="dxa"/>
            <w:tcBorders>
              <w:bottom w:val="nil"/>
            </w:tcBorders>
            <w:shd w:val="clear" w:color="auto" w:fill="auto"/>
          </w:tcPr>
          <w:p w14:paraId="1F4B44FD" w14:textId="2786ADAA" w:rsidR="00D25D1A" w:rsidRPr="00D25D1A" w:rsidRDefault="00D25D1A" w:rsidP="008D46EC">
            <w:pPr>
              <w:spacing w:before="60" w:after="60"/>
              <w:rPr>
                <w:rFonts w:ascii="Arial" w:hAnsi="Arial" w:cs="Arial"/>
                <w:b/>
                <w:sz w:val="22"/>
                <w:szCs w:val="22"/>
                <w:lang w:val="en-GB"/>
              </w:rPr>
            </w:pPr>
            <w:bookmarkStart w:id="2" w:name="_Toc387122786"/>
            <w:r w:rsidRPr="00D25D1A">
              <w:rPr>
                <w:rFonts w:ascii="Arial" w:hAnsi="Arial" w:cs="Arial"/>
                <w:b/>
                <w:sz w:val="22"/>
                <w:szCs w:val="22"/>
                <w:lang w:val="en-GB"/>
              </w:rPr>
              <w:t>Study objectives</w:t>
            </w:r>
            <w:bookmarkEnd w:id="2"/>
            <w:r w:rsidRPr="00D25D1A">
              <w:rPr>
                <w:rFonts w:ascii="Arial" w:hAnsi="Arial" w:cs="Arial"/>
                <w:b/>
                <w:sz w:val="22"/>
                <w:szCs w:val="22"/>
                <w:lang w:val="en-GB"/>
              </w:rPr>
              <w:t>:</w:t>
            </w:r>
          </w:p>
        </w:tc>
        <w:tc>
          <w:tcPr>
            <w:tcW w:w="6624" w:type="dxa"/>
            <w:shd w:val="clear" w:color="auto" w:fill="auto"/>
          </w:tcPr>
          <w:p w14:paraId="25A2550F" w14:textId="77777777" w:rsidR="00D25D1A" w:rsidRPr="00D25D1A" w:rsidRDefault="00D25D1A" w:rsidP="00504E07">
            <w:pPr>
              <w:spacing w:before="60" w:after="60"/>
              <w:rPr>
                <w:rFonts w:ascii="Arial" w:hAnsi="Arial" w:cs="Arial"/>
                <w:sz w:val="22"/>
                <w:szCs w:val="22"/>
                <w:lang w:val="en-GB"/>
              </w:rPr>
            </w:pPr>
            <w:bookmarkStart w:id="3" w:name="_Toc387122787"/>
            <w:r w:rsidRPr="00D25D1A">
              <w:rPr>
                <w:rFonts w:ascii="Arial" w:hAnsi="Arial" w:cs="Arial"/>
                <w:i/>
                <w:sz w:val="22"/>
                <w:szCs w:val="22"/>
                <w:lang w:val="en-GB"/>
              </w:rPr>
              <w:t>Primary objective</w:t>
            </w:r>
            <w:bookmarkEnd w:id="3"/>
            <w:r w:rsidRPr="00D25D1A">
              <w:rPr>
                <w:rFonts w:ascii="Arial" w:hAnsi="Arial" w:cs="Arial"/>
                <w:i/>
                <w:sz w:val="22"/>
                <w:szCs w:val="22"/>
                <w:lang w:val="en-GB"/>
              </w:rPr>
              <w:t>:</w:t>
            </w:r>
          </w:p>
          <w:p w14:paraId="5FA5EE4C" w14:textId="77777777" w:rsidR="00D25D1A" w:rsidRPr="00D25D1A" w:rsidRDefault="00D25D1A" w:rsidP="00504E07">
            <w:pPr>
              <w:tabs>
                <w:tab w:val="right" w:pos="312"/>
                <w:tab w:val="left" w:pos="397"/>
              </w:tabs>
              <w:spacing w:before="60"/>
              <w:ind w:left="567" w:hanging="567"/>
              <w:rPr>
                <w:rFonts w:ascii="Arial" w:hAnsi="Arial" w:cs="Arial"/>
                <w:sz w:val="22"/>
                <w:szCs w:val="22"/>
                <w:lang w:val="en-GB"/>
              </w:rPr>
            </w:pPr>
            <w:r w:rsidRPr="00D25D1A">
              <w:rPr>
                <w:rFonts w:ascii="Arial" w:hAnsi="Arial" w:cs="Arial"/>
                <w:sz w:val="22"/>
                <w:szCs w:val="22"/>
                <w:lang w:val="en-GB"/>
              </w:rPr>
              <w:tab/>
              <w:t>1.</w:t>
            </w:r>
            <w:r w:rsidRPr="00D25D1A">
              <w:rPr>
                <w:rFonts w:ascii="Arial" w:hAnsi="Arial" w:cs="Arial"/>
                <w:sz w:val="22"/>
                <w:szCs w:val="22"/>
                <w:lang w:val="en-GB"/>
              </w:rPr>
              <w:tab/>
              <w:t>To evaluate the negative predictive value (NPV) of [</w:t>
            </w:r>
            <w:r w:rsidRPr="00D25D1A">
              <w:rPr>
                <w:rFonts w:ascii="Arial" w:hAnsi="Arial" w:cs="Arial"/>
                <w:sz w:val="22"/>
                <w:szCs w:val="22"/>
                <w:vertAlign w:val="superscript"/>
                <w:lang w:val="en-GB"/>
              </w:rPr>
              <w:t>68</w:t>
            </w:r>
            <w:proofErr w:type="gramStart"/>
            <w:r w:rsidRPr="00D25D1A">
              <w:rPr>
                <w:rFonts w:ascii="Arial" w:hAnsi="Arial" w:cs="Arial"/>
                <w:sz w:val="22"/>
                <w:szCs w:val="22"/>
                <w:lang w:val="en-GB"/>
              </w:rPr>
              <w:t>Ga]Ga</w:t>
            </w:r>
            <w:proofErr w:type="gramEnd"/>
            <w:r w:rsidRPr="00D25D1A">
              <w:rPr>
                <w:rFonts w:ascii="Arial" w:hAnsi="Arial" w:cs="Arial"/>
                <w:sz w:val="22"/>
                <w:szCs w:val="22"/>
                <w:lang w:val="en-GB"/>
              </w:rPr>
              <w:t>-</w:t>
            </w:r>
            <w:proofErr w:type="spellStart"/>
            <w:r w:rsidRPr="00D25D1A">
              <w:rPr>
                <w:rFonts w:ascii="Arial" w:hAnsi="Arial" w:cs="Arial"/>
                <w:sz w:val="22"/>
                <w:szCs w:val="22"/>
                <w:lang w:val="en-GB"/>
              </w:rPr>
              <w:t>PentixaFor</w:t>
            </w:r>
            <w:proofErr w:type="spellEnd"/>
            <w:r w:rsidRPr="00D25D1A">
              <w:rPr>
                <w:rFonts w:ascii="Arial" w:hAnsi="Arial" w:cs="Arial"/>
                <w:sz w:val="22"/>
                <w:szCs w:val="22"/>
                <w:lang w:val="en-GB"/>
              </w:rPr>
              <w:t xml:space="preserve"> (PTF)</w:t>
            </w:r>
            <w:r w:rsidRPr="00D25D1A">
              <w:rPr>
                <w:rFonts w:ascii="Arial" w:hAnsi="Arial" w:cs="Arial"/>
                <w:sz w:val="22"/>
                <w:szCs w:val="22"/>
                <w:lang w:val="en-GB"/>
              </w:rPr>
              <w:noBreakHyphen/>
              <w:t xml:space="preserve">PET at interim examination (after 6 ± 2 weeks of induction chemotherapy) for progression-free survival (PFS). </w:t>
            </w:r>
          </w:p>
        </w:tc>
      </w:tr>
      <w:tr w:rsidR="00D25D1A" w:rsidRPr="00D25D1A" w14:paraId="365909F6" w14:textId="77777777" w:rsidTr="008D46EC">
        <w:tc>
          <w:tcPr>
            <w:tcW w:w="2386" w:type="dxa"/>
            <w:tcBorders>
              <w:top w:val="nil"/>
            </w:tcBorders>
            <w:shd w:val="clear" w:color="auto" w:fill="auto"/>
          </w:tcPr>
          <w:p w14:paraId="3C228478" w14:textId="77777777" w:rsidR="00D25D1A" w:rsidRPr="00D25D1A" w:rsidRDefault="00D25D1A" w:rsidP="008D46EC">
            <w:pPr>
              <w:spacing w:before="60" w:after="60"/>
              <w:rPr>
                <w:rFonts w:ascii="Arial" w:hAnsi="Arial" w:cs="Arial"/>
                <w:b/>
                <w:sz w:val="22"/>
                <w:szCs w:val="22"/>
                <w:lang w:val="en-GB"/>
              </w:rPr>
            </w:pPr>
          </w:p>
        </w:tc>
        <w:tc>
          <w:tcPr>
            <w:tcW w:w="6624" w:type="dxa"/>
            <w:shd w:val="clear" w:color="auto" w:fill="auto"/>
          </w:tcPr>
          <w:p w14:paraId="1340CEAE" w14:textId="77777777" w:rsidR="00D25D1A" w:rsidRPr="00D25D1A" w:rsidRDefault="00D25D1A" w:rsidP="008D46EC">
            <w:pPr>
              <w:spacing w:before="60" w:after="40"/>
              <w:jc w:val="left"/>
              <w:rPr>
                <w:rFonts w:ascii="Arial" w:hAnsi="Arial" w:cs="Arial"/>
                <w:sz w:val="22"/>
                <w:szCs w:val="22"/>
                <w:lang w:val="en-GB"/>
              </w:rPr>
            </w:pPr>
            <w:r w:rsidRPr="00D25D1A">
              <w:rPr>
                <w:rFonts w:ascii="Arial" w:hAnsi="Arial" w:cs="Arial"/>
                <w:i/>
                <w:sz w:val="22"/>
                <w:szCs w:val="22"/>
                <w:lang w:val="en-GB"/>
              </w:rPr>
              <w:t>Secondary objectives:</w:t>
            </w:r>
          </w:p>
          <w:p w14:paraId="3845AFF2" w14:textId="77777777" w:rsidR="00D25D1A" w:rsidRPr="00D25D1A" w:rsidRDefault="00D25D1A" w:rsidP="00504E07">
            <w:pPr>
              <w:tabs>
                <w:tab w:val="right" w:pos="312"/>
                <w:tab w:val="left" w:pos="397"/>
              </w:tabs>
              <w:spacing w:before="60" w:after="60"/>
              <w:ind w:left="567" w:hanging="567"/>
              <w:rPr>
                <w:rFonts w:ascii="Arial" w:hAnsi="Arial" w:cs="Arial"/>
                <w:sz w:val="22"/>
                <w:szCs w:val="22"/>
                <w:lang w:val="en-GB"/>
              </w:rPr>
            </w:pPr>
            <w:r w:rsidRPr="00D25D1A">
              <w:rPr>
                <w:rFonts w:ascii="Arial" w:hAnsi="Arial" w:cs="Arial"/>
                <w:sz w:val="22"/>
                <w:szCs w:val="22"/>
                <w:lang w:val="en-GB"/>
              </w:rPr>
              <w:tab/>
              <w:t>2.</w:t>
            </w:r>
            <w:r w:rsidRPr="00D25D1A">
              <w:rPr>
                <w:rFonts w:ascii="Arial" w:hAnsi="Arial" w:cs="Arial"/>
                <w:sz w:val="22"/>
                <w:szCs w:val="22"/>
                <w:lang w:val="en-GB"/>
              </w:rPr>
              <w:tab/>
              <w:t>To evaluate the positive predictive value (PPV) of PTF</w:t>
            </w:r>
            <w:r w:rsidRPr="00D25D1A">
              <w:rPr>
                <w:rFonts w:ascii="Arial" w:hAnsi="Arial" w:cs="Arial"/>
                <w:sz w:val="22"/>
                <w:szCs w:val="22"/>
                <w:lang w:val="en-GB"/>
              </w:rPr>
              <w:noBreakHyphen/>
              <w:t>PET at interim examination (after 6 ± 2 weeks of induction chemotherapy) for PFS.</w:t>
            </w:r>
          </w:p>
          <w:p w14:paraId="647B9C5F"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3.</w:t>
            </w:r>
            <w:r w:rsidRPr="00D25D1A">
              <w:rPr>
                <w:rFonts w:ascii="Arial" w:hAnsi="Arial" w:cs="Arial"/>
                <w:sz w:val="22"/>
                <w:szCs w:val="22"/>
                <w:lang w:val="en-GB"/>
              </w:rPr>
              <w:tab/>
              <w:t>To evaluate the safety and tolerability of PTF</w:t>
            </w:r>
            <w:r w:rsidRPr="00D25D1A">
              <w:rPr>
                <w:rFonts w:ascii="Arial" w:hAnsi="Arial" w:cs="Arial"/>
                <w:sz w:val="22"/>
                <w:szCs w:val="22"/>
                <w:lang w:val="en-GB"/>
              </w:rPr>
              <w:noBreakHyphen/>
              <w:t>PET imaging.</w:t>
            </w:r>
          </w:p>
          <w:p w14:paraId="752AD0F5"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4.</w:t>
            </w:r>
            <w:r w:rsidRPr="00D25D1A">
              <w:rPr>
                <w:rFonts w:ascii="Arial" w:hAnsi="Arial" w:cs="Arial"/>
                <w:sz w:val="22"/>
                <w:szCs w:val="22"/>
                <w:lang w:val="en-GB"/>
              </w:rPr>
              <w:tab/>
              <w:t>To evaluate the predictive values of PTF</w:t>
            </w:r>
            <w:r w:rsidRPr="00D25D1A">
              <w:rPr>
                <w:rFonts w:ascii="Arial" w:hAnsi="Arial" w:cs="Arial"/>
                <w:sz w:val="22"/>
                <w:szCs w:val="22"/>
                <w:lang w:val="en-GB"/>
              </w:rPr>
              <w:noBreakHyphen/>
              <w:t>PET at the end of induction chemotherapy for PFS.</w:t>
            </w:r>
          </w:p>
          <w:p w14:paraId="069F4F27"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5.</w:t>
            </w:r>
            <w:r w:rsidRPr="00D25D1A">
              <w:rPr>
                <w:rFonts w:ascii="Arial" w:hAnsi="Arial" w:cs="Arial"/>
                <w:sz w:val="22"/>
                <w:szCs w:val="22"/>
                <w:lang w:val="en-GB"/>
              </w:rPr>
              <w:tab/>
              <w:t>To evaluate the predictive values of PTF</w:t>
            </w:r>
            <w:r w:rsidRPr="00D25D1A">
              <w:rPr>
                <w:rFonts w:ascii="Arial" w:hAnsi="Arial" w:cs="Arial"/>
                <w:sz w:val="22"/>
                <w:szCs w:val="22"/>
                <w:lang w:val="en-GB"/>
              </w:rPr>
              <w:noBreakHyphen/>
              <w:t>PET at interim examination (after 6 ± 2 weeks of induction chemotherapy) and end-of-chemotherapy-treatment for complete response (CR).</w:t>
            </w:r>
          </w:p>
          <w:p w14:paraId="28AC404B"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6.</w:t>
            </w:r>
            <w:r w:rsidRPr="00D25D1A">
              <w:rPr>
                <w:rFonts w:ascii="Arial" w:hAnsi="Arial" w:cs="Arial"/>
                <w:sz w:val="22"/>
                <w:szCs w:val="22"/>
                <w:lang w:val="en-GB"/>
              </w:rPr>
              <w:tab/>
              <w:t>To evaluate the predictive values of pre-treatment PTF</w:t>
            </w:r>
            <w:r w:rsidRPr="00D25D1A">
              <w:rPr>
                <w:rFonts w:ascii="Arial" w:hAnsi="Arial" w:cs="Arial"/>
                <w:sz w:val="22"/>
                <w:szCs w:val="22"/>
                <w:lang w:val="en-GB"/>
              </w:rPr>
              <w:noBreakHyphen/>
              <w:t>PET imaging parameters for PFS and CR.</w:t>
            </w:r>
          </w:p>
          <w:p w14:paraId="732B4EC4"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7.</w:t>
            </w:r>
            <w:r w:rsidRPr="00D25D1A">
              <w:rPr>
                <w:rFonts w:ascii="Arial" w:hAnsi="Arial" w:cs="Arial"/>
                <w:sz w:val="22"/>
                <w:szCs w:val="22"/>
                <w:lang w:val="en-GB"/>
              </w:rPr>
              <w:tab/>
              <w:t>To evaluate the predictive values of interim (after 6 ± 2 weeks of induction chemotherapy) PTF</w:t>
            </w:r>
            <w:r w:rsidRPr="00D25D1A">
              <w:rPr>
                <w:rFonts w:ascii="Arial" w:hAnsi="Arial" w:cs="Arial"/>
                <w:sz w:val="22"/>
                <w:szCs w:val="22"/>
                <w:lang w:val="en-GB"/>
              </w:rPr>
              <w:noBreakHyphen/>
              <w:t>PET imaging parameters for PFS and CR.</w:t>
            </w:r>
          </w:p>
          <w:p w14:paraId="5F79A705"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8.</w:t>
            </w:r>
            <w:r w:rsidRPr="00D25D1A">
              <w:rPr>
                <w:rFonts w:ascii="Arial" w:hAnsi="Arial" w:cs="Arial"/>
                <w:sz w:val="22"/>
                <w:szCs w:val="22"/>
                <w:lang w:val="en-GB"/>
              </w:rPr>
              <w:tab/>
              <w:t>To evaluate the predictive values of changes between pre-treatment and interim (after 6 ± 2 weeks of induction chemotherapy) PTF</w:t>
            </w:r>
            <w:r w:rsidRPr="00D25D1A">
              <w:rPr>
                <w:rFonts w:ascii="Arial" w:hAnsi="Arial" w:cs="Arial"/>
                <w:sz w:val="22"/>
                <w:szCs w:val="22"/>
                <w:lang w:val="en-GB"/>
              </w:rPr>
              <w:noBreakHyphen/>
              <w:t>PET imaging parameters for PFS.</w:t>
            </w:r>
          </w:p>
          <w:p w14:paraId="5909415B"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9.</w:t>
            </w:r>
            <w:r w:rsidRPr="00D25D1A">
              <w:rPr>
                <w:rFonts w:ascii="Arial" w:hAnsi="Arial" w:cs="Arial"/>
                <w:sz w:val="22"/>
                <w:szCs w:val="22"/>
                <w:lang w:val="en-GB"/>
              </w:rPr>
              <w:tab/>
              <w:t>To determine the sensitivity of pre-treatment PTF</w:t>
            </w:r>
            <w:r w:rsidRPr="00D25D1A">
              <w:rPr>
                <w:rFonts w:ascii="Arial" w:hAnsi="Arial" w:cs="Arial"/>
                <w:sz w:val="22"/>
                <w:szCs w:val="22"/>
                <w:lang w:val="en-GB"/>
              </w:rPr>
              <w:noBreakHyphen/>
              <w:t>PET for CXCR4-positivity in the fraction of patients from whom biopsy tissue is available, by using histopathology (CXCR4 overexpression by immunohistochemistry, IHC) as the reference standard on a patient basis.</w:t>
            </w:r>
          </w:p>
          <w:p w14:paraId="531D3865" w14:textId="77777777" w:rsidR="00D25D1A" w:rsidRPr="00D25D1A" w:rsidRDefault="00D25D1A" w:rsidP="00504E07">
            <w:pPr>
              <w:tabs>
                <w:tab w:val="right" w:pos="312"/>
                <w:tab w:val="left" w:pos="397"/>
              </w:tabs>
              <w:spacing w:after="60"/>
              <w:ind w:left="567" w:hanging="567"/>
              <w:rPr>
                <w:rFonts w:ascii="Arial" w:hAnsi="Arial" w:cs="Arial"/>
                <w:sz w:val="22"/>
                <w:szCs w:val="22"/>
                <w:lang w:val="en-GB"/>
              </w:rPr>
            </w:pPr>
            <w:r w:rsidRPr="00D25D1A">
              <w:rPr>
                <w:rFonts w:ascii="Arial" w:hAnsi="Arial" w:cs="Arial"/>
                <w:sz w:val="22"/>
                <w:szCs w:val="22"/>
                <w:lang w:val="en-GB"/>
              </w:rPr>
              <w:tab/>
              <w:t>10.</w:t>
            </w:r>
            <w:r w:rsidRPr="00D25D1A">
              <w:rPr>
                <w:rFonts w:ascii="Arial" w:hAnsi="Arial" w:cs="Arial"/>
                <w:sz w:val="22"/>
                <w:szCs w:val="22"/>
                <w:lang w:val="en-GB"/>
              </w:rPr>
              <w:tab/>
              <w:t>To evaluate the diagnostic agreement between PTF</w:t>
            </w:r>
            <w:r w:rsidRPr="00D25D1A">
              <w:rPr>
                <w:rFonts w:ascii="Arial" w:hAnsi="Arial" w:cs="Arial"/>
                <w:sz w:val="22"/>
                <w:szCs w:val="22"/>
                <w:lang w:val="en-GB"/>
              </w:rPr>
              <w:noBreakHyphen/>
              <w:t>PET and MRI at baseline imaging on a patient level.</w:t>
            </w:r>
          </w:p>
          <w:p w14:paraId="23094998" w14:textId="77777777" w:rsidR="00D25D1A" w:rsidRPr="00D25D1A" w:rsidRDefault="00D25D1A" w:rsidP="00504E07">
            <w:pPr>
              <w:tabs>
                <w:tab w:val="right" w:pos="312"/>
                <w:tab w:val="left" w:pos="397"/>
              </w:tabs>
              <w:ind w:left="567" w:hanging="567"/>
              <w:rPr>
                <w:rFonts w:ascii="Arial" w:hAnsi="Arial" w:cs="Arial"/>
                <w:sz w:val="22"/>
                <w:szCs w:val="22"/>
                <w:lang w:val="en-GB"/>
              </w:rPr>
            </w:pPr>
            <w:r w:rsidRPr="00D25D1A">
              <w:rPr>
                <w:rFonts w:ascii="Arial" w:hAnsi="Arial" w:cs="Arial"/>
                <w:sz w:val="22"/>
                <w:szCs w:val="22"/>
                <w:lang w:val="en-GB"/>
              </w:rPr>
              <w:tab/>
              <w:t>11.</w:t>
            </w:r>
            <w:r w:rsidRPr="00D25D1A">
              <w:rPr>
                <w:rFonts w:ascii="Arial" w:hAnsi="Arial" w:cs="Arial"/>
                <w:sz w:val="22"/>
                <w:szCs w:val="22"/>
                <w:lang w:val="en-GB"/>
              </w:rPr>
              <w:tab/>
              <w:t>To evaluate the observer agreement of PTF</w:t>
            </w:r>
            <w:r w:rsidRPr="00D25D1A">
              <w:rPr>
                <w:rFonts w:ascii="Arial" w:hAnsi="Arial" w:cs="Arial"/>
                <w:sz w:val="22"/>
                <w:szCs w:val="22"/>
                <w:lang w:val="en-GB"/>
              </w:rPr>
              <w:noBreakHyphen/>
              <w:t>PET (inter- and intra-reader agreement).</w:t>
            </w:r>
          </w:p>
        </w:tc>
      </w:tr>
      <w:tr w:rsidR="00D25D1A" w:rsidRPr="00D25D1A" w14:paraId="493A35DB" w14:textId="77777777" w:rsidTr="008D46EC">
        <w:tc>
          <w:tcPr>
            <w:tcW w:w="2386" w:type="dxa"/>
            <w:shd w:val="clear" w:color="auto" w:fill="auto"/>
          </w:tcPr>
          <w:p w14:paraId="10DFEF9F" w14:textId="77777777" w:rsidR="00D25D1A" w:rsidRPr="00D25D1A" w:rsidRDefault="00D25D1A" w:rsidP="008D46EC">
            <w:pPr>
              <w:spacing w:before="60" w:after="60"/>
              <w:rPr>
                <w:rFonts w:ascii="Arial" w:hAnsi="Arial" w:cs="Arial"/>
                <w:b/>
                <w:sz w:val="22"/>
                <w:szCs w:val="22"/>
                <w:lang w:val="en-GB"/>
              </w:rPr>
            </w:pPr>
            <w:r w:rsidRPr="00D25D1A">
              <w:rPr>
                <w:rFonts w:ascii="Arial" w:hAnsi="Arial" w:cs="Arial"/>
                <w:b/>
                <w:sz w:val="22"/>
                <w:szCs w:val="22"/>
                <w:lang w:val="en-GB"/>
              </w:rPr>
              <w:t>Phase of trial:</w:t>
            </w:r>
          </w:p>
        </w:tc>
        <w:tc>
          <w:tcPr>
            <w:tcW w:w="6624" w:type="dxa"/>
            <w:shd w:val="clear" w:color="auto" w:fill="auto"/>
          </w:tcPr>
          <w:p w14:paraId="79F864A6" w14:textId="77777777" w:rsidR="00D25D1A" w:rsidRPr="00D25D1A" w:rsidRDefault="00D25D1A" w:rsidP="008D46EC">
            <w:pPr>
              <w:spacing w:before="60" w:after="60"/>
              <w:rPr>
                <w:rFonts w:ascii="Arial" w:hAnsi="Arial" w:cs="Arial"/>
                <w:sz w:val="22"/>
                <w:szCs w:val="22"/>
                <w:lang w:val="en-GB"/>
              </w:rPr>
            </w:pPr>
            <w:r w:rsidRPr="00D25D1A">
              <w:rPr>
                <w:rFonts w:ascii="Arial" w:hAnsi="Arial" w:cs="Arial"/>
                <w:sz w:val="22"/>
                <w:szCs w:val="22"/>
                <w:lang w:val="en-GB"/>
              </w:rPr>
              <w:t>II</w:t>
            </w:r>
          </w:p>
        </w:tc>
      </w:tr>
      <w:tr w:rsidR="00D25D1A" w:rsidRPr="00D25D1A" w14:paraId="6C918EA0" w14:textId="77777777" w:rsidTr="008D46EC">
        <w:tc>
          <w:tcPr>
            <w:tcW w:w="2386" w:type="dxa"/>
            <w:shd w:val="clear" w:color="auto" w:fill="auto"/>
          </w:tcPr>
          <w:p w14:paraId="4EC73451" w14:textId="77777777" w:rsidR="00D25D1A" w:rsidRDefault="00D25D1A" w:rsidP="008D46EC">
            <w:pPr>
              <w:spacing w:before="60" w:after="60"/>
              <w:rPr>
                <w:rFonts w:ascii="Arial" w:hAnsi="Arial" w:cs="Arial"/>
                <w:b/>
                <w:sz w:val="22"/>
                <w:szCs w:val="22"/>
                <w:lang w:val="en-GB"/>
              </w:rPr>
            </w:pPr>
            <w:bookmarkStart w:id="4" w:name="_Toc387122784"/>
            <w:r w:rsidRPr="00D25D1A">
              <w:rPr>
                <w:rFonts w:ascii="Arial" w:hAnsi="Arial" w:cs="Arial"/>
                <w:b/>
                <w:sz w:val="22"/>
                <w:szCs w:val="22"/>
                <w:lang w:val="en-GB"/>
              </w:rPr>
              <w:t xml:space="preserve">Study </w:t>
            </w:r>
            <w:bookmarkEnd w:id="4"/>
            <w:r w:rsidRPr="00D25D1A">
              <w:rPr>
                <w:rFonts w:ascii="Arial" w:hAnsi="Arial" w:cs="Arial"/>
                <w:b/>
                <w:sz w:val="22"/>
                <w:szCs w:val="22"/>
                <w:lang w:val="en-GB"/>
              </w:rPr>
              <w:t>design:</w:t>
            </w:r>
          </w:p>
          <w:p w14:paraId="620E8DA8" w14:textId="77777777" w:rsidR="005135CA" w:rsidRPr="005135CA" w:rsidRDefault="005135CA" w:rsidP="005135CA">
            <w:pPr>
              <w:rPr>
                <w:rFonts w:ascii="Arial" w:hAnsi="Arial" w:cs="Arial"/>
                <w:sz w:val="22"/>
                <w:szCs w:val="22"/>
                <w:lang w:val="en-GB"/>
              </w:rPr>
            </w:pPr>
          </w:p>
          <w:p w14:paraId="0CF7ADB6" w14:textId="77777777" w:rsidR="005135CA" w:rsidRPr="005135CA" w:rsidRDefault="005135CA" w:rsidP="005135CA">
            <w:pPr>
              <w:rPr>
                <w:rFonts w:ascii="Arial" w:hAnsi="Arial" w:cs="Arial"/>
                <w:sz w:val="22"/>
                <w:szCs w:val="22"/>
                <w:lang w:val="en-GB"/>
              </w:rPr>
            </w:pPr>
          </w:p>
          <w:p w14:paraId="5930EEA5" w14:textId="635D4A49" w:rsidR="005135CA" w:rsidRPr="005135CA" w:rsidRDefault="005135CA" w:rsidP="005135CA">
            <w:pPr>
              <w:rPr>
                <w:rFonts w:ascii="Arial" w:hAnsi="Arial" w:cs="Arial"/>
                <w:sz w:val="22"/>
                <w:szCs w:val="22"/>
                <w:lang w:val="en-GB"/>
              </w:rPr>
            </w:pPr>
          </w:p>
        </w:tc>
        <w:tc>
          <w:tcPr>
            <w:tcW w:w="6624" w:type="dxa"/>
            <w:shd w:val="clear" w:color="auto" w:fill="auto"/>
          </w:tcPr>
          <w:p w14:paraId="454012D9" w14:textId="3703728B"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lastRenderedPageBreak/>
              <w:t>This will be an open, single-arm, international, multicentre, phase </w:t>
            </w:r>
            <w:r w:rsidR="001B5465">
              <w:rPr>
                <w:rFonts w:ascii="Arial" w:hAnsi="Arial" w:cs="Arial"/>
                <w:sz w:val="22"/>
                <w:szCs w:val="22"/>
                <w:lang w:val="en-GB"/>
              </w:rPr>
              <w:t>II</w:t>
            </w:r>
            <w:r w:rsidRPr="00D25D1A">
              <w:rPr>
                <w:rFonts w:ascii="Arial" w:hAnsi="Arial" w:cs="Arial"/>
                <w:sz w:val="22"/>
                <w:szCs w:val="22"/>
                <w:lang w:val="en-GB"/>
              </w:rPr>
              <w:t xml:space="preserve"> imaging study to assess the predictive value of [</w:t>
            </w:r>
            <w:r w:rsidRPr="00D25D1A">
              <w:rPr>
                <w:rFonts w:ascii="Arial" w:hAnsi="Arial" w:cs="Arial"/>
                <w:sz w:val="22"/>
                <w:szCs w:val="22"/>
                <w:vertAlign w:val="superscript"/>
                <w:lang w:val="en-GB"/>
              </w:rPr>
              <w:t>68</w:t>
            </w:r>
            <w:proofErr w:type="gramStart"/>
            <w:r w:rsidRPr="00D25D1A">
              <w:rPr>
                <w:rFonts w:ascii="Arial" w:hAnsi="Arial" w:cs="Arial"/>
                <w:sz w:val="22"/>
                <w:szCs w:val="22"/>
                <w:lang w:val="en-GB"/>
              </w:rPr>
              <w:t>Ga]Ga</w:t>
            </w:r>
            <w:proofErr w:type="gramEnd"/>
            <w:r w:rsidRPr="00D25D1A">
              <w:rPr>
                <w:rFonts w:ascii="Arial" w:hAnsi="Arial" w:cs="Arial"/>
                <w:sz w:val="22"/>
                <w:szCs w:val="22"/>
                <w:lang w:val="en-GB"/>
              </w:rPr>
              <w:noBreakHyphen/>
            </w:r>
            <w:proofErr w:type="spellStart"/>
            <w:r w:rsidRPr="00D25D1A">
              <w:rPr>
                <w:rFonts w:ascii="Arial" w:hAnsi="Arial" w:cs="Arial"/>
                <w:sz w:val="22"/>
                <w:szCs w:val="22"/>
                <w:lang w:val="en-GB"/>
              </w:rPr>
              <w:t>PentixaFor</w:t>
            </w:r>
            <w:proofErr w:type="spellEnd"/>
            <w:r w:rsidRPr="00D25D1A">
              <w:rPr>
                <w:rFonts w:ascii="Arial" w:hAnsi="Arial" w:cs="Arial"/>
                <w:sz w:val="22"/>
                <w:szCs w:val="22"/>
                <w:lang w:val="en-GB"/>
              </w:rPr>
              <w:t xml:space="preserve"> PET imaging in primary and isolated secondary central nervous </w:t>
            </w:r>
            <w:r w:rsidRPr="00D25D1A">
              <w:rPr>
                <w:rFonts w:ascii="Arial" w:hAnsi="Arial" w:cs="Arial"/>
                <w:sz w:val="22"/>
                <w:szCs w:val="22"/>
                <w:lang w:val="en-GB"/>
              </w:rPr>
              <w:lastRenderedPageBreak/>
              <w:t>system lymphoma (CNSL) patients scheduled to undergo induction chemotherapy.</w:t>
            </w:r>
          </w:p>
          <w:p w14:paraId="461FDFAE" w14:textId="6E53310B"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At each of three time points, each patient will receive two scans, a CXCR4-directed PTF</w:t>
            </w:r>
            <w:r w:rsidRPr="00D25D1A">
              <w:rPr>
                <w:rFonts w:ascii="Arial" w:hAnsi="Arial" w:cs="Arial"/>
                <w:sz w:val="22"/>
                <w:szCs w:val="22"/>
                <w:lang w:val="en-GB"/>
              </w:rPr>
              <w:noBreakHyphen/>
              <w:t>PET scan and an MRI scan. The time points are baseline (before the initiation of induction chemotherapy), an interim scan (Week 6 ± 2 after the inception of induction chemotherapy) and a final scan in Week 12–18 (after the completion of induction chemotherapy).</w:t>
            </w:r>
          </w:p>
          <w:p w14:paraId="4FD4EFAD" w14:textId="04346A27"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After the three pairs of scans (PTF</w:t>
            </w:r>
            <w:r w:rsidRPr="00D25D1A">
              <w:rPr>
                <w:rFonts w:ascii="Arial" w:hAnsi="Arial" w:cs="Arial"/>
                <w:sz w:val="22"/>
                <w:szCs w:val="22"/>
                <w:lang w:val="en-GB"/>
              </w:rPr>
              <w:noBreakHyphen/>
              <w:t>PET and MRI) have been performed the patients will enter the follow-up phase of the study. This will comprise four further MRI imaging procedures at 3</w:t>
            </w:r>
            <w:r w:rsidRPr="00D25D1A">
              <w:rPr>
                <w:rFonts w:ascii="Arial" w:hAnsi="Arial" w:cs="Arial"/>
                <w:sz w:val="22"/>
                <w:szCs w:val="22"/>
                <w:lang w:val="en-GB"/>
              </w:rPr>
              <w:noBreakHyphen/>
              <w:t>month intervals.</w:t>
            </w:r>
          </w:p>
          <w:p w14:paraId="36FB950B" w14:textId="5841E764"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This is an imaging-only study, and the study procedures do not include any therapeutic measures or decisions. Patients will be treated according to “standard of care”.</w:t>
            </w:r>
          </w:p>
        </w:tc>
      </w:tr>
      <w:tr w:rsidR="00D25D1A" w:rsidRPr="00D25D1A" w14:paraId="31A14E61" w14:textId="77777777" w:rsidTr="008D46EC">
        <w:tc>
          <w:tcPr>
            <w:tcW w:w="2386" w:type="dxa"/>
            <w:shd w:val="clear" w:color="auto" w:fill="auto"/>
          </w:tcPr>
          <w:p w14:paraId="271982D8" w14:textId="5E3CB59B" w:rsidR="00D25D1A" w:rsidRPr="00D25D1A" w:rsidRDefault="00D25D1A" w:rsidP="008D46EC">
            <w:pPr>
              <w:spacing w:before="60" w:after="60"/>
              <w:rPr>
                <w:rFonts w:ascii="Arial" w:hAnsi="Arial" w:cs="Arial"/>
                <w:b/>
                <w:sz w:val="22"/>
                <w:szCs w:val="22"/>
                <w:lang w:val="en-GB"/>
              </w:rPr>
            </w:pPr>
            <w:bookmarkStart w:id="5" w:name="_Toc387122788"/>
            <w:r w:rsidRPr="00D25D1A">
              <w:rPr>
                <w:rFonts w:ascii="Arial" w:hAnsi="Arial" w:cs="Arial"/>
                <w:b/>
                <w:sz w:val="22"/>
                <w:szCs w:val="22"/>
                <w:lang w:val="en-GB"/>
              </w:rPr>
              <w:lastRenderedPageBreak/>
              <w:t>Study population</w:t>
            </w:r>
            <w:bookmarkEnd w:id="5"/>
            <w:r w:rsidRPr="00D25D1A">
              <w:rPr>
                <w:rFonts w:ascii="Arial" w:hAnsi="Arial" w:cs="Arial"/>
                <w:b/>
                <w:sz w:val="22"/>
                <w:szCs w:val="22"/>
                <w:lang w:val="en-GB"/>
              </w:rPr>
              <w:t>:</w:t>
            </w:r>
          </w:p>
        </w:tc>
        <w:tc>
          <w:tcPr>
            <w:tcW w:w="6624" w:type="dxa"/>
            <w:shd w:val="clear" w:color="auto" w:fill="auto"/>
          </w:tcPr>
          <w:p w14:paraId="18BD4F8B" w14:textId="77777777"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Approximately 50 patients will be recruited at approximately 8 study centres in EU countries and the USA.</w:t>
            </w:r>
          </w:p>
        </w:tc>
      </w:tr>
      <w:tr w:rsidR="00D25D1A" w:rsidRPr="00D25D1A" w14:paraId="61D60EFA" w14:textId="77777777" w:rsidTr="008D46EC">
        <w:tc>
          <w:tcPr>
            <w:tcW w:w="2386" w:type="dxa"/>
            <w:shd w:val="clear" w:color="auto" w:fill="auto"/>
          </w:tcPr>
          <w:p w14:paraId="1448B2A3" w14:textId="77777777" w:rsidR="00D25D1A" w:rsidRPr="00D25D1A" w:rsidRDefault="00D25D1A" w:rsidP="008D46EC">
            <w:pPr>
              <w:spacing w:before="60" w:after="60"/>
              <w:rPr>
                <w:rFonts w:ascii="Arial" w:hAnsi="Arial" w:cs="Arial"/>
                <w:b/>
                <w:color w:val="BFBFBF" w:themeColor="background1" w:themeShade="BF"/>
                <w:sz w:val="22"/>
                <w:szCs w:val="22"/>
                <w:lang w:val="en-GB"/>
              </w:rPr>
            </w:pPr>
          </w:p>
        </w:tc>
        <w:tc>
          <w:tcPr>
            <w:tcW w:w="6624" w:type="dxa"/>
            <w:shd w:val="clear" w:color="auto" w:fill="auto"/>
          </w:tcPr>
          <w:p w14:paraId="43F9D10F" w14:textId="6DA53D1D" w:rsidR="00D25D1A" w:rsidRPr="00D25D1A" w:rsidRDefault="00D25D1A" w:rsidP="00504E07">
            <w:pPr>
              <w:tabs>
                <w:tab w:val="right" w:pos="426"/>
                <w:tab w:val="left" w:pos="567"/>
              </w:tabs>
              <w:spacing w:before="60" w:after="60"/>
              <w:rPr>
                <w:rFonts w:ascii="Arial" w:hAnsi="Arial" w:cs="Arial"/>
                <w:sz w:val="22"/>
                <w:szCs w:val="22"/>
                <w:lang w:val="en-GB"/>
              </w:rPr>
            </w:pPr>
            <w:r w:rsidRPr="00D25D1A">
              <w:rPr>
                <w:rFonts w:ascii="Arial" w:hAnsi="Arial" w:cs="Arial"/>
                <w:sz w:val="22"/>
                <w:szCs w:val="22"/>
                <w:lang w:val="en-GB"/>
              </w:rPr>
              <w:t>Adult patients of either sex with histologically confirmed primary or secondary CNSL based on cytology/flow cytometry of cerebrospinal fluid (CSF</w:t>
            </w:r>
            <w:proofErr w:type="gramStart"/>
            <w:r w:rsidRPr="00D25D1A">
              <w:rPr>
                <w:rFonts w:ascii="Arial" w:hAnsi="Arial" w:cs="Arial"/>
                <w:sz w:val="22"/>
                <w:szCs w:val="22"/>
                <w:lang w:val="en-GB"/>
              </w:rPr>
              <w:t>)</w:t>
            </w:r>
            <w:proofErr w:type="gramEnd"/>
            <w:r w:rsidRPr="00D25D1A">
              <w:rPr>
                <w:rFonts w:ascii="Arial" w:hAnsi="Arial" w:cs="Arial"/>
                <w:sz w:val="22"/>
                <w:szCs w:val="22"/>
                <w:lang w:val="en-GB"/>
              </w:rPr>
              <w:t xml:space="preserve"> or brain biopsy will be recruited. Their disease must be previously untreated and located exclusively in the CNS, with at least one measurable parenchymal lesion, morphologically measurable according to the International PCNSL Collaborative Group (IPCG) criteria. Patients are to be scheduled to undergo induction chemotherapy. They must have an acceptable ECOG performance status and life expectancy.</w:t>
            </w:r>
          </w:p>
        </w:tc>
      </w:tr>
      <w:tr w:rsidR="00D25D1A" w:rsidRPr="00D25D1A" w14:paraId="19D782A5" w14:textId="77777777" w:rsidTr="008D46EC">
        <w:tc>
          <w:tcPr>
            <w:tcW w:w="2386" w:type="dxa"/>
            <w:shd w:val="clear" w:color="auto" w:fill="auto"/>
          </w:tcPr>
          <w:p w14:paraId="6C09878D" w14:textId="0DAEFF77" w:rsidR="00D25D1A" w:rsidRPr="00D25D1A" w:rsidRDefault="00D25D1A" w:rsidP="008D46EC">
            <w:pPr>
              <w:spacing w:before="60" w:after="60"/>
              <w:rPr>
                <w:rFonts w:ascii="Arial" w:hAnsi="Arial" w:cs="Arial"/>
                <w:b/>
                <w:sz w:val="22"/>
                <w:szCs w:val="22"/>
                <w:lang w:val="en-GB"/>
              </w:rPr>
            </w:pPr>
            <w:bookmarkStart w:id="6" w:name="_Toc387122790"/>
            <w:r w:rsidRPr="00D25D1A">
              <w:rPr>
                <w:rFonts w:ascii="Arial" w:hAnsi="Arial" w:cs="Arial"/>
                <w:b/>
                <w:sz w:val="22"/>
                <w:szCs w:val="22"/>
                <w:lang w:val="en-GB"/>
              </w:rPr>
              <w:t xml:space="preserve">Study </w:t>
            </w:r>
            <w:bookmarkEnd w:id="6"/>
            <w:r w:rsidRPr="00D25D1A">
              <w:rPr>
                <w:rFonts w:ascii="Arial" w:hAnsi="Arial" w:cs="Arial"/>
                <w:b/>
                <w:sz w:val="22"/>
                <w:szCs w:val="22"/>
                <w:lang w:val="en-GB"/>
              </w:rPr>
              <w:t>treatment:</w:t>
            </w:r>
          </w:p>
        </w:tc>
        <w:tc>
          <w:tcPr>
            <w:tcW w:w="6624" w:type="dxa"/>
            <w:shd w:val="clear" w:color="auto" w:fill="auto"/>
          </w:tcPr>
          <w:p w14:paraId="44A21A4B" w14:textId="41F6E32D"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The study product is [</w:t>
            </w:r>
            <w:r w:rsidRPr="00D25D1A">
              <w:rPr>
                <w:rFonts w:ascii="Arial" w:hAnsi="Arial" w:cs="Arial"/>
                <w:sz w:val="22"/>
                <w:szCs w:val="22"/>
                <w:vertAlign w:val="superscript"/>
                <w:lang w:val="en-GB"/>
              </w:rPr>
              <w:t>68</w:t>
            </w:r>
            <w:proofErr w:type="gramStart"/>
            <w:r w:rsidRPr="00D25D1A">
              <w:rPr>
                <w:rFonts w:ascii="Arial" w:hAnsi="Arial" w:cs="Arial"/>
                <w:sz w:val="22"/>
                <w:szCs w:val="22"/>
                <w:lang w:val="en-GB"/>
              </w:rPr>
              <w:t>Ga]Ga</w:t>
            </w:r>
            <w:proofErr w:type="gramEnd"/>
            <w:r w:rsidRPr="00D25D1A">
              <w:rPr>
                <w:rFonts w:ascii="Arial" w:hAnsi="Arial" w:cs="Arial"/>
                <w:sz w:val="22"/>
                <w:szCs w:val="22"/>
                <w:lang w:val="en-GB"/>
              </w:rPr>
              <w:t>-</w:t>
            </w:r>
            <w:proofErr w:type="spellStart"/>
            <w:r w:rsidRPr="00D25D1A">
              <w:rPr>
                <w:rFonts w:ascii="Arial" w:hAnsi="Arial" w:cs="Arial"/>
                <w:sz w:val="22"/>
                <w:szCs w:val="22"/>
                <w:lang w:val="en-GB"/>
              </w:rPr>
              <w:t>PentixaFor</w:t>
            </w:r>
            <w:proofErr w:type="spellEnd"/>
            <w:r w:rsidRPr="00D25D1A">
              <w:rPr>
                <w:rFonts w:ascii="Arial" w:hAnsi="Arial" w:cs="Arial"/>
                <w:sz w:val="22"/>
                <w:szCs w:val="22"/>
                <w:lang w:val="en-GB"/>
              </w:rPr>
              <w:t>, otherwise referred to as PTF. It is a positron emitter and is used in this study as a PET tracer. It will be administered to each patient by bolus injection shortly before PET scanning. In all, three PTF</w:t>
            </w:r>
            <w:r w:rsidRPr="00D25D1A">
              <w:rPr>
                <w:rFonts w:ascii="Arial" w:hAnsi="Arial" w:cs="Arial"/>
                <w:sz w:val="22"/>
                <w:szCs w:val="22"/>
                <w:lang w:val="en-GB"/>
              </w:rPr>
              <w:noBreakHyphen/>
              <w:t xml:space="preserve">PET scans will be performed. The short decay half-life of </w:t>
            </w:r>
            <w:r w:rsidRPr="00D25D1A">
              <w:rPr>
                <w:rFonts w:ascii="Arial" w:hAnsi="Arial" w:cs="Arial"/>
                <w:sz w:val="22"/>
                <w:szCs w:val="22"/>
                <w:vertAlign w:val="superscript"/>
                <w:lang w:val="en-GB"/>
              </w:rPr>
              <w:t>68</w:t>
            </w:r>
            <w:r w:rsidRPr="00D25D1A">
              <w:rPr>
                <w:rFonts w:ascii="Arial" w:hAnsi="Arial" w:cs="Arial"/>
                <w:sz w:val="22"/>
                <w:szCs w:val="22"/>
                <w:lang w:val="en-GB"/>
              </w:rPr>
              <w:t>Ga will ensure an appropriately short exposure of the patients to radiation.</w:t>
            </w:r>
          </w:p>
        </w:tc>
      </w:tr>
      <w:tr w:rsidR="00D25D1A" w:rsidRPr="00D25D1A" w14:paraId="752D99CB" w14:textId="77777777" w:rsidTr="008D46EC">
        <w:tc>
          <w:tcPr>
            <w:tcW w:w="2386" w:type="dxa"/>
            <w:shd w:val="clear" w:color="auto" w:fill="auto"/>
          </w:tcPr>
          <w:p w14:paraId="7BBBADC8" w14:textId="483CCCC1" w:rsidR="00D25D1A" w:rsidRPr="00D25D1A" w:rsidRDefault="00D25D1A" w:rsidP="008D46EC">
            <w:pPr>
              <w:spacing w:before="60" w:after="60"/>
              <w:rPr>
                <w:rFonts w:ascii="Arial" w:hAnsi="Arial" w:cs="Arial"/>
                <w:b/>
                <w:sz w:val="22"/>
                <w:szCs w:val="22"/>
                <w:lang w:val="en-GB"/>
              </w:rPr>
            </w:pPr>
            <w:bookmarkStart w:id="7" w:name="_Toc387122795"/>
            <w:r w:rsidRPr="00D25D1A">
              <w:rPr>
                <w:rFonts w:ascii="Arial" w:hAnsi="Arial" w:cs="Arial"/>
                <w:b/>
                <w:sz w:val="22"/>
                <w:szCs w:val="22"/>
                <w:lang w:val="en-GB"/>
              </w:rPr>
              <w:t xml:space="preserve">Study </w:t>
            </w:r>
            <w:bookmarkEnd w:id="7"/>
            <w:r w:rsidRPr="00D25D1A">
              <w:rPr>
                <w:rFonts w:ascii="Arial" w:hAnsi="Arial" w:cs="Arial"/>
                <w:b/>
                <w:sz w:val="22"/>
                <w:szCs w:val="22"/>
                <w:lang w:val="en-GB"/>
              </w:rPr>
              <w:t>evaluations:</w:t>
            </w:r>
          </w:p>
        </w:tc>
        <w:tc>
          <w:tcPr>
            <w:tcW w:w="6624" w:type="dxa"/>
            <w:shd w:val="clear" w:color="auto" w:fill="auto"/>
          </w:tcPr>
          <w:p w14:paraId="6A06DA8C" w14:textId="6956D6C8" w:rsidR="00D25D1A" w:rsidRPr="00D25D1A" w:rsidRDefault="00D25D1A" w:rsidP="00504E07">
            <w:pPr>
              <w:spacing w:before="60" w:after="60"/>
              <w:rPr>
                <w:rFonts w:ascii="Arial" w:hAnsi="Arial" w:cs="Arial"/>
                <w:sz w:val="22"/>
                <w:szCs w:val="22"/>
                <w:lang w:val="en-GB"/>
              </w:rPr>
            </w:pPr>
            <w:bookmarkStart w:id="8" w:name="_Toc387122796"/>
            <w:r w:rsidRPr="00D25D1A">
              <w:rPr>
                <w:rFonts w:ascii="Arial" w:hAnsi="Arial" w:cs="Arial"/>
                <w:sz w:val="22"/>
                <w:szCs w:val="22"/>
                <w:lang w:val="en-GB"/>
              </w:rPr>
              <w:t>The primary efficacy endpoint</w:t>
            </w:r>
            <w:bookmarkEnd w:id="8"/>
            <w:r w:rsidRPr="00D25D1A">
              <w:rPr>
                <w:rFonts w:ascii="Arial" w:hAnsi="Arial" w:cs="Arial"/>
                <w:sz w:val="22"/>
                <w:szCs w:val="22"/>
                <w:lang w:val="en-GB"/>
              </w:rPr>
              <w:t xml:space="preserve"> will be the NPV of [</w:t>
            </w:r>
            <w:r w:rsidRPr="00D25D1A">
              <w:rPr>
                <w:rFonts w:ascii="Arial" w:hAnsi="Arial" w:cs="Arial"/>
                <w:sz w:val="22"/>
                <w:szCs w:val="22"/>
                <w:vertAlign w:val="superscript"/>
                <w:lang w:val="en-GB"/>
              </w:rPr>
              <w:t>68</w:t>
            </w:r>
            <w:proofErr w:type="gramStart"/>
            <w:r w:rsidRPr="00D25D1A">
              <w:rPr>
                <w:rFonts w:ascii="Arial" w:hAnsi="Arial" w:cs="Arial"/>
                <w:sz w:val="22"/>
                <w:szCs w:val="22"/>
                <w:lang w:val="en-GB"/>
              </w:rPr>
              <w:t>Ga]Ga</w:t>
            </w:r>
            <w:proofErr w:type="gramEnd"/>
            <w:r w:rsidRPr="00D25D1A">
              <w:rPr>
                <w:rFonts w:ascii="Arial" w:hAnsi="Arial" w:cs="Arial"/>
                <w:sz w:val="22"/>
                <w:szCs w:val="22"/>
                <w:lang w:val="en-GB"/>
              </w:rPr>
              <w:t>-</w:t>
            </w:r>
            <w:proofErr w:type="spellStart"/>
            <w:r w:rsidRPr="00D25D1A">
              <w:rPr>
                <w:rFonts w:ascii="Arial" w:hAnsi="Arial" w:cs="Arial"/>
                <w:sz w:val="22"/>
                <w:szCs w:val="22"/>
                <w:lang w:val="en-GB"/>
              </w:rPr>
              <w:t>PentixaFor</w:t>
            </w:r>
            <w:proofErr w:type="spellEnd"/>
            <w:r w:rsidRPr="00D25D1A">
              <w:rPr>
                <w:rFonts w:ascii="Arial" w:hAnsi="Arial" w:cs="Arial"/>
                <w:sz w:val="22"/>
                <w:szCs w:val="22"/>
                <w:lang w:val="en-GB"/>
              </w:rPr>
              <w:t xml:space="preserve"> (PTF)</w:t>
            </w:r>
            <w:r w:rsidRPr="00D25D1A">
              <w:rPr>
                <w:rFonts w:ascii="Arial" w:hAnsi="Arial" w:cs="Arial"/>
                <w:sz w:val="22"/>
                <w:szCs w:val="22"/>
                <w:lang w:val="en-GB"/>
              </w:rPr>
              <w:noBreakHyphen/>
              <w:t xml:space="preserve">PET at interim examination (after 6 ± 2 weeks of induction chemotherapy, PTF-PET2) for the prediction of </w:t>
            </w:r>
            <w:r w:rsidR="00414F0C" w:rsidRPr="00414F0C">
              <w:rPr>
                <w:rFonts w:ascii="Arial" w:hAnsi="Arial" w:cs="Arial"/>
                <w:sz w:val="22"/>
                <w:szCs w:val="22"/>
                <w:lang w:val="en-GB"/>
              </w:rPr>
              <w:t>16 (±1)</w:t>
            </w:r>
            <w:r w:rsidRPr="00D25D1A">
              <w:rPr>
                <w:rFonts w:ascii="Arial" w:hAnsi="Arial" w:cs="Arial"/>
                <w:sz w:val="22"/>
                <w:szCs w:val="22"/>
                <w:lang w:val="en-GB"/>
              </w:rPr>
              <w:noBreakHyphen/>
              <w:t>month PFS.</w:t>
            </w:r>
          </w:p>
          <w:p w14:paraId="23FB27AB" w14:textId="18A460FA"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Major secondary efficacy endpoints will be the PPV of PTF</w:t>
            </w:r>
            <w:r w:rsidRPr="00D25D1A">
              <w:rPr>
                <w:rFonts w:ascii="Arial" w:hAnsi="Arial" w:cs="Arial"/>
                <w:sz w:val="22"/>
                <w:szCs w:val="22"/>
                <w:lang w:val="en-GB"/>
              </w:rPr>
              <w:noBreakHyphen/>
              <w:t xml:space="preserve">PET at interim examination (PTF-PET2) for prediction of </w:t>
            </w:r>
            <w:r w:rsidR="00414F0C" w:rsidRPr="00414F0C">
              <w:rPr>
                <w:rFonts w:ascii="Arial" w:hAnsi="Arial" w:cs="Arial"/>
                <w:sz w:val="22"/>
                <w:szCs w:val="22"/>
                <w:u w:val="single"/>
                <w:lang w:val="en-GB"/>
              </w:rPr>
              <w:t>16 (±</w:t>
            </w:r>
            <w:proofErr w:type="gramStart"/>
            <w:r w:rsidR="00414F0C" w:rsidRPr="00414F0C">
              <w:rPr>
                <w:rFonts w:ascii="Arial" w:hAnsi="Arial" w:cs="Arial"/>
                <w:sz w:val="22"/>
                <w:szCs w:val="22"/>
                <w:u w:val="single"/>
                <w:lang w:val="en-GB"/>
              </w:rPr>
              <w:t>1)</w:t>
            </w:r>
            <w:r w:rsidRPr="00414F0C">
              <w:rPr>
                <w:rFonts w:ascii="Arial" w:hAnsi="Arial" w:cs="Arial"/>
                <w:sz w:val="22"/>
                <w:szCs w:val="22"/>
                <w:u w:val="single"/>
                <w:lang w:val="en-GB"/>
              </w:rPr>
              <w:noBreakHyphen/>
            </w:r>
            <w:proofErr w:type="gramEnd"/>
            <w:r w:rsidRPr="00D25D1A">
              <w:rPr>
                <w:rFonts w:ascii="Arial" w:hAnsi="Arial" w:cs="Arial"/>
                <w:sz w:val="22"/>
                <w:szCs w:val="22"/>
                <w:lang w:val="en-GB"/>
              </w:rPr>
              <w:t>month PFS; NPV and PPV of PTF-PET at end-of-chemotherapy (PTF</w:t>
            </w:r>
            <w:r w:rsidRPr="00D25D1A">
              <w:rPr>
                <w:rFonts w:ascii="Arial" w:hAnsi="Arial" w:cs="Arial"/>
                <w:sz w:val="22"/>
                <w:szCs w:val="22"/>
                <w:lang w:val="en-GB"/>
              </w:rPr>
              <w:noBreakHyphen/>
              <w:t xml:space="preserve">PET3) for prediction of </w:t>
            </w:r>
            <w:r w:rsidR="00414F0C" w:rsidRPr="00414F0C">
              <w:rPr>
                <w:rFonts w:ascii="Arial" w:hAnsi="Arial" w:cs="Arial"/>
                <w:sz w:val="22"/>
                <w:szCs w:val="22"/>
                <w:lang w:val="en-GB"/>
              </w:rPr>
              <w:t>16 (±1)</w:t>
            </w:r>
            <w:r w:rsidR="00414F0C" w:rsidRPr="00414F0C">
              <w:rPr>
                <w:rFonts w:ascii="Arial" w:hAnsi="Arial" w:cs="Arial"/>
                <w:sz w:val="22"/>
                <w:szCs w:val="22"/>
                <w:lang w:val="en-GB"/>
              </w:rPr>
              <w:noBreakHyphen/>
            </w:r>
            <w:r w:rsidRPr="00D25D1A">
              <w:rPr>
                <w:rFonts w:ascii="Arial" w:hAnsi="Arial" w:cs="Arial"/>
                <w:sz w:val="22"/>
                <w:szCs w:val="22"/>
                <w:lang w:val="en-GB"/>
              </w:rPr>
              <w:t>month PFS; NPV and PPV of PTF-PET2 and PTF-PET3 for the prediction of complete response. Exploratory analyses of the association between PTF</w:t>
            </w:r>
            <w:r w:rsidRPr="00D25D1A">
              <w:rPr>
                <w:rFonts w:ascii="Arial" w:hAnsi="Arial" w:cs="Arial"/>
                <w:sz w:val="22"/>
                <w:szCs w:val="22"/>
                <w:lang w:val="en-GB"/>
              </w:rPr>
              <w:noBreakHyphen/>
              <w:t>PET variables (standardised uptake value, tumour-to-background ratio, metabolic tumour volume) and PFS and CR will be performed. Sensitivity of PTF-PET to detect CXCR4 overexpression will be assessed. Agreement between PTF-PET and MRI concerning CNSL-suspicion will be determined, and inter- and intra-reader agreement will be checked.</w:t>
            </w:r>
          </w:p>
        </w:tc>
      </w:tr>
      <w:tr w:rsidR="00D25D1A" w:rsidRPr="00D25D1A" w14:paraId="5C4BD623" w14:textId="77777777" w:rsidTr="008D46EC">
        <w:trPr>
          <w:cantSplit/>
        </w:trPr>
        <w:tc>
          <w:tcPr>
            <w:tcW w:w="2386" w:type="dxa"/>
            <w:shd w:val="clear" w:color="auto" w:fill="auto"/>
          </w:tcPr>
          <w:p w14:paraId="7171F64E" w14:textId="77777777" w:rsidR="00D25D1A" w:rsidRPr="00D25D1A" w:rsidRDefault="00D25D1A" w:rsidP="008D46EC">
            <w:pPr>
              <w:spacing w:before="60" w:after="60"/>
              <w:rPr>
                <w:rFonts w:ascii="Arial" w:hAnsi="Arial" w:cs="Arial"/>
                <w:b/>
                <w:color w:val="BFBFBF" w:themeColor="background1" w:themeShade="BF"/>
                <w:sz w:val="22"/>
                <w:szCs w:val="22"/>
                <w:lang w:val="en-GB"/>
              </w:rPr>
            </w:pPr>
          </w:p>
        </w:tc>
        <w:tc>
          <w:tcPr>
            <w:tcW w:w="6624" w:type="dxa"/>
            <w:shd w:val="clear" w:color="auto" w:fill="auto"/>
          </w:tcPr>
          <w:p w14:paraId="3C030E64" w14:textId="1C6277DA" w:rsidR="00D25D1A" w:rsidRPr="00D25D1A" w:rsidRDefault="00D25D1A" w:rsidP="00504E07">
            <w:pPr>
              <w:spacing w:before="60" w:after="60"/>
              <w:rPr>
                <w:rFonts w:ascii="Arial" w:hAnsi="Arial" w:cs="Arial"/>
                <w:sz w:val="22"/>
                <w:szCs w:val="22"/>
                <w:u w:val="single"/>
                <w:lang w:val="en-GB"/>
              </w:rPr>
            </w:pPr>
            <w:r w:rsidRPr="00D25D1A">
              <w:rPr>
                <w:rFonts w:ascii="Arial" w:hAnsi="Arial" w:cs="Arial"/>
                <w:sz w:val="22"/>
                <w:szCs w:val="22"/>
                <w:lang w:val="en-GB"/>
              </w:rPr>
              <w:t xml:space="preserve">Safety criteria will </w:t>
            </w:r>
            <w:r w:rsidR="00504E07" w:rsidRPr="00D25D1A">
              <w:rPr>
                <w:rFonts w:ascii="Arial" w:hAnsi="Arial" w:cs="Arial"/>
                <w:sz w:val="22"/>
                <w:szCs w:val="22"/>
                <w:lang w:val="en-GB"/>
              </w:rPr>
              <w:t>be</w:t>
            </w:r>
            <w:r w:rsidRPr="00D25D1A">
              <w:rPr>
                <w:rFonts w:ascii="Arial" w:hAnsi="Arial" w:cs="Arial"/>
                <w:sz w:val="22"/>
                <w:szCs w:val="22"/>
                <w:lang w:val="en-GB"/>
              </w:rPr>
              <w:t xml:space="preserve"> Frequency, system organ class categories, and severity of adverse events; clinical laboratory values (haematology, serum chemistry, urine analysis and changes therein); 12</w:t>
            </w:r>
            <w:r w:rsidRPr="00D25D1A">
              <w:rPr>
                <w:rFonts w:ascii="Arial" w:hAnsi="Arial" w:cs="Arial"/>
                <w:sz w:val="22"/>
                <w:szCs w:val="22"/>
                <w:lang w:val="en-GB"/>
              </w:rPr>
              <w:noBreakHyphen/>
              <w:t>lead ECG; vital signs and changes therein; findings in physical examination.</w:t>
            </w:r>
          </w:p>
        </w:tc>
      </w:tr>
      <w:tr w:rsidR="00D25D1A" w:rsidRPr="00D25D1A" w14:paraId="5BDE5651" w14:textId="77777777" w:rsidTr="008D46EC">
        <w:tc>
          <w:tcPr>
            <w:tcW w:w="2386" w:type="dxa"/>
            <w:shd w:val="clear" w:color="auto" w:fill="auto"/>
          </w:tcPr>
          <w:p w14:paraId="6462E550" w14:textId="77777777" w:rsidR="00D25D1A" w:rsidRPr="00D25D1A" w:rsidRDefault="00D25D1A" w:rsidP="008D46EC">
            <w:pPr>
              <w:spacing w:before="60" w:after="60"/>
              <w:rPr>
                <w:rFonts w:ascii="Arial" w:hAnsi="Arial" w:cs="Arial"/>
                <w:b/>
                <w:sz w:val="22"/>
                <w:szCs w:val="22"/>
                <w:lang w:val="en-GB"/>
              </w:rPr>
            </w:pPr>
            <w:r w:rsidRPr="00D25D1A">
              <w:rPr>
                <w:rFonts w:ascii="Arial" w:hAnsi="Arial" w:cs="Arial"/>
                <w:b/>
                <w:sz w:val="22"/>
                <w:szCs w:val="22"/>
                <w:lang w:val="en-GB"/>
              </w:rPr>
              <w:t>Statistical methods:</w:t>
            </w:r>
          </w:p>
        </w:tc>
        <w:tc>
          <w:tcPr>
            <w:tcW w:w="6624" w:type="dxa"/>
            <w:shd w:val="clear" w:color="auto" w:fill="auto"/>
          </w:tcPr>
          <w:p w14:paraId="41041DC8" w14:textId="77777777"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Descriptive statistics will be used to summarise the data. Two</w:t>
            </w:r>
            <w:r w:rsidRPr="00D25D1A">
              <w:rPr>
                <w:rFonts w:ascii="Arial" w:hAnsi="Arial" w:cs="Arial"/>
                <w:sz w:val="22"/>
                <w:szCs w:val="22"/>
                <w:lang w:val="en-GB"/>
              </w:rPr>
              <w:noBreakHyphen/>
              <w:t>sided 95% confidence intervals will be provided as appropriate.</w:t>
            </w:r>
          </w:p>
          <w:p w14:paraId="55F754D3" w14:textId="77777777"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 xml:space="preserve">Categorical data will be summarised using absolute and relative frequencies. Cross-tabulations will be provided where appropriate. Continuous variables will be summarised using the following descriptive summary statistics: number of observations, arithmetic mean, standard deviation, minimum, lower quartile, median, upper quartile, maximum. The same descriptive summary statistics will be used to summarise changes from screening or from baseline for continuous variables. Time to event data will be summarised using survival analysis methodology like Cox proportional hazard models or Kaplan-Meier methods. </w:t>
            </w:r>
          </w:p>
          <w:p w14:paraId="0C7E1452" w14:textId="77777777" w:rsidR="00D25D1A" w:rsidRPr="00D25D1A" w:rsidRDefault="00D25D1A" w:rsidP="00504E07">
            <w:pPr>
              <w:spacing w:before="60" w:after="60"/>
              <w:rPr>
                <w:rFonts w:ascii="Arial" w:hAnsi="Arial" w:cs="Arial"/>
                <w:sz w:val="22"/>
                <w:szCs w:val="22"/>
                <w:lang w:val="en-GB"/>
              </w:rPr>
            </w:pPr>
            <w:r w:rsidRPr="00D25D1A">
              <w:rPr>
                <w:rFonts w:ascii="Arial" w:hAnsi="Arial" w:cs="Arial"/>
                <w:sz w:val="22"/>
                <w:szCs w:val="22"/>
                <w:lang w:val="en-GB"/>
              </w:rPr>
              <w:t>Details will be described in the Statistical Analysis Plan.</w:t>
            </w:r>
          </w:p>
        </w:tc>
      </w:tr>
      <w:tr w:rsidR="005135CA" w:rsidRPr="00D25D1A" w14:paraId="78397880" w14:textId="77777777" w:rsidTr="008D46EC">
        <w:tc>
          <w:tcPr>
            <w:tcW w:w="2386" w:type="dxa"/>
            <w:shd w:val="clear" w:color="auto" w:fill="auto"/>
          </w:tcPr>
          <w:p w14:paraId="46E29D71" w14:textId="1118201B" w:rsidR="005135CA" w:rsidRPr="00D25D1A" w:rsidRDefault="00504E07" w:rsidP="008D46EC">
            <w:pPr>
              <w:spacing w:before="60" w:after="60"/>
              <w:rPr>
                <w:rFonts w:ascii="Arial" w:hAnsi="Arial" w:cs="Arial"/>
                <w:b/>
                <w:sz w:val="22"/>
                <w:szCs w:val="22"/>
                <w:lang w:val="en-GB"/>
              </w:rPr>
            </w:pPr>
            <w:r>
              <w:rPr>
                <w:rFonts w:ascii="Arial" w:hAnsi="Arial" w:cs="Arial"/>
                <w:b/>
                <w:sz w:val="22"/>
                <w:szCs w:val="22"/>
                <w:lang w:val="en-GB"/>
              </w:rPr>
              <w:t>Inclusion Criteria</w:t>
            </w:r>
          </w:p>
        </w:tc>
        <w:tc>
          <w:tcPr>
            <w:tcW w:w="6624" w:type="dxa"/>
            <w:shd w:val="clear" w:color="auto" w:fill="auto"/>
          </w:tcPr>
          <w:p w14:paraId="034CD93B" w14:textId="06FED712" w:rsidR="00504E07" w:rsidRPr="00762855" w:rsidRDefault="00504E07" w:rsidP="00504E07">
            <w:pPr>
              <w:rPr>
                <w:rFonts w:ascii="Arial" w:hAnsi="Arial" w:cs="Arial"/>
                <w:sz w:val="22"/>
                <w:szCs w:val="22"/>
                <w:lang w:val="en-GB"/>
              </w:rPr>
            </w:pPr>
            <w:r w:rsidRPr="00762855">
              <w:rPr>
                <w:rFonts w:ascii="Arial" w:hAnsi="Arial" w:cs="Arial"/>
                <w:sz w:val="22"/>
                <w:szCs w:val="22"/>
                <w:lang w:val="en-GB"/>
              </w:rPr>
              <w:t>All study patients must meet all the following criteria:</w:t>
            </w:r>
          </w:p>
          <w:p w14:paraId="36366070" w14:textId="5DED0CE1"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B2DCC">
              <w:rPr>
                <w:rFonts w:ascii="Arial" w:hAnsi="Arial" w:cs="Arial"/>
                <w:sz w:val="22"/>
                <w:szCs w:val="22"/>
                <w:lang w:val="en-GB"/>
              </w:rPr>
              <w:t>Written informed consent obtained according to international guidelines and local laws by patient (or legally acceptable representative if the patient is temporarily legally not competent owing to his/her disease). [</w:t>
            </w:r>
            <w:r w:rsidRPr="00504E07">
              <w:rPr>
                <w:rFonts w:ascii="Arial" w:hAnsi="Arial" w:cs="Arial"/>
                <w:i/>
                <w:iCs/>
                <w:sz w:val="22"/>
                <w:szCs w:val="22"/>
                <w:lang w:val="en-GB"/>
              </w:rPr>
              <w:t>Note</w:t>
            </w:r>
            <w:r w:rsidRPr="003B2DCC">
              <w:rPr>
                <w:rFonts w:ascii="Arial" w:hAnsi="Arial" w:cs="Arial"/>
                <w:sz w:val="22"/>
                <w:szCs w:val="22"/>
                <w:lang w:val="en-GB"/>
              </w:rPr>
              <w:t>: No invasive study-specific procedures may be carried out until this consent has</w:t>
            </w:r>
            <w:r>
              <w:rPr>
                <w:rFonts w:ascii="Arial" w:hAnsi="Arial" w:cs="Arial"/>
                <w:sz w:val="22"/>
                <w:szCs w:val="22"/>
                <w:lang w:val="en-GB"/>
              </w:rPr>
              <w:t xml:space="preserve"> </w:t>
            </w:r>
            <w:r w:rsidRPr="003B2DCC">
              <w:rPr>
                <w:rFonts w:ascii="Arial" w:hAnsi="Arial" w:cs="Arial"/>
                <w:sz w:val="22"/>
                <w:szCs w:val="22"/>
                <w:lang w:val="en-GB"/>
              </w:rPr>
              <w:t>been given.]</w:t>
            </w:r>
          </w:p>
          <w:p w14:paraId="5F1E7568"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Patient aged 18 years or above (either sex).</w:t>
            </w:r>
          </w:p>
          <w:p w14:paraId="2E8B0F58"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Histologically confirmed primary or secondary CNSL based on cytology/flow cytometry of cerebrospinal fluid (CSF) or brain biopsy.</w:t>
            </w:r>
          </w:p>
          <w:p w14:paraId="27D86069"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Disease exclusively located in the CNS (primary CNSL or secondary CNSL with isolated CNS relapse). Subjects who had undergone allogeneic stem cell transplant &gt; 12 months prior to first dose of study drug, have no evidence of active graft versus host disease, and are not on systemic immunosuppressive therapy are allowed to participate in the study.</w:t>
            </w:r>
          </w:p>
          <w:p w14:paraId="32F773E3"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At least one measurable parenchymal lesion. [Note: parenchymal CNSL is a “must”, and additional locations such as leptomeningeal disease are permitted.]</w:t>
            </w:r>
          </w:p>
          <w:p w14:paraId="5A2599D7"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Previously untreated CNS disease.</w:t>
            </w:r>
            <w:r w:rsidRPr="0039339F">
              <w:rPr>
                <w:rFonts w:ascii="Arial" w:hAnsi="Arial" w:cs="Arial"/>
                <w:sz w:val="22"/>
                <w:szCs w:val="22"/>
                <w:lang w:val="en-GB"/>
              </w:rPr>
              <w:br/>
              <w:t>[Note: Previous or ongoing steroid treatment is permitted. Prophylaxis chemotherapy is not necessary, as induction chemotherapy will start within 72 hours after PTF-PET.]</w:t>
            </w:r>
          </w:p>
          <w:p w14:paraId="6F8BA6CB"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At least one morphologically measurable lesion according to the IPCG criteria (Appendix 1).</w:t>
            </w:r>
          </w:p>
          <w:p w14:paraId="5B8AA3D8" w14:textId="77845A51"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Patients scheduled to undergo induction chemotherapy based on one of the following:</w:t>
            </w:r>
            <w:r>
              <w:rPr>
                <w:rFonts w:ascii="Arial" w:hAnsi="Arial" w:cs="Arial"/>
                <w:sz w:val="22"/>
                <w:szCs w:val="22"/>
                <w:lang w:val="en-GB"/>
              </w:rPr>
              <w:t xml:space="preserve"> </w:t>
            </w:r>
            <w:r w:rsidRPr="0039339F">
              <w:rPr>
                <w:rFonts w:ascii="Arial" w:hAnsi="Arial" w:cs="Arial"/>
                <w:sz w:val="22"/>
                <w:szCs w:val="22"/>
                <w:lang w:val="en-GB"/>
              </w:rPr>
              <w:t>High-dose methotrexate (HD-MTX)-</w:t>
            </w:r>
            <w:r w:rsidRPr="0039339F">
              <w:rPr>
                <w:rFonts w:ascii="Arial" w:hAnsi="Arial" w:cs="Arial"/>
                <w:sz w:val="22"/>
                <w:szCs w:val="22"/>
                <w:lang w:val="en-GB"/>
              </w:rPr>
              <w:lastRenderedPageBreak/>
              <w:t xml:space="preserve">based </w:t>
            </w:r>
            <w:proofErr w:type="spellStart"/>
            <w:proofErr w:type="gramStart"/>
            <w:r w:rsidRPr="0039339F">
              <w:rPr>
                <w:rFonts w:ascii="Arial" w:hAnsi="Arial" w:cs="Arial"/>
                <w:sz w:val="22"/>
                <w:szCs w:val="22"/>
                <w:lang w:val="en-GB"/>
              </w:rPr>
              <w:t>chemotherapy,ICE</w:t>
            </w:r>
            <w:proofErr w:type="spellEnd"/>
            <w:proofErr w:type="gramEnd"/>
            <w:r w:rsidRPr="0039339F">
              <w:rPr>
                <w:rFonts w:ascii="Arial" w:hAnsi="Arial" w:cs="Arial"/>
                <w:sz w:val="22"/>
                <w:szCs w:val="22"/>
                <w:lang w:val="en-GB"/>
              </w:rPr>
              <w:t>/</w:t>
            </w:r>
            <w:proofErr w:type="spellStart"/>
            <w:r w:rsidRPr="0039339F">
              <w:rPr>
                <w:rFonts w:ascii="Arial" w:hAnsi="Arial" w:cs="Arial"/>
                <w:sz w:val="22"/>
                <w:szCs w:val="22"/>
                <w:lang w:val="en-GB"/>
              </w:rPr>
              <w:t>DeVIC</w:t>
            </w:r>
            <w:proofErr w:type="spellEnd"/>
            <w:r w:rsidRPr="0039339F">
              <w:rPr>
                <w:rFonts w:ascii="Arial" w:hAnsi="Arial" w:cs="Arial"/>
                <w:sz w:val="22"/>
                <w:szCs w:val="22"/>
                <w:lang w:val="en-GB"/>
              </w:rPr>
              <w:t xml:space="preserve"> or</w:t>
            </w:r>
            <w:r>
              <w:rPr>
                <w:rFonts w:ascii="Arial" w:hAnsi="Arial" w:cs="Arial"/>
                <w:sz w:val="22"/>
                <w:szCs w:val="22"/>
                <w:lang w:val="en-GB"/>
              </w:rPr>
              <w:t xml:space="preserve"> </w:t>
            </w:r>
            <w:r w:rsidRPr="0039339F">
              <w:rPr>
                <w:rFonts w:ascii="Arial" w:hAnsi="Arial" w:cs="Arial"/>
                <w:sz w:val="22"/>
                <w:szCs w:val="22"/>
                <w:lang w:val="en-GB"/>
              </w:rPr>
              <w:t>High-dose cytarabine (HD-</w:t>
            </w:r>
            <w:proofErr w:type="spellStart"/>
            <w:r w:rsidRPr="0039339F">
              <w:rPr>
                <w:rFonts w:ascii="Arial" w:hAnsi="Arial" w:cs="Arial"/>
                <w:sz w:val="22"/>
                <w:szCs w:val="22"/>
                <w:lang w:val="en-GB"/>
              </w:rPr>
              <w:t>AraC</w:t>
            </w:r>
            <w:proofErr w:type="spellEnd"/>
            <w:r w:rsidRPr="0039339F">
              <w:rPr>
                <w:rFonts w:ascii="Arial" w:hAnsi="Arial" w:cs="Arial"/>
                <w:sz w:val="22"/>
                <w:szCs w:val="22"/>
                <w:lang w:val="en-GB"/>
              </w:rPr>
              <w:t>)-based chemotherapy.</w:t>
            </w:r>
          </w:p>
          <w:p w14:paraId="70BC7719"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ECOG performance status ≤ 2 for patients aged ≥65 years;</w:t>
            </w:r>
            <w:r w:rsidRPr="0039339F">
              <w:rPr>
                <w:rFonts w:ascii="Arial" w:hAnsi="Arial" w:cs="Arial"/>
                <w:sz w:val="22"/>
                <w:szCs w:val="22"/>
                <w:lang w:val="en-GB"/>
              </w:rPr>
              <w:br/>
              <w:t>ECOG performance status ≤ 3 for patients aged &lt;65 years</w:t>
            </w:r>
            <w:r>
              <w:rPr>
                <w:rFonts w:ascii="Arial" w:hAnsi="Arial" w:cs="Arial"/>
                <w:sz w:val="22"/>
                <w:szCs w:val="22"/>
                <w:lang w:val="en-GB"/>
              </w:rPr>
              <w:t>.</w:t>
            </w:r>
          </w:p>
          <w:p w14:paraId="0931EDED"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Life expectancy of at least 3 months, as estimated by the investigator.</w:t>
            </w:r>
          </w:p>
          <w:p w14:paraId="5B8149AE"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For women of child-bearing potential: negative pregnancy test.</w:t>
            </w:r>
          </w:p>
          <w:p w14:paraId="09F474FA" w14:textId="77777777" w:rsidR="00504E07"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For s</w:t>
            </w:r>
            <w:r w:rsidRPr="0039339F">
              <w:rPr>
                <w:rFonts w:ascii="Arial" w:hAnsi="Arial" w:cs="Arial"/>
                <w:sz w:val="22"/>
                <w:szCs w:val="22"/>
                <w:lang w:val="en-GB" w:eastAsia="en-US"/>
              </w:rPr>
              <w:t>exually active</w:t>
            </w:r>
            <w:r w:rsidRPr="0039339F">
              <w:rPr>
                <w:rFonts w:ascii="Arial" w:hAnsi="Arial" w:cs="Arial"/>
                <w:sz w:val="22"/>
                <w:szCs w:val="22"/>
                <w:lang w:val="en-GB"/>
              </w:rPr>
              <w:t xml:space="preserve"> female </w:t>
            </w:r>
            <w:r w:rsidRPr="0039339F">
              <w:rPr>
                <w:rFonts w:ascii="Arial" w:hAnsi="Arial" w:cs="Arial"/>
                <w:sz w:val="22"/>
                <w:szCs w:val="22"/>
                <w:lang w:val="en-GB" w:eastAsia="en-US"/>
              </w:rPr>
              <w:t>patients</w:t>
            </w:r>
            <w:r w:rsidRPr="0039339F">
              <w:rPr>
                <w:rFonts w:ascii="Arial" w:hAnsi="Arial" w:cs="Arial"/>
                <w:sz w:val="22"/>
                <w:szCs w:val="22"/>
                <w:lang w:val="en-GB"/>
              </w:rPr>
              <w:t xml:space="preserve"> </w:t>
            </w:r>
            <w:r w:rsidRPr="0039339F">
              <w:rPr>
                <w:rFonts w:ascii="Arial" w:hAnsi="Arial" w:cs="Arial"/>
                <w:sz w:val="22"/>
                <w:szCs w:val="22"/>
                <w:lang w:val="en-GB" w:eastAsia="en-US"/>
              </w:rPr>
              <w:t>of child</w:t>
            </w:r>
            <w:r w:rsidRPr="0039339F">
              <w:rPr>
                <w:rFonts w:ascii="Arial" w:hAnsi="Arial" w:cs="Arial"/>
                <w:sz w:val="22"/>
                <w:szCs w:val="22"/>
                <w:lang w:val="en-GB"/>
              </w:rPr>
              <w:t>-</w:t>
            </w:r>
            <w:r w:rsidRPr="0039339F">
              <w:rPr>
                <w:rFonts w:ascii="Arial" w:hAnsi="Arial" w:cs="Arial"/>
                <w:sz w:val="22"/>
                <w:szCs w:val="22"/>
                <w:lang w:val="en-GB" w:eastAsia="en-US"/>
              </w:rPr>
              <w:t>bearing potential: The patient</w:t>
            </w:r>
            <w:r w:rsidRPr="0039339F">
              <w:rPr>
                <w:rFonts w:ascii="Arial" w:hAnsi="Arial" w:cs="Arial"/>
                <w:sz w:val="22"/>
                <w:szCs w:val="22"/>
                <w:lang w:val="en-GB"/>
              </w:rPr>
              <w:t xml:space="preserve"> agrees</w:t>
            </w:r>
            <w:r w:rsidRPr="0039339F">
              <w:rPr>
                <w:rFonts w:ascii="Arial" w:hAnsi="Arial" w:cs="Arial"/>
                <w:sz w:val="22"/>
                <w:szCs w:val="22"/>
                <w:lang w:val="en-GB" w:eastAsia="en-US"/>
              </w:rPr>
              <w:t xml:space="preserve"> to take adequate contraceptive measures during study participation </w:t>
            </w:r>
            <w:proofErr w:type="gramStart"/>
            <w:r w:rsidRPr="0039339F">
              <w:rPr>
                <w:rFonts w:ascii="Arial" w:hAnsi="Arial" w:cs="Arial"/>
                <w:sz w:val="22"/>
                <w:szCs w:val="22"/>
                <w:lang w:val="en-GB" w:eastAsia="en-US"/>
              </w:rPr>
              <w:t>and also</w:t>
            </w:r>
            <w:proofErr w:type="gramEnd"/>
            <w:r w:rsidRPr="0039339F">
              <w:rPr>
                <w:rFonts w:ascii="Arial" w:hAnsi="Arial" w:cs="Arial"/>
                <w:sz w:val="22"/>
                <w:szCs w:val="22"/>
                <w:lang w:val="en-GB" w:eastAsia="en-US"/>
              </w:rPr>
              <w:t xml:space="preserve"> agrees to continue use of this method for the duration of the study and for 6 months after the last dose of PTF.</w:t>
            </w:r>
          </w:p>
          <w:p w14:paraId="0238495B" w14:textId="77777777" w:rsidR="00504E07" w:rsidRPr="0039339F" w:rsidRDefault="00504E07" w:rsidP="00504E07">
            <w:pPr>
              <w:pStyle w:val="ListParagraph"/>
              <w:numPr>
                <w:ilvl w:val="0"/>
                <w:numId w:val="36"/>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For m</w:t>
            </w:r>
            <w:r w:rsidRPr="0039339F">
              <w:rPr>
                <w:rFonts w:ascii="Arial" w:hAnsi="Arial" w:cs="Arial"/>
                <w:sz w:val="22"/>
                <w:szCs w:val="22"/>
                <w:shd w:val="clear" w:color="auto" w:fill="FFFFFF"/>
                <w:lang w:val="en-GB"/>
              </w:rPr>
              <w:t xml:space="preserve">ale </w:t>
            </w:r>
            <w:r w:rsidRPr="0039339F">
              <w:rPr>
                <w:rFonts w:ascii="Arial" w:hAnsi="Arial" w:cs="Arial"/>
                <w:sz w:val="22"/>
                <w:szCs w:val="22"/>
                <w:lang w:val="en-GB" w:eastAsia="en-US"/>
              </w:rPr>
              <w:t>patients</w:t>
            </w:r>
            <w:r w:rsidRPr="0039339F">
              <w:rPr>
                <w:rFonts w:ascii="Arial" w:hAnsi="Arial" w:cs="Arial"/>
                <w:sz w:val="22"/>
                <w:szCs w:val="22"/>
                <w:lang w:val="en-GB"/>
              </w:rPr>
              <w:t xml:space="preserve"> </w:t>
            </w:r>
            <w:r w:rsidRPr="0039339F">
              <w:rPr>
                <w:rFonts w:ascii="Arial" w:hAnsi="Arial" w:cs="Arial"/>
                <w:sz w:val="22"/>
                <w:szCs w:val="22"/>
                <w:shd w:val="clear" w:color="auto" w:fill="FFFFFF"/>
                <w:lang w:val="en-GB"/>
              </w:rPr>
              <w:t>whose partner is of child-bearing potential: The patient is willing to ensure that he and his partner use effective contraception during the study and for 6 months</w:t>
            </w:r>
            <w:r w:rsidRPr="0039339F">
              <w:rPr>
                <w:rFonts w:ascii="Arial" w:hAnsi="Arial" w:cs="Arial"/>
                <w:sz w:val="22"/>
                <w:szCs w:val="22"/>
                <w:lang w:val="en-GB" w:eastAsia="en-US"/>
              </w:rPr>
              <w:t xml:space="preserve"> after the last dose of PTF.</w:t>
            </w:r>
          </w:p>
          <w:p w14:paraId="7EBEC932" w14:textId="77777777" w:rsidR="005135CA" w:rsidRPr="00D25D1A" w:rsidRDefault="005135CA" w:rsidP="00504E07">
            <w:pPr>
              <w:spacing w:before="60" w:after="60"/>
              <w:rPr>
                <w:rFonts w:ascii="Arial" w:hAnsi="Arial" w:cs="Arial"/>
                <w:sz w:val="22"/>
                <w:szCs w:val="22"/>
                <w:lang w:val="en-GB"/>
              </w:rPr>
            </w:pPr>
          </w:p>
        </w:tc>
      </w:tr>
      <w:tr w:rsidR="005135CA" w:rsidRPr="00D25D1A" w14:paraId="1D99B48A" w14:textId="77777777" w:rsidTr="008D46EC">
        <w:tc>
          <w:tcPr>
            <w:tcW w:w="2386" w:type="dxa"/>
            <w:shd w:val="clear" w:color="auto" w:fill="auto"/>
          </w:tcPr>
          <w:p w14:paraId="4ABE82B0" w14:textId="0CCDF853" w:rsidR="005135CA" w:rsidRPr="00D25D1A" w:rsidRDefault="00504E07" w:rsidP="008D46EC">
            <w:pPr>
              <w:spacing w:before="60" w:after="60"/>
              <w:rPr>
                <w:rFonts w:ascii="Arial" w:hAnsi="Arial" w:cs="Arial"/>
                <w:b/>
                <w:sz w:val="22"/>
                <w:szCs w:val="22"/>
                <w:lang w:val="en-GB"/>
              </w:rPr>
            </w:pPr>
            <w:r>
              <w:rPr>
                <w:rFonts w:ascii="Arial" w:hAnsi="Arial" w:cs="Arial"/>
                <w:b/>
                <w:sz w:val="22"/>
                <w:szCs w:val="22"/>
                <w:lang w:val="en-GB"/>
              </w:rPr>
              <w:lastRenderedPageBreak/>
              <w:t>Exclusion Criteria</w:t>
            </w:r>
          </w:p>
        </w:tc>
        <w:tc>
          <w:tcPr>
            <w:tcW w:w="6624" w:type="dxa"/>
            <w:shd w:val="clear" w:color="auto" w:fill="auto"/>
          </w:tcPr>
          <w:p w14:paraId="61964566" w14:textId="77777777" w:rsidR="00504E07" w:rsidRPr="00C265E5" w:rsidRDefault="00504E07" w:rsidP="00504E07">
            <w:pPr>
              <w:rPr>
                <w:rFonts w:ascii="Arial" w:hAnsi="Arial" w:cs="Arial"/>
                <w:sz w:val="22"/>
                <w:szCs w:val="22"/>
                <w:lang w:val="en-GB"/>
              </w:rPr>
            </w:pPr>
            <w:r w:rsidRPr="00C265E5">
              <w:rPr>
                <w:rFonts w:ascii="Arial" w:hAnsi="Arial" w:cs="Arial"/>
                <w:sz w:val="22"/>
                <w:szCs w:val="22"/>
                <w:lang w:val="en-GB"/>
              </w:rPr>
              <w:t>Any patient meeting one or more of the following criteria will not be included:</w:t>
            </w:r>
          </w:p>
          <w:p w14:paraId="5CF14D71" w14:textId="77777777" w:rsidR="00504E07"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Known hypersensitivity to [</w:t>
            </w:r>
            <w:r w:rsidRPr="0039339F">
              <w:rPr>
                <w:rFonts w:ascii="Arial" w:hAnsi="Arial" w:cs="Arial"/>
                <w:sz w:val="22"/>
                <w:szCs w:val="22"/>
                <w:vertAlign w:val="superscript"/>
                <w:lang w:val="en-GB"/>
              </w:rPr>
              <w:t>68</w:t>
            </w:r>
            <w:proofErr w:type="gramStart"/>
            <w:r w:rsidRPr="0039339F">
              <w:rPr>
                <w:rFonts w:ascii="Arial" w:hAnsi="Arial" w:cs="Arial"/>
                <w:sz w:val="22"/>
                <w:szCs w:val="22"/>
                <w:lang w:val="en-GB"/>
              </w:rPr>
              <w:t>Ga]Ga</w:t>
            </w:r>
            <w:proofErr w:type="gramEnd"/>
            <w:r w:rsidRPr="0039339F">
              <w:rPr>
                <w:rFonts w:ascii="Arial" w:hAnsi="Arial" w:cs="Arial"/>
                <w:sz w:val="22"/>
                <w:szCs w:val="22"/>
                <w:lang w:val="en-GB"/>
              </w:rPr>
              <w:t>-</w:t>
            </w:r>
            <w:proofErr w:type="spellStart"/>
            <w:r w:rsidRPr="0039339F">
              <w:rPr>
                <w:rFonts w:ascii="Arial" w:hAnsi="Arial" w:cs="Arial"/>
                <w:sz w:val="22"/>
                <w:szCs w:val="22"/>
                <w:lang w:val="en-GB"/>
              </w:rPr>
              <w:t>PentixaFor</w:t>
            </w:r>
            <w:proofErr w:type="spellEnd"/>
            <w:r w:rsidRPr="0039339F">
              <w:rPr>
                <w:rFonts w:ascii="Arial" w:hAnsi="Arial" w:cs="Arial"/>
                <w:sz w:val="22"/>
                <w:szCs w:val="22"/>
                <w:lang w:val="en-GB"/>
              </w:rPr>
              <w:t xml:space="preserve"> or its components.</w:t>
            </w:r>
          </w:p>
          <w:p w14:paraId="3034DDC4" w14:textId="77777777" w:rsidR="00504E07"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Contraindication for contrast-enhanced MRI as set out in the relevant institutional guidelines (e.g., pacemaker, defibrillator, aneurysm clip, metal in the body, renal insufficiency, severe claustrophobia etc.)</w:t>
            </w:r>
            <w:r>
              <w:rPr>
                <w:rFonts w:ascii="Arial" w:hAnsi="Arial" w:cs="Arial"/>
                <w:sz w:val="22"/>
                <w:szCs w:val="22"/>
                <w:lang w:val="en-GB"/>
              </w:rPr>
              <w:t>.</w:t>
            </w:r>
          </w:p>
          <w:p w14:paraId="772C6963" w14:textId="77777777" w:rsidR="00504E07"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Contraindication for the use of gadolinium contrast for MRI.</w:t>
            </w:r>
          </w:p>
          <w:p w14:paraId="7DD3FC36" w14:textId="77777777" w:rsidR="00504E07"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 xml:space="preserve">Contraindication for PET according to institutional guidelines (weight-based, </w:t>
            </w:r>
            <w:proofErr w:type="gramStart"/>
            <w:r w:rsidRPr="0039339F">
              <w:rPr>
                <w:rFonts w:ascii="Arial" w:hAnsi="Arial" w:cs="Arial"/>
                <w:sz w:val="22"/>
                <w:szCs w:val="22"/>
                <w:lang w:val="en-GB"/>
              </w:rPr>
              <w:t>e.g.</w:t>
            </w:r>
            <w:proofErr w:type="gramEnd"/>
            <w:r w:rsidRPr="0039339F">
              <w:rPr>
                <w:rFonts w:ascii="Arial" w:hAnsi="Arial" w:cs="Arial"/>
                <w:sz w:val="22"/>
                <w:szCs w:val="22"/>
                <w:lang w:val="en-GB"/>
              </w:rPr>
              <w:t xml:space="preserve"> weight &gt; 180 kg).</w:t>
            </w:r>
          </w:p>
          <w:p w14:paraId="487FB08F" w14:textId="77777777" w:rsidR="00504E07"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Inability to lie still for the entire imaging time.</w:t>
            </w:r>
          </w:p>
          <w:p w14:paraId="65A52B0C" w14:textId="77777777" w:rsidR="00504E07"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Systemic lymphoma manifestation (outside the CNS).</w:t>
            </w:r>
          </w:p>
          <w:p w14:paraId="0C71680B" w14:textId="77777777" w:rsidR="00504E07"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Presence of active infection at screening or history of serious infection within the previous 6 weeks (except HIV infection: patients with HIV-associated primary CNSL are considered eligible).</w:t>
            </w:r>
          </w:p>
          <w:p w14:paraId="75B12B0F" w14:textId="77777777" w:rsidR="00504E07" w:rsidRPr="0039339F" w:rsidRDefault="00504E07" w:rsidP="00504E07">
            <w:pPr>
              <w:pStyle w:val="ListParagraph"/>
              <w:numPr>
                <w:ilvl w:val="0"/>
                <w:numId w:val="37"/>
              </w:numPr>
              <w:tabs>
                <w:tab w:val="right" w:pos="42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 xml:space="preserve">Administration of another investigational medicinal product </w:t>
            </w:r>
            <w:r w:rsidRPr="0039339F">
              <w:rPr>
                <w:rFonts w:ascii="Arial" w:hAnsi="Arial" w:cs="Arial"/>
                <w:sz w:val="22"/>
                <w:szCs w:val="18"/>
                <w:lang w:val="en-GB"/>
              </w:rPr>
              <w:t>within the 30 days (or 5 excretion half-lives, whichever period is the longer) before first treatment with PTF.</w:t>
            </w:r>
            <w:r w:rsidRPr="0039339F">
              <w:rPr>
                <w:rFonts w:ascii="Arial" w:hAnsi="Arial" w:cs="Arial"/>
                <w:sz w:val="22"/>
                <w:szCs w:val="18"/>
                <w:lang w:val="en-GB"/>
              </w:rPr>
              <w:br/>
              <w:t>[Note: Re</w:t>
            </w:r>
            <w:r w:rsidRPr="0039339F">
              <w:rPr>
                <w:rFonts w:ascii="Arial" w:hAnsi="Arial" w:cs="Arial"/>
                <w:sz w:val="22"/>
                <w:szCs w:val="18"/>
                <w:lang w:val="en-GB"/>
              </w:rPr>
              <w:noBreakHyphen/>
              <w:t>screening may be performed to accept washout of prior agents.]</w:t>
            </w:r>
          </w:p>
          <w:p w14:paraId="28CDE014" w14:textId="77777777" w:rsidR="00504E07" w:rsidRPr="0039339F" w:rsidRDefault="00504E07" w:rsidP="00504E07">
            <w:pPr>
              <w:pStyle w:val="ListParagraph"/>
              <w:numPr>
                <w:ilvl w:val="0"/>
                <w:numId w:val="37"/>
              </w:numPr>
              <w:tabs>
                <w:tab w:val="right" w:pos="376"/>
                <w:tab w:val="left" w:pos="567"/>
              </w:tabs>
              <w:ind w:left="376" w:hanging="357"/>
              <w:contextualSpacing w:val="0"/>
              <w:rPr>
                <w:rFonts w:ascii="Arial" w:hAnsi="Arial" w:cs="Arial"/>
                <w:sz w:val="22"/>
                <w:szCs w:val="22"/>
                <w:lang w:val="en-GB"/>
              </w:rPr>
            </w:pPr>
            <w:r w:rsidRPr="0039339F">
              <w:rPr>
                <w:rFonts w:ascii="Arial" w:hAnsi="Arial" w:cs="Arial"/>
                <w:sz w:val="22"/>
                <w:szCs w:val="18"/>
                <w:lang w:val="en-GB"/>
              </w:rPr>
              <w:t>Current toxicity of Grade </w:t>
            </w:r>
            <w:r w:rsidRPr="0039339F">
              <w:rPr>
                <w:rFonts w:ascii="Arial" w:hAnsi="Arial" w:cs="Arial"/>
                <w:sz w:val="22"/>
                <w:szCs w:val="18"/>
                <w:u w:val="single"/>
                <w:lang w:val="en-GB"/>
              </w:rPr>
              <w:t>&gt;</w:t>
            </w:r>
            <w:r w:rsidRPr="0039339F">
              <w:rPr>
                <w:rFonts w:ascii="Arial" w:hAnsi="Arial" w:cs="Arial"/>
                <w:sz w:val="22"/>
                <w:szCs w:val="18"/>
                <w:lang w:val="en-GB"/>
              </w:rPr>
              <w:t xml:space="preserve">2 from previous standard or investigational therapies (grade according to the NCI </w:t>
            </w:r>
            <w:r w:rsidRPr="0039339F">
              <w:rPr>
                <w:rFonts w:ascii="Arial" w:hAnsi="Arial" w:cs="Arial"/>
                <w:i/>
                <w:sz w:val="22"/>
                <w:szCs w:val="18"/>
                <w:lang w:val="en-GB"/>
              </w:rPr>
              <w:t>Common Terminology Criteria for Adverse Events</w:t>
            </w:r>
            <w:r w:rsidRPr="0039339F">
              <w:rPr>
                <w:rFonts w:ascii="Arial" w:hAnsi="Arial" w:cs="Arial"/>
                <w:sz w:val="22"/>
                <w:szCs w:val="18"/>
                <w:lang w:val="en-GB"/>
              </w:rPr>
              <w:t>, version 5.0 (CTCAE 5.0).</w:t>
            </w:r>
          </w:p>
          <w:p w14:paraId="7D1A1C07" w14:textId="77777777" w:rsidR="00504E07" w:rsidRPr="0039339F" w:rsidRDefault="00504E07" w:rsidP="00504E07">
            <w:pPr>
              <w:pStyle w:val="ListParagraph"/>
              <w:numPr>
                <w:ilvl w:val="0"/>
                <w:numId w:val="37"/>
              </w:numPr>
              <w:tabs>
                <w:tab w:val="right" w:pos="37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lastRenderedPageBreak/>
              <w:t>For female patients: P</w:t>
            </w:r>
            <w:r w:rsidRPr="0039339F">
              <w:rPr>
                <w:rFonts w:ascii="Arial" w:hAnsi="Arial" w:cs="Arial"/>
                <w:sz w:val="22"/>
                <w:szCs w:val="18"/>
                <w:lang w:val="en-GB"/>
              </w:rPr>
              <w:t>regnancy (e</w:t>
            </w:r>
            <w:r w:rsidRPr="0039339F">
              <w:rPr>
                <w:rFonts w:ascii="Arial" w:hAnsi="Arial" w:cs="Arial"/>
                <w:sz w:val="22"/>
                <w:szCs w:val="22"/>
                <w:lang w:val="en-GB"/>
              </w:rPr>
              <w:t xml:space="preserve">xisting or intended) </w:t>
            </w:r>
            <w:r w:rsidRPr="0039339F">
              <w:rPr>
                <w:rFonts w:ascii="Arial" w:hAnsi="Arial" w:cs="Arial"/>
                <w:sz w:val="22"/>
                <w:szCs w:val="18"/>
                <w:lang w:val="en-GB"/>
              </w:rPr>
              <w:t>or breast-feeding.</w:t>
            </w:r>
          </w:p>
          <w:p w14:paraId="6DB244A8" w14:textId="77777777" w:rsidR="00504E07" w:rsidRPr="00C221CB" w:rsidRDefault="00504E07" w:rsidP="00504E07">
            <w:pPr>
              <w:pStyle w:val="ListParagraph"/>
              <w:numPr>
                <w:ilvl w:val="0"/>
                <w:numId w:val="37"/>
              </w:numPr>
              <w:tabs>
                <w:tab w:val="right" w:pos="376"/>
                <w:tab w:val="left" w:pos="567"/>
              </w:tabs>
              <w:ind w:left="376" w:hanging="357"/>
              <w:contextualSpacing w:val="0"/>
              <w:rPr>
                <w:rFonts w:ascii="Arial" w:hAnsi="Arial" w:cs="Arial"/>
                <w:sz w:val="22"/>
                <w:szCs w:val="22"/>
                <w:lang w:val="en-GB"/>
              </w:rPr>
            </w:pPr>
            <w:r w:rsidRPr="0039339F">
              <w:rPr>
                <w:rFonts w:ascii="Arial" w:hAnsi="Arial" w:cs="Arial"/>
                <w:sz w:val="22"/>
                <w:szCs w:val="22"/>
                <w:lang w:val="en-GB"/>
              </w:rPr>
              <w:t>Renal impairment: Both of the following:</w:t>
            </w:r>
            <w:r w:rsidRPr="0039339F">
              <w:rPr>
                <w:rFonts w:ascii="Arial" w:hAnsi="Arial" w:cs="Arial"/>
                <w:sz w:val="22"/>
                <w:szCs w:val="22"/>
                <w:lang w:val="en-GB"/>
              </w:rPr>
              <w:br/>
            </w:r>
            <w:r w:rsidRPr="0039339F">
              <w:rPr>
                <w:rFonts w:ascii="Arial" w:hAnsi="Arial" w:cs="Arial"/>
                <w:sz w:val="22"/>
                <w:szCs w:val="18"/>
                <w:lang w:val="en-GB"/>
              </w:rPr>
              <w:t>   Estimated glomerular filtration rate (eGFR) &lt; 30 ml/min/1.73 m</w:t>
            </w:r>
            <w:r w:rsidRPr="0039339F">
              <w:rPr>
                <w:rFonts w:ascii="Arial" w:hAnsi="Arial" w:cs="Arial"/>
                <w:sz w:val="22"/>
                <w:szCs w:val="18"/>
                <w:vertAlign w:val="superscript"/>
                <w:lang w:val="en-GB"/>
              </w:rPr>
              <w:t>2</w:t>
            </w:r>
            <w:r w:rsidRPr="0039339F">
              <w:rPr>
                <w:rFonts w:ascii="Arial" w:hAnsi="Arial" w:cs="Arial"/>
                <w:sz w:val="22"/>
                <w:szCs w:val="18"/>
                <w:lang w:val="en-GB"/>
              </w:rPr>
              <w:br/>
              <w:t>   Creatinine clearance &lt; 60 ml/min</w:t>
            </w:r>
          </w:p>
          <w:p w14:paraId="6B00D4A5" w14:textId="77777777" w:rsidR="00504E07" w:rsidRPr="00C221CB" w:rsidRDefault="00504E07" w:rsidP="00504E07">
            <w:pPr>
              <w:pStyle w:val="ListParagraph"/>
              <w:numPr>
                <w:ilvl w:val="0"/>
                <w:numId w:val="37"/>
              </w:numPr>
              <w:tabs>
                <w:tab w:val="right" w:pos="376"/>
                <w:tab w:val="left" w:pos="567"/>
              </w:tabs>
              <w:ind w:left="376" w:hanging="357"/>
              <w:contextualSpacing w:val="0"/>
              <w:rPr>
                <w:rFonts w:ascii="Arial" w:hAnsi="Arial" w:cs="Arial"/>
                <w:sz w:val="22"/>
                <w:szCs w:val="22"/>
                <w:lang w:val="en-GB"/>
              </w:rPr>
            </w:pPr>
            <w:r w:rsidRPr="0039339F">
              <w:rPr>
                <w:rFonts w:ascii="Arial" w:hAnsi="Arial" w:cs="Arial"/>
                <w:sz w:val="22"/>
                <w:szCs w:val="18"/>
                <w:lang w:val="en-GB"/>
              </w:rPr>
              <w:t>Hepatic impairment: B</w:t>
            </w:r>
            <w:r w:rsidRPr="0039339F">
              <w:rPr>
                <w:rFonts w:ascii="Arial" w:hAnsi="Arial" w:cs="Arial"/>
                <w:sz w:val="22"/>
                <w:szCs w:val="22"/>
                <w:lang w:val="en-GB"/>
              </w:rPr>
              <w:t>oth of the following:</w:t>
            </w:r>
            <w:r w:rsidRPr="0039339F">
              <w:rPr>
                <w:rFonts w:ascii="Arial" w:hAnsi="Arial" w:cs="Arial"/>
                <w:sz w:val="22"/>
                <w:szCs w:val="18"/>
                <w:lang w:val="en-GB"/>
              </w:rPr>
              <w:br/>
              <w:t>   Aspartate aminotransferase (AST) &gt; 3</w:t>
            </w:r>
            <w:r w:rsidRPr="0039339F">
              <w:rPr>
                <w:rFonts w:ascii="Symbol" w:eastAsia="Symbol" w:hAnsi="Symbol" w:cs="Symbol"/>
                <w:sz w:val="22"/>
                <w:szCs w:val="22"/>
                <w:lang w:val="en-GB"/>
              </w:rPr>
              <w:t>´</w:t>
            </w:r>
            <w:r w:rsidRPr="0039339F">
              <w:rPr>
                <w:rFonts w:ascii="Arial" w:hAnsi="Arial" w:cs="Arial"/>
                <w:sz w:val="22"/>
                <w:szCs w:val="18"/>
                <w:lang w:val="en-GB"/>
              </w:rPr>
              <w:t xml:space="preserve"> upper limit of normal</w:t>
            </w:r>
            <w:r w:rsidRPr="0039339F">
              <w:rPr>
                <w:rFonts w:ascii="Arial" w:hAnsi="Arial" w:cs="Arial"/>
                <w:sz w:val="22"/>
                <w:szCs w:val="18"/>
                <w:lang w:val="en-GB"/>
              </w:rPr>
              <w:br/>
              <w:t>   Alanine aminotransferase (ALT) &gt; 3</w:t>
            </w:r>
            <w:r w:rsidRPr="0039339F">
              <w:rPr>
                <w:rFonts w:ascii="Symbol" w:eastAsia="Symbol" w:hAnsi="Symbol" w:cs="Symbol"/>
                <w:sz w:val="22"/>
                <w:szCs w:val="22"/>
                <w:lang w:val="en-GB"/>
              </w:rPr>
              <w:t>´</w:t>
            </w:r>
            <w:r w:rsidRPr="0039339F">
              <w:rPr>
                <w:rFonts w:ascii="Arial" w:hAnsi="Arial" w:cs="Arial"/>
                <w:sz w:val="22"/>
                <w:szCs w:val="18"/>
                <w:lang w:val="en-GB"/>
              </w:rPr>
              <w:t xml:space="preserve"> upper limit of normal</w:t>
            </w:r>
          </w:p>
          <w:p w14:paraId="5E6433CE" w14:textId="77777777" w:rsidR="00504E07" w:rsidRDefault="00504E07" w:rsidP="00504E07">
            <w:pPr>
              <w:pStyle w:val="ListParagraph"/>
              <w:numPr>
                <w:ilvl w:val="0"/>
                <w:numId w:val="37"/>
              </w:numPr>
              <w:tabs>
                <w:tab w:val="right" w:pos="376"/>
                <w:tab w:val="left" w:pos="567"/>
              </w:tabs>
              <w:ind w:left="376" w:hanging="357"/>
              <w:contextualSpacing w:val="0"/>
              <w:rPr>
                <w:rFonts w:ascii="Arial" w:hAnsi="Arial" w:cs="Arial"/>
                <w:sz w:val="22"/>
                <w:szCs w:val="22"/>
                <w:lang w:val="en-GB"/>
              </w:rPr>
            </w:pPr>
            <w:r w:rsidRPr="00C221CB">
              <w:rPr>
                <w:rFonts w:ascii="Arial" w:hAnsi="Arial" w:cs="Arial"/>
                <w:sz w:val="22"/>
                <w:szCs w:val="22"/>
                <w:lang w:val="en-GB"/>
              </w:rPr>
              <w:t>Presence of any u</w:t>
            </w:r>
            <w:r w:rsidRPr="00C221CB">
              <w:rPr>
                <w:rFonts w:ascii="Arial" w:hAnsi="Arial" w:cs="Arial"/>
                <w:noProof/>
                <w:sz w:val="22"/>
                <w:szCs w:val="22"/>
                <w:lang w:val="en-GB"/>
              </w:rPr>
              <w:t>nstable systemic disease (including, but not limited to, active infection, uncontrolled hypertension, unstable angina, congestive heart failure, serious cardiac arrhythmia requiring medication, hepatic, renal or metabolic disease.</w:t>
            </w:r>
          </w:p>
          <w:p w14:paraId="5960134C" w14:textId="1A0DAE7E" w:rsidR="00504E07" w:rsidRDefault="00504E07" w:rsidP="00504E07">
            <w:pPr>
              <w:pStyle w:val="ListParagraph"/>
              <w:numPr>
                <w:ilvl w:val="0"/>
                <w:numId w:val="37"/>
              </w:numPr>
              <w:tabs>
                <w:tab w:val="right" w:pos="376"/>
                <w:tab w:val="left" w:pos="567"/>
              </w:tabs>
              <w:ind w:left="376" w:hanging="357"/>
              <w:contextualSpacing w:val="0"/>
              <w:rPr>
                <w:rFonts w:ascii="Arial" w:hAnsi="Arial" w:cs="Arial"/>
                <w:sz w:val="22"/>
                <w:szCs w:val="22"/>
                <w:lang w:val="en-GB"/>
              </w:rPr>
            </w:pPr>
            <w:r w:rsidRPr="00504E07">
              <w:rPr>
                <w:rFonts w:ascii="Arial" w:hAnsi="Arial" w:cs="Arial"/>
                <w:sz w:val="22"/>
                <w:szCs w:val="22"/>
                <w:lang w:val="en-GB"/>
              </w:rPr>
              <w:t xml:space="preserve">Presence of </w:t>
            </w:r>
            <w:r w:rsidRPr="00504E07">
              <w:rPr>
                <w:rFonts w:ascii="Arial" w:hAnsi="Arial" w:cs="Arial"/>
                <w:noProof/>
                <w:sz w:val="22"/>
                <w:szCs w:val="22"/>
                <w:lang w:val="en-GB"/>
              </w:rPr>
              <w:t>psychiatric disease, alcohol abuse or any other medical condition(s) that, in the opinion of the investigator, makes the patient unable to comply with study procedures and visits.</w:t>
            </w:r>
          </w:p>
          <w:p w14:paraId="19EBD78A" w14:textId="2A0FE018" w:rsidR="00B40781" w:rsidRPr="00504E07" w:rsidRDefault="00B40781" w:rsidP="00504E07">
            <w:pPr>
              <w:pStyle w:val="ListParagraph"/>
              <w:numPr>
                <w:ilvl w:val="0"/>
                <w:numId w:val="37"/>
              </w:numPr>
              <w:tabs>
                <w:tab w:val="right" w:pos="376"/>
                <w:tab w:val="left" w:pos="567"/>
              </w:tabs>
              <w:ind w:left="376" w:hanging="357"/>
              <w:contextualSpacing w:val="0"/>
              <w:rPr>
                <w:rFonts w:ascii="Arial" w:hAnsi="Arial" w:cs="Arial"/>
                <w:sz w:val="22"/>
                <w:szCs w:val="22"/>
                <w:lang w:val="en-GB"/>
              </w:rPr>
            </w:pPr>
            <w:r>
              <w:rPr>
                <w:rFonts w:ascii="Arial" w:hAnsi="Arial" w:cs="Arial"/>
                <w:noProof/>
                <w:sz w:val="22"/>
                <w:szCs w:val="22"/>
                <w:lang w:val="en-GB"/>
              </w:rPr>
              <w:t xml:space="preserve">Patient Weight </w:t>
            </w:r>
            <w:r w:rsidRPr="00B40781">
              <w:rPr>
                <w:rFonts w:ascii="Arial" w:hAnsi="Arial" w:cs="Arial"/>
                <w:noProof/>
                <w:sz w:val="22"/>
                <w:szCs w:val="22"/>
                <w:lang w:val="en-GB"/>
              </w:rPr>
              <w:t>≤ 48 kg</w:t>
            </w:r>
          </w:p>
          <w:p w14:paraId="09A86E3C" w14:textId="77777777" w:rsidR="005135CA" w:rsidRPr="00D25D1A" w:rsidRDefault="005135CA" w:rsidP="00504E07">
            <w:pPr>
              <w:spacing w:before="60" w:after="60"/>
              <w:rPr>
                <w:rFonts w:ascii="Arial" w:hAnsi="Arial" w:cs="Arial"/>
                <w:sz w:val="22"/>
                <w:szCs w:val="22"/>
                <w:lang w:val="en-GB"/>
              </w:rPr>
            </w:pPr>
          </w:p>
        </w:tc>
      </w:tr>
    </w:tbl>
    <w:p w14:paraId="2084B89C" w14:textId="77777777" w:rsidR="00D25D1A" w:rsidRDefault="00D25D1A" w:rsidP="00AA09D5">
      <w:pPr>
        <w:rPr>
          <w:lang w:eastAsia="en-US"/>
        </w:rPr>
        <w:sectPr w:rsidR="00D25D1A" w:rsidSect="00B002F5">
          <w:headerReference w:type="default" r:id="rId11"/>
          <w:footerReference w:type="default" r:id="rId12"/>
          <w:pgSz w:w="11906" w:h="16838"/>
          <w:pgMar w:top="1701" w:right="1417" w:bottom="1134" w:left="1417" w:header="708" w:footer="708" w:gutter="0"/>
          <w:cols w:space="708"/>
          <w:docGrid w:linePitch="360"/>
        </w:sectPr>
      </w:pPr>
    </w:p>
    <w:tbl>
      <w:tblPr>
        <w:tblStyle w:val="TableGrid"/>
        <w:tblpPr w:leftFromText="180" w:rightFromText="180" w:vertAnchor="text" w:horzAnchor="margin" w:tblpXSpec="center" w:tblpY="745"/>
        <w:tblW w:w="13321" w:type="dxa"/>
        <w:tblLayout w:type="fixed"/>
        <w:tblCellMar>
          <w:left w:w="57" w:type="dxa"/>
          <w:right w:w="57" w:type="dxa"/>
        </w:tblCellMar>
        <w:tblLook w:val="04A0" w:firstRow="1" w:lastRow="0" w:firstColumn="1" w:lastColumn="0" w:noHBand="0" w:noVBand="1"/>
      </w:tblPr>
      <w:tblGrid>
        <w:gridCol w:w="2359"/>
        <w:gridCol w:w="1400"/>
        <w:gridCol w:w="1125"/>
        <w:gridCol w:w="1125"/>
        <w:gridCol w:w="1125"/>
        <w:gridCol w:w="1125"/>
        <w:gridCol w:w="1125"/>
        <w:gridCol w:w="1125"/>
        <w:gridCol w:w="1125"/>
        <w:gridCol w:w="1687"/>
      </w:tblGrid>
      <w:tr w:rsidR="00504E07" w:rsidRPr="00582CFC" w14:paraId="541358F5" w14:textId="77777777" w:rsidTr="00504E07">
        <w:tc>
          <w:tcPr>
            <w:tcW w:w="2359" w:type="dxa"/>
            <w:tcBorders>
              <w:bottom w:val="nil"/>
            </w:tcBorders>
          </w:tcPr>
          <w:p w14:paraId="43607010" w14:textId="77777777" w:rsidR="00504E07" w:rsidRPr="00582CFC" w:rsidRDefault="00504E07" w:rsidP="00504E07">
            <w:pPr>
              <w:keepNext/>
              <w:snapToGrid w:val="0"/>
              <w:spacing w:before="40" w:after="40"/>
              <w:jc w:val="left"/>
              <w:rPr>
                <w:rFonts w:ascii="Arial" w:hAnsi="Arial"/>
                <w:noProof/>
                <w:sz w:val="16"/>
                <w:szCs w:val="16"/>
                <w:lang w:val="en-GB"/>
              </w:rPr>
            </w:pPr>
          </w:p>
        </w:tc>
        <w:tc>
          <w:tcPr>
            <w:tcW w:w="1400" w:type="dxa"/>
          </w:tcPr>
          <w:p w14:paraId="65B7F246" w14:textId="77777777" w:rsidR="00504E07" w:rsidRPr="00582CFC" w:rsidRDefault="00504E07" w:rsidP="00504E07">
            <w:pPr>
              <w:keepNext/>
              <w:snapToGrid w:val="0"/>
              <w:spacing w:before="40" w:after="40"/>
              <w:jc w:val="center"/>
              <w:rPr>
                <w:rFonts w:ascii="Arial" w:hAnsi="Arial"/>
                <w:b/>
                <w:noProof/>
                <w:sz w:val="16"/>
                <w:szCs w:val="16"/>
                <w:lang w:val="en-GB"/>
              </w:rPr>
            </w:pPr>
            <w:r w:rsidRPr="00582CFC">
              <w:rPr>
                <w:rFonts w:ascii="Arial" w:hAnsi="Arial"/>
                <w:b/>
                <w:noProof/>
                <w:sz w:val="16"/>
                <w:szCs w:val="16"/>
                <w:lang w:val="en-GB"/>
              </w:rPr>
              <w:t>Screening phase</w:t>
            </w:r>
          </w:p>
        </w:tc>
        <w:tc>
          <w:tcPr>
            <w:tcW w:w="7875" w:type="dxa"/>
            <w:gridSpan w:val="7"/>
            <w:tcBorders>
              <w:right w:val="double" w:sz="4" w:space="0" w:color="auto"/>
            </w:tcBorders>
          </w:tcPr>
          <w:p w14:paraId="5CD646D0" w14:textId="77777777" w:rsidR="00504E07" w:rsidRPr="00582CFC" w:rsidRDefault="00504E07" w:rsidP="00504E07">
            <w:pPr>
              <w:keepNext/>
              <w:snapToGrid w:val="0"/>
              <w:spacing w:before="40" w:after="40"/>
              <w:jc w:val="center"/>
              <w:rPr>
                <w:rFonts w:ascii="Arial" w:hAnsi="Arial"/>
                <w:b/>
                <w:sz w:val="16"/>
                <w:szCs w:val="16"/>
                <w:lang w:val="en-GB"/>
              </w:rPr>
            </w:pPr>
            <w:r w:rsidRPr="00582CFC">
              <w:rPr>
                <w:rFonts w:ascii="Arial" w:hAnsi="Arial"/>
                <w:b/>
                <w:noProof/>
                <w:sz w:val="16"/>
                <w:szCs w:val="16"/>
                <w:lang w:val="en-GB"/>
              </w:rPr>
              <w:t>Treatment phase</w:t>
            </w:r>
          </w:p>
        </w:tc>
        <w:tc>
          <w:tcPr>
            <w:tcW w:w="1687" w:type="dxa"/>
            <w:tcBorders>
              <w:left w:val="double" w:sz="4" w:space="0" w:color="auto"/>
            </w:tcBorders>
          </w:tcPr>
          <w:p w14:paraId="23677C2C" w14:textId="77777777" w:rsidR="00504E07" w:rsidRPr="00582CFC" w:rsidRDefault="00504E07" w:rsidP="00504E07">
            <w:pPr>
              <w:keepNext/>
              <w:snapToGrid w:val="0"/>
              <w:spacing w:before="40" w:after="40"/>
              <w:jc w:val="center"/>
              <w:rPr>
                <w:rFonts w:ascii="Arial" w:hAnsi="Arial"/>
                <w:bCs/>
                <w:sz w:val="16"/>
                <w:szCs w:val="16"/>
                <w:lang w:val="en-GB"/>
              </w:rPr>
            </w:pPr>
            <w:r w:rsidRPr="00582CFC">
              <w:rPr>
                <w:rFonts w:ascii="Arial" w:hAnsi="Arial"/>
                <w:b/>
                <w:noProof/>
                <w:sz w:val="16"/>
                <w:szCs w:val="16"/>
                <w:lang w:val="en-GB"/>
              </w:rPr>
              <w:t>Follow-up</w:t>
            </w:r>
          </w:p>
        </w:tc>
      </w:tr>
      <w:tr w:rsidR="00504E07" w:rsidRPr="00582CFC" w14:paraId="3C9A5989" w14:textId="77777777" w:rsidTr="00504E07">
        <w:tc>
          <w:tcPr>
            <w:tcW w:w="2359" w:type="dxa"/>
            <w:tcBorders>
              <w:top w:val="nil"/>
              <w:bottom w:val="nil"/>
            </w:tcBorders>
          </w:tcPr>
          <w:p w14:paraId="054898F5" w14:textId="77777777" w:rsidR="00504E07" w:rsidRPr="00582CFC" w:rsidRDefault="00504E07" w:rsidP="00504E07">
            <w:pPr>
              <w:keepNext/>
              <w:snapToGrid w:val="0"/>
              <w:spacing w:before="40" w:after="40"/>
              <w:jc w:val="left"/>
              <w:rPr>
                <w:rFonts w:ascii="Arial" w:hAnsi="Arial"/>
                <w:noProof/>
                <w:sz w:val="16"/>
                <w:szCs w:val="16"/>
                <w:lang w:val="en-GB"/>
              </w:rPr>
            </w:pPr>
          </w:p>
        </w:tc>
        <w:tc>
          <w:tcPr>
            <w:tcW w:w="1400" w:type="dxa"/>
            <w:vAlign w:val="center"/>
          </w:tcPr>
          <w:p w14:paraId="4D209C56" w14:textId="77777777" w:rsidR="00504E07" w:rsidRPr="00582CFC" w:rsidRDefault="00504E07" w:rsidP="00504E07">
            <w:pPr>
              <w:keepNext/>
              <w:snapToGrid w:val="0"/>
              <w:spacing w:before="40" w:after="40"/>
              <w:jc w:val="center"/>
              <w:rPr>
                <w:rFonts w:ascii="Arial" w:hAnsi="Arial"/>
                <w:sz w:val="16"/>
                <w:szCs w:val="16"/>
                <w:lang w:val="en-GB"/>
              </w:rPr>
            </w:pPr>
            <w:r w:rsidRPr="00582CFC">
              <w:rPr>
                <w:rFonts w:ascii="Arial" w:hAnsi="Arial"/>
                <w:b/>
                <w:noProof/>
                <w:sz w:val="16"/>
                <w:szCs w:val="16"/>
                <w:lang w:val="en-GB"/>
              </w:rPr>
              <w:t>Visit 1</w:t>
            </w:r>
            <w:r w:rsidRPr="00582CFC">
              <w:rPr>
                <w:rFonts w:ascii="Arial" w:hAnsi="Arial"/>
                <w:b/>
                <w:noProof/>
                <w:sz w:val="16"/>
                <w:szCs w:val="16"/>
                <w:lang w:val="en-GB"/>
              </w:rPr>
              <w:br/>
              <w:t xml:space="preserve">Screening </w:t>
            </w:r>
            <w:r w:rsidRPr="00582CFC">
              <w:rPr>
                <w:rFonts w:ascii="Arial" w:hAnsi="Arial"/>
                <w:b/>
                <w:noProof/>
                <w:sz w:val="16"/>
                <w:szCs w:val="16"/>
                <w:lang w:val="en-GB"/>
              </w:rPr>
              <w:br/>
            </w:r>
            <w:r w:rsidRPr="00582CFC">
              <w:rPr>
                <w:rFonts w:ascii="Arial" w:hAnsi="Arial"/>
                <w:noProof/>
                <w:sz w:val="16"/>
                <w:szCs w:val="16"/>
                <w:lang w:val="en-GB"/>
              </w:rPr>
              <w:t>1–14 day(s) before Day 1)</w:t>
            </w:r>
          </w:p>
        </w:tc>
        <w:tc>
          <w:tcPr>
            <w:tcW w:w="2250" w:type="dxa"/>
            <w:gridSpan w:val="2"/>
            <w:tcBorders>
              <w:bottom w:val="single" w:sz="4" w:space="0" w:color="auto"/>
            </w:tcBorders>
            <w:vAlign w:val="center"/>
          </w:tcPr>
          <w:p w14:paraId="771A64F5" w14:textId="77777777" w:rsidR="00504E07" w:rsidRPr="00582CFC" w:rsidRDefault="00504E07" w:rsidP="00504E07">
            <w:pPr>
              <w:keepNext/>
              <w:snapToGrid w:val="0"/>
              <w:spacing w:before="40" w:after="40"/>
              <w:jc w:val="center"/>
              <w:rPr>
                <w:rFonts w:ascii="Arial" w:hAnsi="Arial"/>
                <w:sz w:val="16"/>
                <w:szCs w:val="16"/>
                <w:lang w:val="en-GB"/>
              </w:rPr>
            </w:pPr>
            <w:r w:rsidRPr="00582CFC">
              <w:rPr>
                <w:rFonts w:ascii="Arial" w:hAnsi="Arial"/>
                <w:b/>
                <w:sz w:val="16"/>
                <w:szCs w:val="16"/>
                <w:lang w:val="en-GB"/>
              </w:rPr>
              <w:t>Visit 2</w:t>
            </w:r>
            <w:r w:rsidRPr="00582CFC">
              <w:rPr>
                <w:rFonts w:ascii="Arial" w:hAnsi="Arial"/>
                <w:b/>
                <w:sz w:val="16"/>
                <w:szCs w:val="16"/>
                <w:lang w:val="en-GB"/>
              </w:rPr>
              <w:br/>
            </w:r>
            <w:r w:rsidRPr="00582CFC">
              <w:rPr>
                <w:rFonts w:ascii="Arial" w:hAnsi="Arial"/>
                <w:sz w:val="16"/>
                <w:szCs w:val="16"/>
                <w:lang w:val="en-GB"/>
              </w:rPr>
              <w:t>(Day 1)</w:t>
            </w:r>
          </w:p>
        </w:tc>
        <w:tc>
          <w:tcPr>
            <w:tcW w:w="1125" w:type="dxa"/>
            <w:vAlign w:val="center"/>
          </w:tcPr>
          <w:p w14:paraId="4AA0036A" w14:textId="77777777" w:rsidR="00504E07" w:rsidRPr="00582CFC" w:rsidRDefault="00504E07" w:rsidP="00504E07">
            <w:pPr>
              <w:keepNext/>
              <w:snapToGrid w:val="0"/>
              <w:spacing w:before="40" w:after="40"/>
              <w:jc w:val="center"/>
              <w:rPr>
                <w:rFonts w:ascii="Arial" w:hAnsi="Arial"/>
                <w:color w:val="FF0000"/>
                <w:sz w:val="16"/>
                <w:szCs w:val="16"/>
                <w:lang w:val="en-GB"/>
              </w:rPr>
            </w:pPr>
            <w:r w:rsidRPr="00582CFC">
              <w:rPr>
                <w:rFonts w:ascii="Arial" w:hAnsi="Arial"/>
                <w:b/>
                <w:sz w:val="16"/>
                <w:szCs w:val="16"/>
                <w:lang w:val="en-GB"/>
              </w:rPr>
              <w:t>Visit 3</w:t>
            </w:r>
            <w:r w:rsidRPr="00582CFC">
              <w:rPr>
                <w:rFonts w:ascii="Arial" w:hAnsi="Arial"/>
                <w:b/>
                <w:sz w:val="16"/>
                <w:szCs w:val="16"/>
                <w:lang w:val="en-GB"/>
              </w:rPr>
              <w:br w:type="textWrapping" w:clear="all"/>
            </w:r>
            <w:r w:rsidRPr="00582CFC">
              <w:rPr>
                <w:rFonts w:ascii="Arial" w:hAnsi="Arial"/>
                <w:sz w:val="16"/>
                <w:szCs w:val="16"/>
                <w:lang w:val="en-GB"/>
              </w:rPr>
              <w:t>(Day 2)</w:t>
            </w:r>
          </w:p>
        </w:tc>
        <w:tc>
          <w:tcPr>
            <w:tcW w:w="2250" w:type="dxa"/>
            <w:gridSpan w:val="2"/>
            <w:tcBorders>
              <w:bottom w:val="single" w:sz="4" w:space="0" w:color="auto"/>
            </w:tcBorders>
            <w:vAlign w:val="center"/>
          </w:tcPr>
          <w:p w14:paraId="77AFCF73" w14:textId="77777777" w:rsidR="00504E07" w:rsidRPr="00582CFC" w:rsidRDefault="00504E07" w:rsidP="00504E07">
            <w:pPr>
              <w:keepNext/>
              <w:snapToGrid w:val="0"/>
              <w:spacing w:before="40" w:after="40"/>
              <w:jc w:val="center"/>
              <w:rPr>
                <w:rFonts w:ascii="Arial" w:hAnsi="Arial"/>
                <w:sz w:val="16"/>
                <w:szCs w:val="16"/>
                <w:lang w:val="en-GB"/>
              </w:rPr>
            </w:pPr>
            <w:r w:rsidRPr="00582CFC">
              <w:rPr>
                <w:rFonts w:ascii="Arial" w:hAnsi="Arial"/>
                <w:b/>
                <w:sz w:val="16"/>
                <w:szCs w:val="16"/>
                <w:lang w:val="en-GB"/>
              </w:rPr>
              <w:t>Visit 4</w:t>
            </w:r>
            <w:r w:rsidRPr="00582CFC">
              <w:rPr>
                <w:rFonts w:ascii="Arial" w:hAnsi="Arial"/>
                <w:b/>
                <w:sz w:val="16"/>
                <w:szCs w:val="16"/>
                <w:lang w:val="en-GB"/>
              </w:rPr>
              <w:br/>
            </w:r>
            <w:r w:rsidRPr="00582CFC">
              <w:rPr>
                <w:rFonts w:ascii="Arial" w:hAnsi="Arial"/>
                <w:bCs/>
                <w:sz w:val="16"/>
                <w:szCs w:val="16"/>
                <w:lang w:val="en-GB"/>
              </w:rPr>
              <w:t xml:space="preserve">(6 </w:t>
            </w:r>
            <w:r w:rsidRPr="00582CFC">
              <w:rPr>
                <w:rFonts w:ascii="Arial" w:hAnsi="Arial" w:cs="Arial"/>
                <w:bCs/>
                <w:sz w:val="16"/>
                <w:szCs w:val="16"/>
                <w:lang w:val="en-GB"/>
              </w:rPr>
              <w:t>±</w:t>
            </w:r>
            <w:r w:rsidRPr="00582CFC">
              <w:rPr>
                <w:rFonts w:ascii="Arial" w:hAnsi="Arial"/>
                <w:bCs/>
                <w:sz w:val="16"/>
                <w:szCs w:val="16"/>
                <w:lang w:val="en-GB"/>
              </w:rPr>
              <w:t xml:space="preserve"> 2 weeks after</w:t>
            </w:r>
            <w:r w:rsidRPr="00582CFC">
              <w:rPr>
                <w:rFonts w:ascii="Arial" w:hAnsi="Arial"/>
                <w:bCs/>
                <w:sz w:val="16"/>
                <w:szCs w:val="16"/>
                <w:lang w:val="en-GB"/>
              </w:rPr>
              <w:br/>
              <w:t>commencement of</w:t>
            </w:r>
            <w:r w:rsidRPr="00582CFC">
              <w:rPr>
                <w:rFonts w:ascii="Arial" w:hAnsi="Arial"/>
                <w:bCs/>
                <w:sz w:val="16"/>
                <w:szCs w:val="16"/>
                <w:lang w:val="en-GB"/>
              </w:rPr>
              <w:br/>
              <w:t>induction chemotherapy)</w:t>
            </w:r>
          </w:p>
        </w:tc>
        <w:tc>
          <w:tcPr>
            <w:tcW w:w="2250" w:type="dxa"/>
            <w:gridSpan w:val="2"/>
            <w:tcBorders>
              <w:bottom w:val="single" w:sz="4" w:space="0" w:color="auto"/>
              <w:right w:val="double" w:sz="4" w:space="0" w:color="auto"/>
            </w:tcBorders>
            <w:vAlign w:val="center"/>
          </w:tcPr>
          <w:p w14:paraId="2EB655BB" w14:textId="77777777" w:rsidR="00504E07" w:rsidRPr="00582CFC" w:rsidRDefault="00504E07" w:rsidP="00504E07">
            <w:pPr>
              <w:keepNext/>
              <w:snapToGrid w:val="0"/>
              <w:spacing w:before="40" w:after="40"/>
              <w:jc w:val="center"/>
              <w:rPr>
                <w:rFonts w:ascii="Arial" w:hAnsi="Arial"/>
                <w:sz w:val="16"/>
                <w:szCs w:val="16"/>
                <w:lang w:val="en-GB"/>
              </w:rPr>
            </w:pPr>
            <w:r w:rsidRPr="00582CFC">
              <w:rPr>
                <w:rFonts w:ascii="Arial" w:hAnsi="Arial"/>
                <w:b/>
                <w:sz w:val="16"/>
                <w:szCs w:val="16"/>
                <w:lang w:val="en-GB"/>
              </w:rPr>
              <w:t>Visit 5</w:t>
            </w:r>
            <w:r w:rsidRPr="00582CFC">
              <w:rPr>
                <w:rFonts w:ascii="Arial" w:hAnsi="Arial"/>
                <w:bCs/>
                <w:sz w:val="16"/>
                <w:szCs w:val="16"/>
                <w:lang w:val="en-GB"/>
              </w:rPr>
              <w:t>;</w:t>
            </w:r>
            <w:r w:rsidRPr="00582CFC">
              <w:rPr>
                <w:rFonts w:ascii="Arial" w:hAnsi="Arial"/>
                <w:bCs/>
                <w:sz w:val="16"/>
                <w:szCs w:val="16"/>
                <w:lang w:val="en-GB"/>
              </w:rPr>
              <w:br/>
              <w:t>(</w:t>
            </w:r>
            <w:r>
              <w:rPr>
                <w:rFonts w:ascii="Arial" w:hAnsi="Arial"/>
                <w:bCs/>
                <w:sz w:val="16"/>
                <w:szCs w:val="16"/>
                <w:lang w:val="en-GB"/>
              </w:rPr>
              <w:t>at end of</w:t>
            </w:r>
            <w:r w:rsidRPr="00582CFC">
              <w:rPr>
                <w:rFonts w:ascii="Arial" w:hAnsi="Arial"/>
                <w:bCs/>
                <w:sz w:val="16"/>
                <w:szCs w:val="16"/>
                <w:lang w:val="en-GB"/>
              </w:rPr>
              <w:t xml:space="preserve"> </w:t>
            </w:r>
            <w:proofErr w:type="spellStart"/>
            <w:r w:rsidRPr="00582CFC">
              <w:rPr>
                <w:rFonts w:ascii="Arial" w:hAnsi="Arial"/>
                <w:bCs/>
                <w:sz w:val="16"/>
                <w:szCs w:val="16"/>
                <w:lang w:val="en-GB"/>
              </w:rPr>
              <w:t>of</w:t>
            </w:r>
            <w:proofErr w:type="spellEnd"/>
            <w:r w:rsidRPr="00582CFC">
              <w:rPr>
                <w:rFonts w:ascii="Arial" w:hAnsi="Arial"/>
                <w:bCs/>
                <w:sz w:val="16"/>
                <w:szCs w:val="16"/>
                <w:lang w:val="en-GB"/>
              </w:rPr>
              <w:br/>
              <w:t>induction chemotherapy, Week 12–18)</w:t>
            </w:r>
          </w:p>
        </w:tc>
        <w:tc>
          <w:tcPr>
            <w:tcW w:w="1687" w:type="dxa"/>
            <w:tcBorders>
              <w:left w:val="double" w:sz="4" w:space="0" w:color="auto"/>
            </w:tcBorders>
            <w:vAlign w:val="center"/>
          </w:tcPr>
          <w:p w14:paraId="2403B097" w14:textId="77777777" w:rsidR="00504E07" w:rsidRPr="00582CFC" w:rsidRDefault="00504E07" w:rsidP="00504E07">
            <w:pPr>
              <w:keepNext/>
              <w:snapToGrid w:val="0"/>
              <w:spacing w:before="40" w:after="40"/>
              <w:jc w:val="center"/>
              <w:rPr>
                <w:rFonts w:ascii="Arial" w:hAnsi="Arial"/>
                <w:sz w:val="16"/>
                <w:szCs w:val="16"/>
                <w:lang w:val="en-GB"/>
              </w:rPr>
            </w:pPr>
            <w:r w:rsidRPr="00582CFC">
              <w:rPr>
                <w:rFonts w:ascii="Arial" w:hAnsi="Arial"/>
                <w:b/>
                <w:bCs/>
                <w:sz w:val="16"/>
                <w:szCs w:val="16"/>
                <w:lang w:val="en-GB"/>
              </w:rPr>
              <w:t>Visits 6, 7, 8, 9</w:t>
            </w:r>
            <w:r w:rsidRPr="00582CFC">
              <w:rPr>
                <w:rFonts w:ascii="Arial" w:hAnsi="Arial"/>
                <w:bCs/>
                <w:sz w:val="16"/>
                <w:szCs w:val="16"/>
                <w:lang w:val="en-GB"/>
              </w:rPr>
              <w:br/>
              <w:t>(starting 3 months after Visit 5 and then every 3 months)</w:t>
            </w:r>
          </w:p>
        </w:tc>
      </w:tr>
      <w:tr w:rsidR="00504E07" w:rsidRPr="00582CFC" w14:paraId="10C6D7BC" w14:textId="77777777" w:rsidTr="00504E07">
        <w:tc>
          <w:tcPr>
            <w:tcW w:w="2359" w:type="dxa"/>
            <w:tcBorders>
              <w:top w:val="nil"/>
              <w:bottom w:val="single" w:sz="4" w:space="0" w:color="auto"/>
            </w:tcBorders>
          </w:tcPr>
          <w:p w14:paraId="0869BDF5" w14:textId="77777777" w:rsidR="00504E07" w:rsidRPr="00582CFC" w:rsidRDefault="00504E07" w:rsidP="00504E07">
            <w:pPr>
              <w:keepNext/>
              <w:snapToGrid w:val="0"/>
              <w:spacing w:before="40" w:after="40"/>
              <w:jc w:val="left"/>
              <w:rPr>
                <w:rFonts w:ascii="Arial" w:hAnsi="Arial"/>
                <w:noProof/>
                <w:sz w:val="16"/>
                <w:szCs w:val="16"/>
                <w:lang w:val="en-GB"/>
              </w:rPr>
            </w:pPr>
          </w:p>
        </w:tc>
        <w:tc>
          <w:tcPr>
            <w:tcW w:w="1400" w:type="dxa"/>
            <w:tcBorders>
              <w:bottom w:val="single" w:sz="4" w:space="0" w:color="auto"/>
            </w:tcBorders>
            <w:vAlign w:val="center"/>
          </w:tcPr>
          <w:p w14:paraId="5BA903AB"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clinical research unit (</w:t>
            </w:r>
            <w:r w:rsidRPr="00582CFC">
              <w:rPr>
                <w:rFonts w:ascii="Arial" w:hAnsi="Arial"/>
                <w:i/>
                <w:sz w:val="16"/>
                <w:szCs w:val="16"/>
                <w:lang w:val="en-GB"/>
              </w:rPr>
              <w:t>a</w:t>
            </w:r>
            <w:r w:rsidRPr="00582CFC">
              <w:rPr>
                <w:rFonts w:ascii="Arial" w:hAnsi="Arial"/>
                <w:sz w:val="16"/>
                <w:szCs w:val="16"/>
                <w:lang w:val="en-GB"/>
              </w:rPr>
              <w:t>)</w:t>
            </w:r>
          </w:p>
        </w:tc>
        <w:tc>
          <w:tcPr>
            <w:tcW w:w="1125" w:type="dxa"/>
            <w:tcBorders>
              <w:bottom w:val="single" w:sz="4" w:space="0" w:color="auto"/>
              <w:right w:val="single" w:sz="4" w:space="0" w:color="BFBFBF" w:themeColor="background1" w:themeShade="BF"/>
            </w:tcBorders>
            <w:vAlign w:val="center"/>
          </w:tcPr>
          <w:p w14:paraId="7DFEA2A4"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nuclear med. dept.</w:t>
            </w:r>
          </w:p>
        </w:tc>
        <w:tc>
          <w:tcPr>
            <w:tcW w:w="1125" w:type="dxa"/>
            <w:tcBorders>
              <w:left w:val="single" w:sz="4" w:space="0" w:color="BFBFBF" w:themeColor="background1" w:themeShade="BF"/>
              <w:bottom w:val="single" w:sz="4" w:space="0" w:color="auto"/>
            </w:tcBorders>
            <w:vAlign w:val="center"/>
          </w:tcPr>
          <w:p w14:paraId="2CB26085"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radiology dept.</w:t>
            </w:r>
          </w:p>
        </w:tc>
        <w:tc>
          <w:tcPr>
            <w:tcW w:w="1125" w:type="dxa"/>
            <w:tcBorders>
              <w:bottom w:val="single" w:sz="4" w:space="0" w:color="auto"/>
            </w:tcBorders>
            <w:vAlign w:val="center"/>
          </w:tcPr>
          <w:p w14:paraId="522D9A5E"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CRU (a)</w:t>
            </w:r>
          </w:p>
        </w:tc>
        <w:tc>
          <w:tcPr>
            <w:tcW w:w="1125" w:type="dxa"/>
            <w:tcBorders>
              <w:bottom w:val="single" w:sz="4" w:space="0" w:color="auto"/>
              <w:right w:val="single" w:sz="4" w:space="0" w:color="BFBFBF" w:themeColor="background1" w:themeShade="BF"/>
            </w:tcBorders>
            <w:vAlign w:val="center"/>
          </w:tcPr>
          <w:p w14:paraId="3A87F000"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nuclear med. dept.</w:t>
            </w:r>
          </w:p>
        </w:tc>
        <w:tc>
          <w:tcPr>
            <w:tcW w:w="1125" w:type="dxa"/>
            <w:tcBorders>
              <w:left w:val="single" w:sz="4" w:space="0" w:color="BFBFBF" w:themeColor="background1" w:themeShade="BF"/>
              <w:bottom w:val="single" w:sz="4" w:space="0" w:color="auto"/>
            </w:tcBorders>
            <w:vAlign w:val="center"/>
          </w:tcPr>
          <w:p w14:paraId="0C0F0067"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radiology dept.</w:t>
            </w:r>
          </w:p>
        </w:tc>
        <w:tc>
          <w:tcPr>
            <w:tcW w:w="1125" w:type="dxa"/>
            <w:tcBorders>
              <w:bottom w:val="single" w:sz="4" w:space="0" w:color="auto"/>
              <w:right w:val="single" w:sz="4" w:space="0" w:color="BFBFBF" w:themeColor="background1" w:themeShade="BF"/>
            </w:tcBorders>
            <w:vAlign w:val="center"/>
          </w:tcPr>
          <w:p w14:paraId="368F1F13"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nuclear med. dept.</w:t>
            </w:r>
          </w:p>
        </w:tc>
        <w:tc>
          <w:tcPr>
            <w:tcW w:w="1125" w:type="dxa"/>
            <w:tcBorders>
              <w:left w:val="single" w:sz="4" w:space="0" w:color="BFBFBF" w:themeColor="background1" w:themeShade="BF"/>
              <w:bottom w:val="single" w:sz="4" w:space="0" w:color="auto"/>
              <w:right w:val="double" w:sz="4" w:space="0" w:color="auto"/>
            </w:tcBorders>
            <w:vAlign w:val="center"/>
          </w:tcPr>
          <w:p w14:paraId="2BA7E376"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radiology dept.</w:t>
            </w:r>
          </w:p>
        </w:tc>
        <w:tc>
          <w:tcPr>
            <w:tcW w:w="1687" w:type="dxa"/>
            <w:tcBorders>
              <w:left w:val="double" w:sz="4" w:space="0" w:color="auto"/>
              <w:bottom w:val="single" w:sz="4" w:space="0" w:color="auto"/>
            </w:tcBorders>
            <w:vAlign w:val="center"/>
          </w:tcPr>
          <w:p w14:paraId="62CDEB40"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szCs w:val="16"/>
                <w:lang w:val="en-GB"/>
              </w:rPr>
              <w:t>At radiology dept.</w:t>
            </w:r>
          </w:p>
        </w:tc>
      </w:tr>
      <w:tr w:rsidR="00504E07" w:rsidRPr="00582CFC" w14:paraId="310C6BE2" w14:textId="77777777" w:rsidTr="00504E07">
        <w:tc>
          <w:tcPr>
            <w:tcW w:w="2359" w:type="dxa"/>
            <w:tcBorders>
              <w:bottom w:val="single" w:sz="4" w:space="0" w:color="BFBFBF" w:themeColor="background1" w:themeShade="BF"/>
            </w:tcBorders>
          </w:tcPr>
          <w:p w14:paraId="374F06D6"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sz w:val="16"/>
                <w:lang w:val="en-GB"/>
              </w:rPr>
              <w:t>Patient's informed consent (</w:t>
            </w:r>
            <w:r w:rsidRPr="00582CFC">
              <w:rPr>
                <w:rFonts w:ascii="Arial" w:hAnsi="Arial"/>
                <w:i/>
                <w:sz w:val="16"/>
                <w:lang w:val="en-GB"/>
              </w:rPr>
              <w:t>b</w:t>
            </w:r>
            <w:r w:rsidRPr="00582CFC">
              <w:rPr>
                <w:rFonts w:ascii="Arial" w:hAnsi="Arial"/>
                <w:sz w:val="16"/>
                <w:lang w:val="en-GB"/>
              </w:rPr>
              <w:t>)</w:t>
            </w:r>
          </w:p>
        </w:tc>
        <w:tc>
          <w:tcPr>
            <w:tcW w:w="1400" w:type="dxa"/>
            <w:tcBorders>
              <w:bottom w:val="single" w:sz="4" w:space="0" w:color="BFBFBF" w:themeColor="background1" w:themeShade="BF"/>
            </w:tcBorders>
          </w:tcPr>
          <w:p w14:paraId="6DC61AC7"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bottom w:val="single" w:sz="4" w:space="0" w:color="BFBFBF" w:themeColor="background1" w:themeShade="BF"/>
              <w:right w:val="single" w:sz="4" w:space="0" w:color="A6A6A6" w:themeColor="background1" w:themeShade="A6"/>
            </w:tcBorders>
          </w:tcPr>
          <w:p w14:paraId="63FE38B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left w:val="single" w:sz="4" w:space="0" w:color="A6A6A6" w:themeColor="background1" w:themeShade="A6"/>
              <w:bottom w:val="single" w:sz="4" w:space="0" w:color="BFBFBF" w:themeColor="background1" w:themeShade="BF"/>
            </w:tcBorders>
          </w:tcPr>
          <w:p w14:paraId="2AD3424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bottom w:val="single" w:sz="4" w:space="0" w:color="BFBFBF" w:themeColor="background1" w:themeShade="BF"/>
            </w:tcBorders>
          </w:tcPr>
          <w:p w14:paraId="05A1E680"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bottom w:val="single" w:sz="4" w:space="0" w:color="BFBFBF" w:themeColor="background1" w:themeShade="BF"/>
              <w:right w:val="single" w:sz="4" w:space="0" w:color="A6A6A6" w:themeColor="background1" w:themeShade="A6"/>
            </w:tcBorders>
          </w:tcPr>
          <w:p w14:paraId="2F146E0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left w:val="single" w:sz="4" w:space="0" w:color="A6A6A6" w:themeColor="background1" w:themeShade="A6"/>
              <w:bottom w:val="single" w:sz="4" w:space="0" w:color="BFBFBF" w:themeColor="background1" w:themeShade="BF"/>
            </w:tcBorders>
          </w:tcPr>
          <w:p w14:paraId="3DCDDED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bottom w:val="single" w:sz="4" w:space="0" w:color="BFBFBF" w:themeColor="background1" w:themeShade="BF"/>
              <w:right w:val="single" w:sz="4" w:space="0" w:color="A6A6A6" w:themeColor="background1" w:themeShade="A6"/>
            </w:tcBorders>
          </w:tcPr>
          <w:p w14:paraId="1DEB4902"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left w:val="single" w:sz="4" w:space="0" w:color="A6A6A6" w:themeColor="background1" w:themeShade="A6"/>
              <w:bottom w:val="single" w:sz="4" w:space="0" w:color="BFBFBF" w:themeColor="background1" w:themeShade="BF"/>
              <w:right w:val="double" w:sz="4" w:space="0" w:color="auto"/>
            </w:tcBorders>
          </w:tcPr>
          <w:p w14:paraId="665C9636"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left w:val="double" w:sz="4" w:space="0" w:color="auto"/>
              <w:bottom w:val="single" w:sz="4" w:space="0" w:color="BFBFBF" w:themeColor="background1" w:themeShade="BF"/>
            </w:tcBorders>
          </w:tcPr>
          <w:p w14:paraId="08FB7036"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1AE04FCB" w14:textId="77777777" w:rsidTr="00504E07">
        <w:tc>
          <w:tcPr>
            <w:tcW w:w="2359" w:type="dxa"/>
            <w:tcBorders>
              <w:top w:val="single" w:sz="4" w:space="0" w:color="BFBFBF" w:themeColor="background1" w:themeShade="BF"/>
              <w:bottom w:val="single" w:sz="4" w:space="0" w:color="BFBFBF" w:themeColor="background1" w:themeShade="BF"/>
            </w:tcBorders>
          </w:tcPr>
          <w:p w14:paraId="449393A5"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Inclusion/exclusion criteria</w:t>
            </w:r>
          </w:p>
        </w:tc>
        <w:tc>
          <w:tcPr>
            <w:tcW w:w="1400" w:type="dxa"/>
            <w:tcBorders>
              <w:top w:val="single" w:sz="4" w:space="0" w:color="BFBFBF" w:themeColor="background1" w:themeShade="BF"/>
              <w:bottom w:val="single" w:sz="4" w:space="0" w:color="BFBFBF" w:themeColor="background1" w:themeShade="BF"/>
            </w:tcBorders>
          </w:tcPr>
          <w:p w14:paraId="6C93F2E9"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2DAC9E9"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1E80AD76"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498B5C1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258AF22"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1F43577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7580095C"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4BF4130B"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6D8B7A50"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58F80251" w14:textId="77777777" w:rsidTr="00504E07">
        <w:tc>
          <w:tcPr>
            <w:tcW w:w="2359" w:type="dxa"/>
            <w:tcBorders>
              <w:top w:val="single" w:sz="4" w:space="0" w:color="BFBFBF" w:themeColor="background1" w:themeShade="BF"/>
              <w:bottom w:val="single" w:sz="4" w:space="0" w:color="BFBFBF" w:themeColor="background1" w:themeShade="BF"/>
            </w:tcBorders>
          </w:tcPr>
          <w:p w14:paraId="2A61D49F"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Demographic data</w:t>
            </w:r>
          </w:p>
        </w:tc>
        <w:tc>
          <w:tcPr>
            <w:tcW w:w="1400" w:type="dxa"/>
            <w:tcBorders>
              <w:top w:val="single" w:sz="4" w:space="0" w:color="BFBFBF" w:themeColor="background1" w:themeShade="BF"/>
              <w:bottom w:val="single" w:sz="4" w:space="0" w:color="BFBFBF" w:themeColor="background1" w:themeShade="BF"/>
            </w:tcBorders>
          </w:tcPr>
          <w:p w14:paraId="0626A23F"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132AED22"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70D7E53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2580CA0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58D3CCD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5066C4A0"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11920A8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2AAA1C02"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5B013917"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75161955" w14:textId="77777777" w:rsidTr="00504E07">
        <w:tc>
          <w:tcPr>
            <w:tcW w:w="2359" w:type="dxa"/>
            <w:tcBorders>
              <w:top w:val="single" w:sz="4" w:space="0" w:color="BFBFBF" w:themeColor="background1" w:themeShade="BF"/>
              <w:bottom w:val="single" w:sz="4" w:space="0" w:color="BFBFBF" w:themeColor="background1" w:themeShade="BF"/>
            </w:tcBorders>
          </w:tcPr>
          <w:p w14:paraId="3D7DCAE6"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Pregnancy test (</w:t>
            </w:r>
            <w:r w:rsidRPr="00582CFC">
              <w:rPr>
                <w:rFonts w:ascii="Arial" w:hAnsi="Arial"/>
                <w:i/>
                <w:noProof/>
                <w:sz w:val="16"/>
                <w:szCs w:val="16"/>
                <w:lang w:val="en-GB"/>
              </w:rPr>
              <w:t>c</w:t>
            </w:r>
            <w:r w:rsidRPr="00582CFC">
              <w:rPr>
                <w:rFonts w:ascii="Arial" w:hAnsi="Arial"/>
                <w:noProof/>
                <w:sz w:val="16"/>
                <w:szCs w:val="16"/>
                <w:lang w:val="en-GB"/>
              </w:rPr>
              <w:t>)</w:t>
            </w:r>
          </w:p>
        </w:tc>
        <w:tc>
          <w:tcPr>
            <w:tcW w:w="1400" w:type="dxa"/>
            <w:tcBorders>
              <w:top w:val="single" w:sz="4" w:space="0" w:color="BFBFBF" w:themeColor="background1" w:themeShade="BF"/>
              <w:bottom w:val="single" w:sz="4" w:space="0" w:color="BFBFBF" w:themeColor="background1" w:themeShade="BF"/>
            </w:tcBorders>
          </w:tcPr>
          <w:p w14:paraId="1DDD9B7E"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59A3049E"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5DF5050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1BCFB3E5"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A35087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2F91D65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8D92BD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0E739539"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03307571"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13104017" w14:textId="77777777" w:rsidTr="00504E07">
        <w:tc>
          <w:tcPr>
            <w:tcW w:w="2359" w:type="dxa"/>
            <w:tcBorders>
              <w:top w:val="single" w:sz="4" w:space="0" w:color="BFBFBF" w:themeColor="background1" w:themeShade="BF"/>
              <w:bottom w:val="single" w:sz="4" w:space="0" w:color="BFBFBF" w:themeColor="background1" w:themeShade="BF"/>
            </w:tcBorders>
          </w:tcPr>
          <w:p w14:paraId="6BD6D54E"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Medical history</w:t>
            </w:r>
          </w:p>
        </w:tc>
        <w:tc>
          <w:tcPr>
            <w:tcW w:w="1400" w:type="dxa"/>
            <w:tcBorders>
              <w:top w:val="single" w:sz="4" w:space="0" w:color="BFBFBF" w:themeColor="background1" w:themeShade="BF"/>
              <w:bottom w:val="single" w:sz="4" w:space="0" w:color="BFBFBF" w:themeColor="background1" w:themeShade="BF"/>
            </w:tcBorders>
          </w:tcPr>
          <w:p w14:paraId="2BC1F2D2"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4A8D21E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235A7CE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61775A0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3AC6894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6D8D397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5DE3624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773F0168"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4725E007"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0D755CD1" w14:textId="77777777" w:rsidTr="00504E07">
        <w:tc>
          <w:tcPr>
            <w:tcW w:w="2359" w:type="dxa"/>
            <w:tcBorders>
              <w:top w:val="single" w:sz="4" w:space="0" w:color="BFBFBF" w:themeColor="background1" w:themeShade="BF"/>
              <w:bottom w:val="single" w:sz="4" w:space="0" w:color="BFBFBF" w:themeColor="background1" w:themeShade="BF"/>
            </w:tcBorders>
          </w:tcPr>
          <w:p w14:paraId="71777A22"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sz w:val="16"/>
                <w:lang w:val="en-GB"/>
              </w:rPr>
              <w:t>Height</w:t>
            </w:r>
          </w:p>
        </w:tc>
        <w:tc>
          <w:tcPr>
            <w:tcW w:w="1400" w:type="dxa"/>
            <w:tcBorders>
              <w:top w:val="single" w:sz="4" w:space="0" w:color="BFBFBF" w:themeColor="background1" w:themeShade="BF"/>
              <w:bottom w:val="single" w:sz="4" w:space="0" w:color="BFBFBF" w:themeColor="background1" w:themeShade="BF"/>
            </w:tcBorders>
          </w:tcPr>
          <w:p w14:paraId="0F956B02"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7236DA8E"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3D6B6795"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5C718B7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B00CB0C"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387A4B46"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46A693F2"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7F868ABE"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6785A770"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03C56997" w14:textId="77777777" w:rsidTr="00504E07">
        <w:tc>
          <w:tcPr>
            <w:tcW w:w="2359" w:type="dxa"/>
            <w:tcBorders>
              <w:top w:val="single" w:sz="4" w:space="0" w:color="BFBFBF" w:themeColor="background1" w:themeShade="BF"/>
              <w:bottom w:val="single" w:sz="4" w:space="0" w:color="BFBFBF" w:themeColor="background1" w:themeShade="BF"/>
            </w:tcBorders>
          </w:tcPr>
          <w:p w14:paraId="6A766B54"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sz w:val="16"/>
                <w:lang w:val="en-GB"/>
              </w:rPr>
              <w:t>Weight</w:t>
            </w:r>
          </w:p>
        </w:tc>
        <w:tc>
          <w:tcPr>
            <w:tcW w:w="1400" w:type="dxa"/>
            <w:tcBorders>
              <w:top w:val="single" w:sz="4" w:space="0" w:color="BFBFBF" w:themeColor="background1" w:themeShade="BF"/>
              <w:bottom w:val="single" w:sz="4" w:space="0" w:color="BFBFBF" w:themeColor="background1" w:themeShade="BF"/>
            </w:tcBorders>
          </w:tcPr>
          <w:p w14:paraId="5C007890"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191E209B"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33D58A30"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22232FE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3AF169F0"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5A79FEC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15308D16"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02A14895"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006A2977"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2BFD6188" w14:textId="77777777" w:rsidTr="00504E07">
        <w:trPr>
          <w:trHeight w:val="68"/>
        </w:trPr>
        <w:tc>
          <w:tcPr>
            <w:tcW w:w="2359" w:type="dxa"/>
            <w:tcBorders>
              <w:top w:val="single" w:sz="4" w:space="0" w:color="BFBFBF" w:themeColor="background1" w:themeShade="BF"/>
              <w:bottom w:val="single" w:sz="4" w:space="0" w:color="BFBFBF" w:themeColor="background1" w:themeShade="BF"/>
            </w:tcBorders>
          </w:tcPr>
          <w:p w14:paraId="47708889"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Concomitant med. checked (</w:t>
            </w:r>
            <w:r w:rsidRPr="00582CFC">
              <w:rPr>
                <w:rFonts w:ascii="Arial" w:hAnsi="Arial"/>
                <w:i/>
                <w:noProof/>
                <w:sz w:val="16"/>
                <w:szCs w:val="16"/>
                <w:lang w:val="en-GB"/>
              </w:rPr>
              <w:t>d</w:t>
            </w:r>
            <w:r w:rsidRPr="00582CFC">
              <w:rPr>
                <w:rFonts w:ascii="Arial" w:hAnsi="Arial"/>
                <w:noProof/>
                <w:sz w:val="16"/>
                <w:szCs w:val="16"/>
                <w:lang w:val="en-GB"/>
              </w:rPr>
              <w:t>)</w:t>
            </w:r>
          </w:p>
        </w:tc>
        <w:tc>
          <w:tcPr>
            <w:tcW w:w="1400" w:type="dxa"/>
            <w:tcBorders>
              <w:top w:val="single" w:sz="4" w:space="0" w:color="BFBFBF" w:themeColor="background1" w:themeShade="BF"/>
              <w:bottom w:val="single" w:sz="4" w:space="0" w:color="BFBFBF" w:themeColor="background1" w:themeShade="BF"/>
            </w:tcBorders>
          </w:tcPr>
          <w:p w14:paraId="4332CFCF"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F5B14AA"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343476C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5BBD92E6"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12B95CE5"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6C2D80C6"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28B225FD"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556830B4"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19214268"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706CA610" w14:textId="77777777" w:rsidTr="00504E07">
        <w:trPr>
          <w:trHeight w:val="163"/>
        </w:trPr>
        <w:tc>
          <w:tcPr>
            <w:tcW w:w="2359" w:type="dxa"/>
            <w:tcBorders>
              <w:top w:val="single" w:sz="4" w:space="0" w:color="BFBFBF" w:themeColor="background1" w:themeShade="BF"/>
              <w:bottom w:val="single" w:sz="4" w:space="0" w:color="BFBFBF" w:themeColor="background1" w:themeShade="BF"/>
            </w:tcBorders>
          </w:tcPr>
          <w:p w14:paraId="32935867"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Sampling for laboratory (</w:t>
            </w:r>
            <w:r w:rsidRPr="00582CFC">
              <w:rPr>
                <w:rFonts w:ascii="Arial" w:hAnsi="Arial"/>
                <w:i/>
                <w:noProof/>
                <w:sz w:val="16"/>
                <w:szCs w:val="16"/>
                <w:lang w:val="en-GB"/>
              </w:rPr>
              <w:t>e</w:t>
            </w:r>
            <w:r w:rsidRPr="00582CFC">
              <w:rPr>
                <w:rFonts w:ascii="Arial" w:hAnsi="Arial"/>
                <w:noProof/>
                <w:sz w:val="16"/>
                <w:szCs w:val="16"/>
                <w:lang w:val="en-GB"/>
              </w:rPr>
              <w:t>)</w:t>
            </w:r>
          </w:p>
        </w:tc>
        <w:tc>
          <w:tcPr>
            <w:tcW w:w="1400" w:type="dxa"/>
            <w:tcBorders>
              <w:top w:val="single" w:sz="4" w:space="0" w:color="BFBFBF" w:themeColor="background1" w:themeShade="BF"/>
              <w:bottom w:val="single" w:sz="4" w:space="0" w:color="BFBFBF" w:themeColor="background1" w:themeShade="BF"/>
            </w:tcBorders>
          </w:tcPr>
          <w:p w14:paraId="59B33185"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4A7FADCE"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1F3BA6A8"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4E75474F" w14:textId="77777777" w:rsidR="00504E07" w:rsidRPr="00C6511E" w:rsidRDefault="00504E07" w:rsidP="00504E07">
            <w:pPr>
              <w:keepNext/>
              <w:snapToGrid w:val="0"/>
              <w:spacing w:before="40" w:after="40"/>
              <w:jc w:val="center"/>
              <w:rPr>
                <w:rFonts w:ascii="Arial" w:hAnsi="Arial"/>
                <w:sz w:val="16"/>
                <w:lang w:val="en-GB"/>
              </w:rPr>
            </w:pPr>
            <w:r w:rsidRPr="00C6511E">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43D7818"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4534F4C1"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1B9E6742"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26EC0BF8"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4893FD63"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37E17020" w14:textId="77777777" w:rsidTr="00504E07">
        <w:trPr>
          <w:trHeight w:val="163"/>
        </w:trPr>
        <w:tc>
          <w:tcPr>
            <w:tcW w:w="2359" w:type="dxa"/>
            <w:tcBorders>
              <w:top w:val="single" w:sz="4" w:space="0" w:color="BFBFBF" w:themeColor="background1" w:themeShade="BF"/>
              <w:bottom w:val="single" w:sz="4" w:space="0" w:color="BFBFBF" w:themeColor="background1" w:themeShade="BF"/>
            </w:tcBorders>
          </w:tcPr>
          <w:p w14:paraId="132BB19F" w14:textId="77777777" w:rsidR="00504E07" w:rsidRPr="00C6511E" w:rsidRDefault="00504E07" w:rsidP="00504E07">
            <w:pPr>
              <w:keepNext/>
              <w:snapToGrid w:val="0"/>
              <w:spacing w:before="40" w:after="40"/>
              <w:jc w:val="left"/>
              <w:rPr>
                <w:rFonts w:ascii="Arial" w:hAnsi="Arial"/>
                <w:noProof/>
                <w:sz w:val="16"/>
                <w:szCs w:val="16"/>
                <w:lang w:val="en-GB"/>
              </w:rPr>
            </w:pPr>
            <w:r w:rsidRPr="00C6511E">
              <w:rPr>
                <w:rFonts w:ascii="Arial" w:hAnsi="Arial"/>
                <w:noProof/>
                <w:sz w:val="16"/>
                <w:szCs w:val="16"/>
                <w:lang w:val="en-GB"/>
              </w:rPr>
              <w:t>Blood sample for genetics (</w:t>
            </w:r>
            <w:r w:rsidRPr="00C6511E">
              <w:rPr>
                <w:rFonts w:ascii="Arial" w:hAnsi="Arial"/>
                <w:i/>
                <w:noProof/>
                <w:sz w:val="16"/>
                <w:szCs w:val="16"/>
                <w:lang w:val="en-GB"/>
              </w:rPr>
              <w:t>f</w:t>
            </w:r>
            <w:r w:rsidRPr="00C6511E">
              <w:rPr>
                <w:rFonts w:ascii="Arial" w:hAnsi="Arial"/>
                <w:noProof/>
                <w:sz w:val="16"/>
                <w:szCs w:val="16"/>
                <w:lang w:val="en-GB"/>
              </w:rPr>
              <w:t>)</w:t>
            </w:r>
          </w:p>
        </w:tc>
        <w:tc>
          <w:tcPr>
            <w:tcW w:w="1400" w:type="dxa"/>
            <w:tcBorders>
              <w:top w:val="single" w:sz="4" w:space="0" w:color="BFBFBF" w:themeColor="background1" w:themeShade="BF"/>
              <w:bottom w:val="single" w:sz="4" w:space="0" w:color="BFBFBF" w:themeColor="background1" w:themeShade="BF"/>
            </w:tcBorders>
          </w:tcPr>
          <w:p w14:paraId="0E49D357" w14:textId="77777777" w:rsidR="00504E07" w:rsidRPr="00C6511E" w:rsidRDefault="00504E07" w:rsidP="00504E07">
            <w:pPr>
              <w:keepNext/>
              <w:snapToGrid w:val="0"/>
              <w:spacing w:before="40" w:after="40"/>
              <w:jc w:val="center"/>
              <w:rPr>
                <w:rFonts w:ascii="Arial" w:hAnsi="Arial"/>
                <w:sz w:val="16"/>
                <w:lang w:val="en-GB"/>
              </w:rPr>
            </w:pPr>
            <w:r>
              <w:rPr>
                <w:rFonts w:ascii="Arial" w:hAnsi="Arial"/>
                <w:sz w:val="16"/>
                <w:lang w:val="en-GB"/>
              </w:rPr>
              <w:t>(</w:t>
            </w:r>
            <w:r w:rsidRPr="00C6511E">
              <w:rPr>
                <w:rFonts w:ascii="Arial" w:hAnsi="Arial"/>
                <w:sz w:val="16"/>
                <w:lang w:val="en-GB"/>
              </w:rPr>
              <w:t>X</w:t>
            </w:r>
            <w:r>
              <w:rPr>
                <w:rFonts w:ascii="Arial" w:hAnsi="Arial"/>
                <w:sz w:val="16"/>
                <w:lang w:val="en-GB"/>
              </w:rPr>
              <w:t>)</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413D7B62" w14:textId="77777777" w:rsidR="00504E07" w:rsidRPr="00C6511E" w:rsidRDefault="00504E07" w:rsidP="00504E07">
            <w:pPr>
              <w:keepNext/>
              <w:snapToGrid w:val="0"/>
              <w:spacing w:before="40" w:after="40"/>
              <w:jc w:val="center"/>
              <w:rPr>
                <w:rFonts w:ascii="Arial" w:hAnsi="Arial"/>
                <w:sz w:val="16"/>
                <w:lang w:val="en-GB"/>
              </w:rPr>
            </w:pPr>
            <w:r>
              <w:rPr>
                <w:rFonts w:ascii="Arial" w:hAnsi="Arial"/>
                <w:sz w:val="16"/>
                <w:lang w:val="en-GB"/>
              </w:rPr>
              <w:t>(</w:t>
            </w:r>
            <w:r w:rsidRPr="00C6511E">
              <w:rPr>
                <w:rFonts w:ascii="Arial" w:hAnsi="Arial"/>
                <w:sz w:val="16"/>
                <w:lang w:val="en-GB"/>
              </w:rPr>
              <w:t>X</w:t>
            </w:r>
            <w:r>
              <w:rPr>
                <w:rFonts w:ascii="Arial" w:hAnsi="Arial"/>
                <w:sz w:val="16"/>
                <w:lang w:val="en-GB"/>
              </w:rPr>
              <w:t>)</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6EB3431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6E21465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0D950713" w14:textId="77777777" w:rsidR="00504E07" w:rsidRPr="00C6511E" w:rsidRDefault="00504E07" w:rsidP="00504E07">
            <w:pPr>
              <w:keepNext/>
              <w:snapToGrid w:val="0"/>
              <w:spacing w:before="40" w:after="40"/>
              <w:jc w:val="center"/>
              <w:rPr>
                <w:rFonts w:ascii="Arial" w:hAnsi="Arial"/>
                <w:sz w:val="16"/>
                <w:lang w:val="en-GB"/>
              </w:rPr>
            </w:pPr>
            <w:r>
              <w:rPr>
                <w:rFonts w:ascii="Arial" w:hAnsi="Arial"/>
                <w:sz w:val="16"/>
                <w:lang w:val="en-GB"/>
              </w:rPr>
              <w:t>(</w:t>
            </w:r>
            <w:r w:rsidRPr="00C6511E">
              <w:rPr>
                <w:rFonts w:ascii="Arial" w:hAnsi="Arial"/>
                <w:sz w:val="16"/>
                <w:lang w:val="en-GB"/>
              </w:rPr>
              <w:t>X</w:t>
            </w:r>
            <w:r>
              <w:rPr>
                <w:rFonts w:ascii="Arial" w:hAnsi="Arial"/>
                <w:sz w:val="16"/>
                <w:lang w:val="en-GB"/>
              </w:rPr>
              <w:t>)</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293D1AA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28353039" w14:textId="77777777" w:rsidR="00504E07" w:rsidRPr="00C6511E" w:rsidRDefault="00504E07" w:rsidP="00504E07">
            <w:pPr>
              <w:keepNext/>
              <w:snapToGrid w:val="0"/>
              <w:spacing w:before="40" w:after="40"/>
              <w:jc w:val="center"/>
              <w:rPr>
                <w:rFonts w:ascii="Arial" w:hAnsi="Arial"/>
                <w:sz w:val="16"/>
                <w:lang w:val="en-GB"/>
              </w:rPr>
            </w:pPr>
            <w:r>
              <w:rPr>
                <w:rFonts w:ascii="Arial" w:hAnsi="Arial"/>
                <w:sz w:val="16"/>
                <w:lang w:val="en-GB"/>
              </w:rPr>
              <w:t>(</w:t>
            </w:r>
            <w:r w:rsidRPr="00C6511E">
              <w:rPr>
                <w:rFonts w:ascii="Arial" w:hAnsi="Arial"/>
                <w:sz w:val="16"/>
                <w:lang w:val="en-GB"/>
              </w:rPr>
              <w:t>X</w:t>
            </w:r>
            <w:r>
              <w:rPr>
                <w:rFonts w:ascii="Arial" w:hAnsi="Arial"/>
                <w:sz w:val="16"/>
                <w:lang w:val="en-GB"/>
              </w:rPr>
              <w:t>)</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1B87B83A"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40B3416B" w14:textId="77777777" w:rsidR="00504E07" w:rsidRPr="00C6511E" w:rsidRDefault="00504E07" w:rsidP="00504E07">
            <w:pPr>
              <w:keepNext/>
              <w:snapToGrid w:val="0"/>
              <w:spacing w:before="40" w:after="40"/>
              <w:jc w:val="center"/>
              <w:rPr>
                <w:rFonts w:ascii="Arial" w:hAnsi="Arial"/>
                <w:sz w:val="16"/>
                <w:lang w:val="en-GB"/>
              </w:rPr>
            </w:pPr>
            <w:r>
              <w:rPr>
                <w:rFonts w:ascii="Arial" w:hAnsi="Arial"/>
                <w:sz w:val="16"/>
                <w:lang w:val="en-GB"/>
              </w:rPr>
              <w:t>(</w:t>
            </w:r>
            <w:r w:rsidRPr="00C6511E">
              <w:rPr>
                <w:rFonts w:ascii="Arial" w:hAnsi="Arial"/>
                <w:sz w:val="16"/>
                <w:lang w:val="en-GB"/>
              </w:rPr>
              <w:t>X</w:t>
            </w:r>
            <w:r>
              <w:rPr>
                <w:rFonts w:ascii="Arial" w:hAnsi="Arial"/>
                <w:sz w:val="16"/>
                <w:lang w:val="en-GB"/>
              </w:rPr>
              <w:t xml:space="preserve">) </w:t>
            </w:r>
            <w:r w:rsidRPr="00C6511E">
              <w:rPr>
                <w:rFonts w:ascii="Arial" w:hAnsi="Arial"/>
                <w:sz w:val="16"/>
                <w:lang w:val="en-GB"/>
              </w:rPr>
              <w:t>(Visit 7 only)</w:t>
            </w:r>
          </w:p>
        </w:tc>
      </w:tr>
      <w:tr w:rsidR="00504E07" w:rsidRPr="00582CFC" w14:paraId="24E3DE7A" w14:textId="77777777" w:rsidTr="00504E07">
        <w:trPr>
          <w:trHeight w:val="163"/>
        </w:trPr>
        <w:tc>
          <w:tcPr>
            <w:tcW w:w="2359" w:type="dxa"/>
            <w:tcBorders>
              <w:top w:val="single" w:sz="4" w:space="0" w:color="BFBFBF" w:themeColor="background1" w:themeShade="BF"/>
              <w:bottom w:val="single" w:sz="4" w:space="0" w:color="BFBFBF" w:themeColor="background1" w:themeShade="BF"/>
            </w:tcBorders>
          </w:tcPr>
          <w:p w14:paraId="5E9755B0"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Physical examination (</w:t>
            </w:r>
            <w:r w:rsidRPr="00582CFC">
              <w:rPr>
                <w:rFonts w:ascii="Arial" w:hAnsi="Arial"/>
                <w:i/>
                <w:noProof/>
                <w:sz w:val="16"/>
                <w:szCs w:val="16"/>
                <w:lang w:val="en-GB"/>
              </w:rPr>
              <w:t>g</w:t>
            </w:r>
            <w:r w:rsidRPr="00582CFC">
              <w:rPr>
                <w:rFonts w:ascii="Arial" w:hAnsi="Arial"/>
                <w:noProof/>
                <w:sz w:val="16"/>
                <w:szCs w:val="16"/>
                <w:lang w:val="en-GB"/>
              </w:rPr>
              <w:t>)</w:t>
            </w:r>
          </w:p>
        </w:tc>
        <w:tc>
          <w:tcPr>
            <w:tcW w:w="1400" w:type="dxa"/>
            <w:tcBorders>
              <w:top w:val="single" w:sz="4" w:space="0" w:color="BFBFBF" w:themeColor="background1" w:themeShade="BF"/>
              <w:bottom w:val="single" w:sz="4" w:space="0" w:color="BFBFBF" w:themeColor="background1" w:themeShade="BF"/>
            </w:tcBorders>
          </w:tcPr>
          <w:p w14:paraId="6EBF2783"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365BBFFB" w14:textId="77777777" w:rsidR="00504E07" w:rsidRPr="00C6511E" w:rsidRDefault="00504E07" w:rsidP="00504E07">
            <w:pPr>
              <w:keepNext/>
              <w:snapToGrid w:val="0"/>
              <w:spacing w:before="40" w:after="40"/>
              <w:jc w:val="center"/>
              <w:rPr>
                <w:rFonts w:ascii="Arial" w:hAnsi="Arial"/>
                <w:sz w:val="16"/>
                <w:lang w:val="en-GB"/>
              </w:rPr>
            </w:pPr>
            <w:r w:rsidRPr="00C6511E">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78E0CF88"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63867BF5"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394E410B" w14:textId="77777777" w:rsidR="00504E07" w:rsidRPr="00582CFC" w:rsidRDefault="00504E07" w:rsidP="00504E07">
            <w:pPr>
              <w:keepNext/>
              <w:snapToGrid w:val="0"/>
              <w:spacing w:before="40" w:after="40"/>
              <w:jc w:val="center"/>
              <w:rPr>
                <w:rFonts w:ascii="Arial" w:hAnsi="Arial"/>
                <w:sz w:val="16"/>
                <w:lang w:val="en-GB"/>
              </w:rPr>
            </w:pPr>
            <w:r>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tcBorders>
          </w:tcPr>
          <w:p w14:paraId="0A22111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right w:val="single" w:sz="4" w:space="0" w:color="A6A6A6" w:themeColor="background1" w:themeShade="A6"/>
            </w:tcBorders>
          </w:tcPr>
          <w:p w14:paraId="57F5C3B8"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left w:val="single" w:sz="4" w:space="0" w:color="A6A6A6" w:themeColor="background1" w:themeShade="A6"/>
              <w:bottom w:val="single" w:sz="4" w:space="0" w:color="BFBFBF" w:themeColor="background1" w:themeShade="BF"/>
              <w:right w:val="double" w:sz="4" w:space="0" w:color="auto"/>
            </w:tcBorders>
          </w:tcPr>
          <w:p w14:paraId="0A623E11"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75F3CBF1"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17C26D4C" w14:textId="77777777" w:rsidTr="00504E07">
        <w:tc>
          <w:tcPr>
            <w:tcW w:w="2359" w:type="dxa"/>
            <w:tcBorders>
              <w:top w:val="single" w:sz="2" w:space="0" w:color="auto"/>
              <w:bottom w:val="single" w:sz="4" w:space="0" w:color="BFBFBF" w:themeColor="background1" w:themeShade="BF"/>
            </w:tcBorders>
          </w:tcPr>
          <w:p w14:paraId="54DAC6F6" w14:textId="77777777" w:rsidR="00504E07" w:rsidRPr="00C6511E" w:rsidRDefault="00504E07" w:rsidP="00504E07">
            <w:pPr>
              <w:keepNext/>
              <w:snapToGrid w:val="0"/>
              <w:spacing w:before="40" w:after="40"/>
              <w:jc w:val="left"/>
              <w:rPr>
                <w:rFonts w:ascii="Arial" w:hAnsi="Arial"/>
                <w:noProof/>
                <w:sz w:val="16"/>
                <w:szCs w:val="16"/>
                <w:lang w:val="en-GB"/>
              </w:rPr>
            </w:pPr>
            <w:r w:rsidRPr="00C6511E">
              <w:rPr>
                <w:rFonts w:ascii="Arial" w:hAnsi="Arial"/>
                <w:noProof/>
                <w:sz w:val="16"/>
                <w:szCs w:val="16"/>
                <w:lang w:val="en-GB"/>
              </w:rPr>
              <w:t>CSF cytology (</w:t>
            </w:r>
            <w:r w:rsidRPr="00C6511E">
              <w:rPr>
                <w:rFonts w:ascii="Arial" w:hAnsi="Arial"/>
                <w:i/>
                <w:noProof/>
                <w:sz w:val="16"/>
                <w:szCs w:val="16"/>
                <w:lang w:val="en-GB"/>
              </w:rPr>
              <w:t>h</w:t>
            </w:r>
            <w:r w:rsidRPr="00C6511E">
              <w:rPr>
                <w:rFonts w:ascii="Arial" w:hAnsi="Arial"/>
                <w:noProof/>
                <w:sz w:val="16"/>
                <w:szCs w:val="16"/>
                <w:lang w:val="en-GB"/>
              </w:rPr>
              <w:t>)</w:t>
            </w:r>
          </w:p>
        </w:tc>
        <w:tc>
          <w:tcPr>
            <w:tcW w:w="1400" w:type="dxa"/>
            <w:tcBorders>
              <w:top w:val="single" w:sz="2" w:space="0" w:color="auto"/>
              <w:bottom w:val="single" w:sz="4" w:space="0" w:color="BFBFBF" w:themeColor="background1" w:themeShade="BF"/>
            </w:tcBorders>
          </w:tcPr>
          <w:p w14:paraId="680FA0A2" w14:textId="77777777" w:rsidR="00504E07" w:rsidRPr="00C6511E" w:rsidRDefault="00504E07" w:rsidP="00504E07">
            <w:pPr>
              <w:keepNext/>
              <w:snapToGrid w:val="0"/>
              <w:spacing w:before="40" w:after="40"/>
              <w:jc w:val="center"/>
              <w:rPr>
                <w:rFonts w:ascii="Arial" w:hAnsi="Arial"/>
                <w:sz w:val="16"/>
                <w:lang w:val="en-GB"/>
              </w:rPr>
            </w:pPr>
            <w:r>
              <w:rPr>
                <w:rFonts w:ascii="Arial" w:hAnsi="Arial"/>
                <w:sz w:val="16"/>
                <w:lang w:val="en-GB"/>
              </w:rPr>
              <w:t>(</w:t>
            </w:r>
            <w:r w:rsidRPr="00C6511E">
              <w:rPr>
                <w:rFonts w:ascii="Arial" w:hAnsi="Arial"/>
                <w:sz w:val="16"/>
                <w:lang w:val="en-GB"/>
              </w:rPr>
              <w:t>X</w:t>
            </w:r>
            <w:r>
              <w:rPr>
                <w:rFonts w:ascii="Arial" w:hAnsi="Arial"/>
                <w:sz w:val="16"/>
                <w:lang w:val="en-GB"/>
              </w:rPr>
              <w:t>)</w:t>
            </w:r>
          </w:p>
        </w:tc>
        <w:tc>
          <w:tcPr>
            <w:tcW w:w="1125" w:type="dxa"/>
            <w:tcBorders>
              <w:top w:val="single" w:sz="2" w:space="0" w:color="auto"/>
              <w:bottom w:val="single" w:sz="4" w:space="0" w:color="BFBFBF" w:themeColor="background1" w:themeShade="BF"/>
              <w:right w:val="single" w:sz="4" w:space="0" w:color="auto"/>
            </w:tcBorders>
            <w:vAlign w:val="center"/>
          </w:tcPr>
          <w:p w14:paraId="3A925BD1"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left w:val="single" w:sz="4" w:space="0" w:color="auto"/>
              <w:bottom w:val="single" w:sz="4" w:space="0" w:color="BFBFBF" w:themeColor="background1" w:themeShade="BF"/>
            </w:tcBorders>
          </w:tcPr>
          <w:p w14:paraId="1BD92929"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bottom w:val="single" w:sz="4" w:space="0" w:color="BFBFBF" w:themeColor="background1" w:themeShade="BF"/>
            </w:tcBorders>
          </w:tcPr>
          <w:p w14:paraId="750CC14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bottom w:val="single" w:sz="4" w:space="0" w:color="BFBFBF" w:themeColor="background1" w:themeShade="BF"/>
              <w:right w:val="single" w:sz="4" w:space="0" w:color="auto"/>
            </w:tcBorders>
            <w:vAlign w:val="center"/>
          </w:tcPr>
          <w:p w14:paraId="055F3076" w14:textId="77777777" w:rsidR="00504E07" w:rsidRPr="00C6511E" w:rsidRDefault="00504E07" w:rsidP="00504E07">
            <w:pPr>
              <w:keepNext/>
              <w:snapToGrid w:val="0"/>
              <w:spacing w:before="40" w:after="40"/>
              <w:jc w:val="center"/>
              <w:rPr>
                <w:rFonts w:ascii="Arial" w:hAnsi="Arial"/>
                <w:i/>
                <w:sz w:val="16"/>
                <w:lang w:val="en-GB"/>
              </w:rPr>
            </w:pPr>
            <w:r w:rsidRPr="00C6511E">
              <w:rPr>
                <w:rFonts w:ascii="Arial" w:hAnsi="Arial"/>
                <w:i/>
                <w:sz w:val="16"/>
                <w:lang w:val="en-GB"/>
              </w:rPr>
              <w:t>if clin. ind.</w:t>
            </w:r>
          </w:p>
        </w:tc>
        <w:tc>
          <w:tcPr>
            <w:tcW w:w="1125" w:type="dxa"/>
            <w:tcBorders>
              <w:top w:val="single" w:sz="2" w:space="0" w:color="auto"/>
              <w:left w:val="single" w:sz="4" w:space="0" w:color="auto"/>
              <w:bottom w:val="single" w:sz="4" w:space="0" w:color="BFBFBF" w:themeColor="background1" w:themeShade="BF"/>
            </w:tcBorders>
          </w:tcPr>
          <w:p w14:paraId="2FD2E1EE"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bottom w:val="single" w:sz="4" w:space="0" w:color="BFBFBF" w:themeColor="background1" w:themeShade="BF"/>
              <w:right w:val="single" w:sz="4" w:space="0" w:color="auto"/>
            </w:tcBorders>
            <w:vAlign w:val="center"/>
          </w:tcPr>
          <w:p w14:paraId="483230BE" w14:textId="77777777" w:rsidR="00504E07" w:rsidRPr="00C6511E" w:rsidRDefault="00504E07" w:rsidP="00504E07">
            <w:pPr>
              <w:keepNext/>
              <w:snapToGrid w:val="0"/>
              <w:spacing w:before="40" w:after="40"/>
              <w:jc w:val="center"/>
              <w:rPr>
                <w:rFonts w:ascii="Arial" w:hAnsi="Arial"/>
                <w:sz w:val="16"/>
                <w:lang w:val="en-GB"/>
              </w:rPr>
            </w:pPr>
            <w:r w:rsidRPr="00C6511E">
              <w:rPr>
                <w:rFonts w:ascii="Arial" w:hAnsi="Arial"/>
                <w:i/>
                <w:sz w:val="16"/>
                <w:lang w:val="en-GB"/>
              </w:rPr>
              <w:t>if clin. ind.</w:t>
            </w:r>
          </w:p>
        </w:tc>
        <w:tc>
          <w:tcPr>
            <w:tcW w:w="1125" w:type="dxa"/>
            <w:tcBorders>
              <w:top w:val="single" w:sz="2" w:space="0" w:color="auto"/>
              <w:left w:val="single" w:sz="4" w:space="0" w:color="auto"/>
              <w:bottom w:val="single" w:sz="4" w:space="0" w:color="BFBFBF" w:themeColor="background1" w:themeShade="BF"/>
              <w:right w:val="double" w:sz="4" w:space="0" w:color="auto"/>
            </w:tcBorders>
          </w:tcPr>
          <w:p w14:paraId="4884B53A"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2" w:space="0" w:color="auto"/>
              <w:left w:val="double" w:sz="4" w:space="0" w:color="auto"/>
              <w:bottom w:val="single" w:sz="4" w:space="0" w:color="BFBFBF" w:themeColor="background1" w:themeShade="BF"/>
            </w:tcBorders>
          </w:tcPr>
          <w:p w14:paraId="2629417F" w14:textId="77777777" w:rsidR="00504E07" w:rsidRPr="00C6511E" w:rsidRDefault="00504E07" w:rsidP="00504E07">
            <w:pPr>
              <w:keepNext/>
              <w:snapToGrid w:val="0"/>
              <w:spacing w:before="40" w:after="40"/>
              <w:jc w:val="center"/>
              <w:rPr>
                <w:rFonts w:ascii="Arial" w:hAnsi="Arial"/>
                <w:sz w:val="16"/>
                <w:lang w:val="en-GB"/>
              </w:rPr>
            </w:pPr>
            <w:r w:rsidRPr="00C6511E">
              <w:rPr>
                <w:rFonts w:ascii="Arial" w:hAnsi="Arial"/>
                <w:i/>
                <w:sz w:val="16"/>
                <w:lang w:val="en-GB"/>
              </w:rPr>
              <w:t>if clin. ind.</w:t>
            </w:r>
          </w:p>
        </w:tc>
      </w:tr>
      <w:tr w:rsidR="00504E07" w:rsidRPr="00582CFC" w14:paraId="1072AA6D" w14:textId="77777777" w:rsidTr="00504E07">
        <w:tc>
          <w:tcPr>
            <w:tcW w:w="2359" w:type="dxa"/>
            <w:tcBorders>
              <w:top w:val="single" w:sz="2" w:space="0" w:color="auto"/>
              <w:bottom w:val="single" w:sz="4" w:space="0" w:color="BFBFBF" w:themeColor="background1" w:themeShade="BF"/>
            </w:tcBorders>
          </w:tcPr>
          <w:p w14:paraId="18E7AD04" w14:textId="77777777" w:rsidR="00504E07" w:rsidRPr="00C6511E" w:rsidRDefault="00504E07" w:rsidP="00504E07">
            <w:pPr>
              <w:keepNext/>
              <w:snapToGrid w:val="0"/>
              <w:spacing w:before="40" w:after="40"/>
              <w:jc w:val="left"/>
              <w:rPr>
                <w:rFonts w:ascii="Arial" w:hAnsi="Arial"/>
                <w:noProof/>
                <w:sz w:val="16"/>
                <w:szCs w:val="16"/>
                <w:lang w:val="en-GB"/>
              </w:rPr>
            </w:pPr>
            <w:r w:rsidRPr="00C6511E">
              <w:rPr>
                <w:rFonts w:ascii="Arial" w:hAnsi="Arial"/>
                <w:noProof/>
                <w:sz w:val="16"/>
                <w:szCs w:val="16"/>
                <w:lang w:val="en-GB"/>
              </w:rPr>
              <w:t>Slit-lamp eye examination (</w:t>
            </w:r>
            <w:r w:rsidRPr="00C6511E">
              <w:rPr>
                <w:rFonts w:ascii="Arial" w:hAnsi="Arial"/>
                <w:i/>
                <w:noProof/>
                <w:sz w:val="16"/>
                <w:szCs w:val="16"/>
                <w:lang w:val="en-GB"/>
              </w:rPr>
              <w:t>h</w:t>
            </w:r>
            <w:r w:rsidRPr="00C6511E">
              <w:rPr>
                <w:rFonts w:ascii="Arial" w:hAnsi="Arial"/>
                <w:noProof/>
                <w:sz w:val="16"/>
                <w:szCs w:val="16"/>
                <w:lang w:val="en-GB"/>
              </w:rPr>
              <w:t>)</w:t>
            </w:r>
          </w:p>
        </w:tc>
        <w:tc>
          <w:tcPr>
            <w:tcW w:w="1400" w:type="dxa"/>
            <w:tcBorders>
              <w:top w:val="single" w:sz="2" w:space="0" w:color="auto"/>
              <w:bottom w:val="single" w:sz="4" w:space="0" w:color="BFBFBF" w:themeColor="background1" w:themeShade="BF"/>
            </w:tcBorders>
          </w:tcPr>
          <w:p w14:paraId="0AE532F8" w14:textId="77777777" w:rsidR="00504E07" w:rsidRDefault="00504E07" w:rsidP="00504E07">
            <w:pPr>
              <w:keepNext/>
              <w:snapToGrid w:val="0"/>
              <w:spacing w:before="40" w:after="40"/>
              <w:jc w:val="center"/>
              <w:rPr>
                <w:rFonts w:ascii="Arial" w:hAnsi="Arial"/>
                <w:sz w:val="16"/>
                <w:lang w:val="en-GB"/>
              </w:rPr>
            </w:pPr>
            <w:r>
              <w:rPr>
                <w:rFonts w:ascii="Arial" w:hAnsi="Arial"/>
                <w:sz w:val="16"/>
                <w:lang w:val="en-GB"/>
              </w:rPr>
              <w:t>(</w:t>
            </w:r>
            <w:r w:rsidRPr="00C6511E">
              <w:rPr>
                <w:rFonts w:ascii="Arial" w:hAnsi="Arial"/>
                <w:sz w:val="16"/>
                <w:lang w:val="en-GB"/>
              </w:rPr>
              <w:t>X</w:t>
            </w:r>
            <w:r>
              <w:rPr>
                <w:rFonts w:ascii="Arial" w:hAnsi="Arial"/>
                <w:sz w:val="16"/>
                <w:lang w:val="en-GB"/>
              </w:rPr>
              <w:t>)</w:t>
            </w:r>
          </w:p>
        </w:tc>
        <w:tc>
          <w:tcPr>
            <w:tcW w:w="1125" w:type="dxa"/>
            <w:tcBorders>
              <w:top w:val="single" w:sz="2" w:space="0" w:color="auto"/>
              <w:bottom w:val="single" w:sz="4" w:space="0" w:color="BFBFBF" w:themeColor="background1" w:themeShade="BF"/>
              <w:right w:val="single" w:sz="4" w:space="0" w:color="auto"/>
            </w:tcBorders>
            <w:vAlign w:val="center"/>
          </w:tcPr>
          <w:p w14:paraId="15E116A2"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left w:val="single" w:sz="4" w:space="0" w:color="auto"/>
              <w:bottom w:val="single" w:sz="4" w:space="0" w:color="BFBFBF" w:themeColor="background1" w:themeShade="BF"/>
            </w:tcBorders>
          </w:tcPr>
          <w:p w14:paraId="772E03B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bottom w:val="single" w:sz="4" w:space="0" w:color="BFBFBF" w:themeColor="background1" w:themeShade="BF"/>
            </w:tcBorders>
          </w:tcPr>
          <w:p w14:paraId="3B516C88"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bottom w:val="single" w:sz="4" w:space="0" w:color="BFBFBF" w:themeColor="background1" w:themeShade="BF"/>
              <w:right w:val="single" w:sz="4" w:space="0" w:color="auto"/>
            </w:tcBorders>
            <w:vAlign w:val="center"/>
          </w:tcPr>
          <w:p w14:paraId="3DBD6A5C" w14:textId="77777777" w:rsidR="00504E07" w:rsidRPr="00C6511E" w:rsidRDefault="00504E07" w:rsidP="00504E07">
            <w:pPr>
              <w:keepNext/>
              <w:snapToGrid w:val="0"/>
              <w:spacing w:before="40" w:after="40"/>
              <w:jc w:val="center"/>
              <w:rPr>
                <w:rFonts w:ascii="Arial" w:hAnsi="Arial"/>
                <w:i/>
                <w:sz w:val="16"/>
                <w:lang w:val="en-GB"/>
              </w:rPr>
            </w:pPr>
            <w:r w:rsidRPr="00C6511E">
              <w:rPr>
                <w:rFonts w:ascii="Arial" w:hAnsi="Arial"/>
                <w:i/>
                <w:sz w:val="16"/>
                <w:lang w:val="en-GB"/>
              </w:rPr>
              <w:t>if clin. ind.</w:t>
            </w:r>
          </w:p>
        </w:tc>
        <w:tc>
          <w:tcPr>
            <w:tcW w:w="1125" w:type="dxa"/>
            <w:tcBorders>
              <w:top w:val="single" w:sz="2" w:space="0" w:color="auto"/>
              <w:left w:val="single" w:sz="4" w:space="0" w:color="auto"/>
              <w:bottom w:val="single" w:sz="4" w:space="0" w:color="BFBFBF" w:themeColor="background1" w:themeShade="BF"/>
            </w:tcBorders>
          </w:tcPr>
          <w:p w14:paraId="26A613CE"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2" w:space="0" w:color="auto"/>
              <w:bottom w:val="single" w:sz="4" w:space="0" w:color="BFBFBF" w:themeColor="background1" w:themeShade="BF"/>
              <w:right w:val="single" w:sz="4" w:space="0" w:color="auto"/>
            </w:tcBorders>
            <w:vAlign w:val="center"/>
          </w:tcPr>
          <w:p w14:paraId="4C528B25" w14:textId="77777777" w:rsidR="00504E07" w:rsidRPr="00C6511E" w:rsidRDefault="00504E07" w:rsidP="00504E07">
            <w:pPr>
              <w:keepNext/>
              <w:snapToGrid w:val="0"/>
              <w:spacing w:before="40" w:after="40"/>
              <w:jc w:val="center"/>
              <w:rPr>
                <w:rFonts w:ascii="Arial" w:hAnsi="Arial"/>
                <w:i/>
                <w:sz w:val="16"/>
                <w:lang w:val="en-GB"/>
              </w:rPr>
            </w:pPr>
            <w:r w:rsidRPr="00C6511E">
              <w:rPr>
                <w:rFonts w:ascii="Arial" w:hAnsi="Arial"/>
                <w:i/>
                <w:sz w:val="16"/>
                <w:lang w:val="en-GB"/>
              </w:rPr>
              <w:t>if clin. ind.</w:t>
            </w:r>
          </w:p>
        </w:tc>
        <w:tc>
          <w:tcPr>
            <w:tcW w:w="1125" w:type="dxa"/>
            <w:tcBorders>
              <w:top w:val="single" w:sz="2" w:space="0" w:color="auto"/>
              <w:left w:val="single" w:sz="4" w:space="0" w:color="auto"/>
              <w:bottom w:val="single" w:sz="4" w:space="0" w:color="BFBFBF" w:themeColor="background1" w:themeShade="BF"/>
              <w:right w:val="double" w:sz="4" w:space="0" w:color="auto"/>
            </w:tcBorders>
          </w:tcPr>
          <w:p w14:paraId="15B0E4F5"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2" w:space="0" w:color="auto"/>
              <w:left w:val="double" w:sz="4" w:space="0" w:color="auto"/>
              <w:bottom w:val="single" w:sz="4" w:space="0" w:color="BFBFBF" w:themeColor="background1" w:themeShade="BF"/>
            </w:tcBorders>
          </w:tcPr>
          <w:p w14:paraId="3E4C4EAA" w14:textId="77777777" w:rsidR="00504E07" w:rsidRPr="00C6511E" w:rsidRDefault="00504E07" w:rsidP="00504E07">
            <w:pPr>
              <w:keepNext/>
              <w:snapToGrid w:val="0"/>
              <w:spacing w:before="40" w:after="40"/>
              <w:jc w:val="center"/>
              <w:rPr>
                <w:rFonts w:ascii="Arial" w:hAnsi="Arial"/>
                <w:i/>
                <w:sz w:val="16"/>
                <w:lang w:val="en-GB"/>
              </w:rPr>
            </w:pPr>
            <w:r w:rsidRPr="00C6511E">
              <w:rPr>
                <w:rFonts w:ascii="Arial" w:hAnsi="Arial"/>
                <w:i/>
                <w:sz w:val="16"/>
                <w:lang w:val="en-GB"/>
              </w:rPr>
              <w:t>if clin. ind.</w:t>
            </w:r>
          </w:p>
        </w:tc>
      </w:tr>
      <w:tr w:rsidR="00504E07" w:rsidRPr="00582CFC" w14:paraId="17F15FF5" w14:textId="77777777" w:rsidTr="00504E07">
        <w:tc>
          <w:tcPr>
            <w:tcW w:w="2359" w:type="dxa"/>
            <w:tcBorders>
              <w:top w:val="single" w:sz="4" w:space="0" w:color="BFBFBF" w:themeColor="background1" w:themeShade="BF"/>
              <w:bottom w:val="single" w:sz="4" w:space="0" w:color="BFBFBF" w:themeColor="background1" w:themeShade="BF"/>
            </w:tcBorders>
          </w:tcPr>
          <w:p w14:paraId="1A00C2D5" w14:textId="77777777" w:rsidR="00504E07" w:rsidRPr="00C6511E" w:rsidRDefault="00504E07" w:rsidP="00504E07">
            <w:pPr>
              <w:keepNext/>
              <w:snapToGrid w:val="0"/>
              <w:spacing w:before="40" w:after="40"/>
              <w:jc w:val="left"/>
              <w:rPr>
                <w:rFonts w:ascii="Arial" w:hAnsi="Arial"/>
                <w:noProof/>
                <w:sz w:val="16"/>
                <w:szCs w:val="16"/>
                <w:lang w:val="en-GB"/>
              </w:rPr>
            </w:pPr>
            <w:r>
              <w:rPr>
                <w:rFonts w:ascii="Arial" w:hAnsi="Arial"/>
                <w:noProof/>
                <w:sz w:val="16"/>
                <w:szCs w:val="16"/>
                <w:lang w:val="en-GB"/>
              </w:rPr>
              <w:t xml:space="preserve">Whole-body FDG-PET/CT </w:t>
            </w:r>
            <w:r w:rsidRPr="00BC035B">
              <w:rPr>
                <w:rFonts w:ascii="Arial" w:hAnsi="Arial"/>
                <w:i/>
                <w:iCs/>
                <w:noProof/>
                <w:sz w:val="16"/>
                <w:szCs w:val="16"/>
                <w:lang w:val="en-GB"/>
              </w:rPr>
              <w:t>(i)</w:t>
            </w:r>
          </w:p>
        </w:tc>
        <w:tc>
          <w:tcPr>
            <w:tcW w:w="1400" w:type="dxa"/>
            <w:tcBorders>
              <w:top w:val="single" w:sz="4" w:space="0" w:color="BFBFBF" w:themeColor="background1" w:themeShade="BF"/>
              <w:bottom w:val="single" w:sz="4" w:space="0" w:color="BFBFBF" w:themeColor="background1" w:themeShade="BF"/>
            </w:tcBorders>
          </w:tcPr>
          <w:p w14:paraId="2A3F37CD" w14:textId="77777777" w:rsidR="00504E07" w:rsidRPr="00C6511E" w:rsidRDefault="00504E07" w:rsidP="00504E07">
            <w:pPr>
              <w:keepNext/>
              <w:snapToGrid w:val="0"/>
              <w:spacing w:before="40" w:after="40"/>
              <w:jc w:val="center"/>
              <w:rPr>
                <w:rFonts w:ascii="Arial" w:hAnsi="Arial"/>
                <w:sz w:val="16"/>
                <w:lang w:val="en-GB"/>
              </w:rPr>
            </w:pPr>
            <w:r>
              <w:rPr>
                <w:rFonts w:ascii="Arial" w:hAnsi="Arial"/>
                <w:sz w:val="16"/>
                <w:lang w:val="en-GB"/>
              </w:rPr>
              <w:t>(X)</w:t>
            </w:r>
          </w:p>
        </w:tc>
        <w:tc>
          <w:tcPr>
            <w:tcW w:w="1125" w:type="dxa"/>
            <w:tcBorders>
              <w:top w:val="single" w:sz="4" w:space="0" w:color="BFBFBF" w:themeColor="background1" w:themeShade="BF"/>
              <w:bottom w:val="single" w:sz="4" w:space="0" w:color="auto"/>
              <w:right w:val="single" w:sz="4" w:space="0" w:color="auto"/>
            </w:tcBorders>
            <w:vAlign w:val="center"/>
          </w:tcPr>
          <w:p w14:paraId="564C85D1"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50B694AB"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077233A0"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right w:val="single" w:sz="4" w:space="0" w:color="auto"/>
            </w:tcBorders>
            <w:vAlign w:val="center"/>
          </w:tcPr>
          <w:p w14:paraId="433329E3" w14:textId="77777777" w:rsidR="00504E07" w:rsidRPr="00C6511E"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1CDABC1D"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right w:val="single" w:sz="4" w:space="0" w:color="auto"/>
            </w:tcBorders>
            <w:vAlign w:val="center"/>
          </w:tcPr>
          <w:p w14:paraId="0E6F656D" w14:textId="77777777" w:rsidR="00504E07" w:rsidRPr="00C6511E"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right w:val="double" w:sz="4" w:space="0" w:color="auto"/>
            </w:tcBorders>
          </w:tcPr>
          <w:p w14:paraId="6292C59C"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33B3E8A9" w14:textId="77777777" w:rsidR="00504E07" w:rsidRPr="00C6511E" w:rsidRDefault="00504E07" w:rsidP="00504E07">
            <w:pPr>
              <w:keepNext/>
              <w:snapToGrid w:val="0"/>
              <w:spacing w:before="40" w:after="40"/>
              <w:jc w:val="center"/>
              <w:rPr>
                <w:rFonts w:ascii="Arial" w:hAnsi="Arial"/>
                <w:sz w:val="16"/>
                <w:lang w:val="en-GB"/>
              </w:rPr>
            </w:pPr>
          </w:p>
        </w:tc>
      </w:tr>
      <w:tr w:rsidR="00504E07" w:rsidRPr="00530B20" w14:paraId="364C1A4A" w14:textId="77777777" w:rsidTr="00504E07">
        <w:tc>
          <w:tcPr>
            <w:tcW w:w="2359" w:type="dxa"/>
            <w:tcBorders>
              <w:top w:val="single" w:sz="4" w:space="0" w:color="BFBFBF" w:themeColor="background1" w:themeShade="BF"/>
              <w:bottom w:val="single" w:sz="4" w:space="0" w:color="BFBFBF" w:themeColor="background1" w:themeShade="BF"/>
            </w:tcBorders>
          </w:tcPr>
          <w:p w14:paraId="21FAF533"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Blood pressure and pulse</w:t>
            </w:r>
          </w:p>
        </w:tc>
        <w:tc>
          <w:tcPr>
            <w:tcW w:w="1400" w:type="dxa"/>
            <w:tcBorders>
              <w:top w:val="single" w:sz="4" w:space="0" w:color="BFBFBF" w:themeColor="background1" w:themeShade="BF"/>
              <w:bottom w:val="single" w:sz="4" w:space="0" w:color="BFBFBF" w:themeColor="background1" w:themeShade="BF"/>
            </w:tcBorders>
          </w:tcPr>
          <w:p w14:paraId="339D6C09"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vMerge w:val="restart"/>
            <w:tcBorders>
              <w:right w:val="single" w:sz="4" w:space="0" w:color="auto"/>
            </w:tcBorders>
            <w:vAlign w:val="center"/>
          </w:tcPr>
          <w:p w14:paraId="39466C30" w14:textId="77777777" w:rsidR="00504E07" w:rsidRPr="00B637F9" w:rsidRDefault="00504E07" w:rsidP="00504E07">
            <w:pPr>
              <w:keepNext/>
              <w:snapToGrid w:val="0"/>
              <w:spacing w:before="40" w:after="40"/>
              <w:jc w:val="center"/>
              <w:rPr>
                <w:rFonts w:ascii="Arial" w:hAnsi="Arial"/>
                <w:sz w:val="16"/>
                <w:szCs w:val="16"/>
                <w:lang w:val="de-DE"/>
              </w:rPr>
            </w:pPr>
            <w:r w:rsidRPr="00B637F9">
              <w:rPr>
                <w:rFonts w:ascii="Arial" w:hAnsi="Arial"/>
                <w:sz w:val="16"/>
                <w:szCs w:val="16"/>
                <w:lang w:val="de-DE"/>
              </w:rPr>
              <w:t xml:space="preserve">See </w:t>
            </w:r>
            <w:r w:rsidRPr="00B637F9">
              <w:rPr>
                <w:rFonts w:ascii="Arial" w:hAnsi="Arial"/>
                <w:sz w:val="16"/>
                <w:szCs w:val="16"/>
                <w:lang w:val="en-GB"/>
              </w:rPr>
              <w:fldChar w:fldCharType="begin"/>
            </w:r>
            <w:r w:rsidRPr="00B637F9">
              <w:rPr>
                <w:rFonts w:ascii="Arial" w:hAnsi="Arial"/>
                <w:sz w:val="16"/>
                <w:szCs w:val="16"/>
                <w:lang w:val="de-DE"/>
              </w:rPr>
              <w:instrText xml:space="preserve"> REF _Ref77930022 \h </w:instrText>
            </w:r>
            <w:r w:rsidRPr="00B637F9">
              <w:rPr>
                <w:rFonts w:ascii="Arial" w:hAnsi="Arial"/>
                <w:sz w:val="16"/>
                <w:szCs w:val="16"/>
                <w:lang w:val="en-GB"/>
              </w:rPr>
              <w:instrText xml:space="preserve"> \* MERGEFORMAT </w:instrText>
            </w:r>
            <w:r w:rsidRPr="00B637F9">
              <w:rPr>
                <w:rFonts w:ascii="Arial" w:hAnsi="Arial"/>
                <w:sz w:val="16"/>
                <w:szCs w:val="16"/>
                <w:lang w:val="en-GB"/>
              </w:rPr>
            </w:r>
            <w:r w:rsidRPr="00B637F9">
              <w:rPr>
                <w:rFonts w:ascii="Arial" w:hAnsi="Arial"/>
                <w:sz w:val="16"/>
                <w:szCs w:val="16"/>
                <w:lang w:val="en-GB"/>
              </w:rPr>
              <w:fldChar w:fldCharType="separate"/>
            </w:r>
            <w:r w:rsidRPr="00674DB6">
              <w:rPr>
                <w:rFonts w:ascii="Arial" w:hAnsi="Arial" w:cs="Arial"/>
                <w:color w:val="000000" w:themeColor="text1"/>
                <w:sz w:val="16"/>
                <w:szCs w:val="16"/>
              </w:rPr>
              <w:t xml:space="preserve">Table </w:t>
            </w:r>
            <w:r w:rsidRPr="00674DB6">
              <w:rPr>
                <w:rFonts w:ascii="Arial" w:hAnsi="Arial" w:cs="Arial"/>
                <w:i/>
                <w:iCs/>
                <w:noProof/>
                <w:color w:val="000000" w:themeColor="text1"/>
                <w:sz w:val="16"/>
                <w:szCs w:val="16"/>
              </w:rPr>
              <w:t>2</w:t>
            </w:r>
            <w:r w:rsidRPr="00B637F9">
              <w:rPr>
                <w:rFonts w:ascii="Arial" w:hAnsi="Arial"/>
                <w:sz w:val="16"/>
                <w:szCs w:val="16"/>
                <w:lang w:val="en-GB"/>
              </w:rPr>
              <w:fldChar w:fldCharType="end"/>
            </w: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5DB13BE3" w14:textId="77777777" w:rsidR="00504E07" w:rsidRPr="00205660" w:rsidRDefault="00504E07" w:rsidP="00504E07">
            <w:pPr>
              <w:keepNext/>
              <w:snapToGrid w:val="0"/>
              <w:spacing w:before="40" w:after="40"/>
              <w:jc w:val="center"/>
              <w:rPr>
                <w:rFonts w:ascii="Arial" w:hAnsi="Arial"/>
                <w:sz w:val="16"/>
                <w:lang w:val="de-DE"/>
              </w:rPr>
            </w:pPr>
          </w:p>
        </w:tc>
        <w:tc>
          <w:tcPr>
            <w:tcW w:w="1125" w:type="dxa"/>
            <w:tcBorders>
              <w:top w:val="single" w:sz="4" w:space="0" w:color="BFBFBF" w:themeColor="background1" w:themeShade="BF"/>
              <w:bottom w:val="single" w:sz="4" w:space="0" w:color="BFBFBF" w:themeColor="background1" w:themeShade="BF"/>
            </w:tcBorders>
          </w:tcPr>
          <w:p w14:paraId="7353541F"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vMerge w:val="restart"/>
            <w:tcBorders>
              <w:right w:val="single" w:sz="4" w:space="0" w:color="auto"/>
            </w:tcBorders>
            <w:vAlign w:val="center"/>
          </w:tcPr>
          <w:p w14:paraId="5ECF0F3D" w14:textId="77777777" w:rsidR="00504E07" w:rsidRPr="00B637F9" w:rsidRDefault="00504E07" w:rsidP="00504E07">
            <w:pPr>
              <w:keepNext/>
              <w:snapToGrid w:val="0"/>
              <w:spacing w:before="40" w:after="40"/>
              <w:jc w:val="center"/>
              <w:rPr>
                <w:rFonts w:ascii="Arial" w:hAnsi="Arial"/>
                <w:sz w:val="16"/>
                <w:szCs w:val="16"/>
                <w:lang w:val="de-DE"/>
              </w:rPr>
            </w:pPr>
            <w:r w:rsidRPr="00B637F9">
              <w:rPr>
                <w:rFonts w:ascii="Arial" w:hAnsi="Arial"/>
                <w:sz w:val="16"/>
                <w:szCs w:val="16"/>
                <w:lang w:val="de-DE"/>
              </w:rPr>
              <w:t xml:space="preserve">See </w:t>
            </w:r>
            <w:r w:rsidRPr="00B637F9">
              <w:rPr>
                <w:rFonts w:ascii="Arial" w:hAnsi="Arial"/>
                <w:sz w:val="16"/>
                <w:szCs w:val="16"/>
                <w:lang w:val="en-GB"/>
              </w:rPr>
              <w:fldChar w:fldCharType="begin"/>
            </w:r>
            <w:r w:rsidRPr="00B637F9">
              <w:rPr>
                <w:rFonts w:ascii="Arial" w:hAnsi="Arial"/>
                <w:sz w:val="16"/>
                <w:szCs w:val="16"/>
                <w:lang w:val="de-DE"/>
              </w:rPr>
              <w:instrText xml:space="preserve"> REF _Ref77930022 \h </w:instrText>
            </w:r>
            <w:r w:rsidRPr="00B637F9">
              <w:rPr>
                <w:rFonts w:ascii="Arial" w:hAnsi="Arial"/>
                <w:sz w:val="16"/>
                <w:szCs w:val="16"/>
                <w:lang w:val="en-GB"/>
              </w:rPr>
              <w:instrText xml:space="preserve"> \* MERGEFORMAT </w:instrText>
            </w:r>
            <w:r w:rsidRPr="00B637F9">
              <w:rPr>
                <w:rFonts w:ascii="Arial" w:hAnsi="Arial"/>
                <w:sz w:val="16"/>
                <w:szCs w:val="16"/>
                <w:lang w:val="en-GB"/>
              </w:rPr>
            </w:r>
            <w:r w:rsidRPr="00B637F9">
              <w:rPr>
                <w:rFonts w:ascii="Arial" w:hAnsi="Arial"/>
                <w:sz w:val="16"/>
                <w:szCs w:val="16"/>
                <w:lang w:val="en-GB"/>
              </w:rPr>
              <w:fldChar w:fldCharType="separate"/>
            </w:r>
            <w:r w:rsidRPr="00674DB6">
              <w:rPr>
                <w:rFonts w:ascii="Arial" w:hAnsi="Arial" w:cs="Arial"/>
                <w:color w:val="000000" w:themeColor="text1"/>
                <w:sz w:val="16"/>
                <w:szCs w:val="16"/>
              </w:rPr>
              <w:t xml:space="preserve">Table </w:t>
            </w:r>
            <w:r w:rsidRPr="00674DB6">
              <w:rPr>
                <w:rFonts w:ascii="Arial" w:hAnsi="Arial" w:cs="Arial"/>
                <w:i/>
                <w:iCs/>
                <w:noProof/>
                <w:color w:val="000000" w:themeColor="text1"/>
                <w:sz w:val="16"/>
                <w:szCs w:val="16"/>
              </w:rPr>
              <w:t>2</w:t>
            </w:r>
            <w:r w:rsidRPr="00B637F9">
              <w:rPr>
                <w:rFonts w:ascii="Arial" w:hAnsi="Arial"/>
                <w:sz w:val="16"/>
                <w:szCs w:val="16"/>
                <w:lang w:val="en-GB"/>
              </w:rPr>
              <w:fldChar w:fldCharType="end"/>
            </w: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4888793E" w14:textId="77777777" w:rsidR="00504E07" w:rsidRPr="00205660" w:rsidRDefault="00504E07" w:rsidP="00504E07">
            <w:pPr>
              <w:keepNext/>
              <w:snapToGrid w:val="0"/>
              <w:spacing w:before="40" w:after="40"/>
              <w:jc w:val="center"/>
              <w:rPr>
                <w:rFonts w:ascii="Arial" w:hAnsi="Arial"/>
                <w:sz w:val="16"/>
                <w:lang w:val="de-DE"/>
              </w:rPr>
            </w:pPr>
          </w:p>
        </w:tc>
        <w:tc>
          <w:tcPr>
            <w:tcW w:w="1125" w:type="dxa"/>
            <w:vMerge w:val="restart"/>
            <w:tcBorders>
              <w:right w:val="single" w:sz="4" w:space="0" w:color="auto"/>
            </w:tcBorders>
            <w:vAlign w:val="center"/>
          </w:tcPr>
          <w:p w14:paraId="36A01072" w14:textId="77777777" w:rsidR="00504E07" w:rsidRPr="00B637F9" w:rsidRDefault="00504E07" w:rsidP="00504E07">
            <w:pPr>
              <w:keepNext/>
              <w:snapToGrid w:val="0"/>
              <w:spacing w:before="40" w:after="40"/>
              <w:jc w:val="center"/>
              <w:rPr>
                <w:rFonts w:ascii="Arial" w:hAnsi="Arial"/>
                <w:sz w:val="16"/>
                <w:szCs w:val="16"/>
                <w:lang w:val="de-DE"/>
              </w:rPr>
            </w:pPr>
            <w:r w:rsidRPr="00B637F9">
              <w:rPr>
                <w:rFonts w:ascii="Arial" w:hAnsi="Arial"/>
                <w:sz w:val="16"/>
                <w:szCs w:val="16"/>
                <w:lang w:val="de-DE"/>
              </w:rPr>
              <w:t xml:space="preserve">See </w:t>
            </w:r>
            <w:r w:rsidRPr="00CF0F8A">
              <w:rPr>
                <w:rFonts w:ascii="Arial" w:hAnsi="Arial"/>
                <w:sz w:val="16"/>
                <w:szCs w:val="16"/>
                <w:lang w:val="en-GB"/>
              </w:rPr>
              <w:fldChar w:fldCharType="begin"/>
            </w:r>
            <w:r w:rsidRPr="00CF0F8A">
              <w:rPr>
                <w:rFonts w:ascii="Arial" w:hAnsi="Arial"/>
                <w:sz w:val="16"/>
                <w:szCs w:val="16"/>
                <w:lang w:val="de-DE"/>
              </w:rPr>
              <w:instrText xml:space="preserve"> REF _Ref77930022 \h </w:instrText>
            </w:r>
            <w:r w:rsidRPr="00CF0F8A">
              <w:rPr>
                <w:rFonts w:ascii="Arial" w:hAnsi="Arial"/>
                <w:sz w:val="16"/>
                <w:szCs w:val="16"/>
                <w:lang w:val="en-GB"/>
              </w:rPr>
              <w:instrText xml:space="preserve"> \* MERGEFORMAT </w:instrText>
            </w:r>
            <w:r w:rsidRPr="00CF0F8A">
              <w:rPr>
                <w:rFonts w:ascii="Arial" w:hAnsi="Arial"/>
                <w:sz w:val="16"/>
                <w:szCs w:val="16"/>
                <w:lang w:val="en-GB"/>
              </w:rPr>
            </w:r>
            <w:r w:rsidRPr="00CF0F8A">
              <w:rPr>
                <w:rFonts w:ascii="Arial" w:hAnsi="Arial"/>
                <w:sz w:val="16"/>
                <w:szCs w:val="16"/>
                <w:lang w:val="en-GB"/>
              </w:rPr>
              <w:fldChar w:fldCharType="separate"/>
            </w:r>
            <w:r w:rsidRPr="00674DB6">
              <w:rPr>
                <w:rFonts w:ascii="Arial" w:hAnsi="Arial" w:cs="Arial"/>
                <w:color w:val="000000" w:themeColor="text1"/>
                <w:sz w:val="16"/>
                <w:szCs w:val="16"/>
              </w:rPr>
              <w:t xml:space="preserve">Table </w:t>
            </w:r>
            <w:r w:rsidRPr="00674DB6">
              <w:rPr>
                <w:rFonts w:ascii="Arial" w:hAnsi="Arial" w:cs="Arial"/>
                <w:noProof/>
                <w:color w:val="000000" w:themeColor="text1"/>
                <w:sz w:val="16"/>
                <w:szCs w:val="16"/>
              </w:rPr>
              <w:t>2</w:t>
            </w:r>
            <w:r w:rsidRPr="00CF0F8A">
              <w:rPr>
                <w:rFonts w:ascii="Arial" w:hAnsi="Arial"/>
                <w:sz w:val="16"/>
                <w:szCs w:val="16"/>
                <w:lang w:val="en-GB"/>
              </w:rPr>
              <w:fldChar w:fldCharType="end"/>
            </w:r>
          </w:p>
        </w:tc>
        <w:tc>
          <w:tcPr>
            <w:tcW w:w="1125" w:type="dxa"/>
            <w:tcBorders>
              <w:top w:val="single" w:sz="4" w:space="0" w:color="BFBFBF" w:themeColor="background1" w:themeShade="BF"/>
              <w:left w:val="single" w:sz="4" w:space="0" w:color="auto"/>
              <w:bottom w:val="single" w:sz="4" w:space="0" w:color="BFBFBF" w:themeColor="background1" w:themeShade="BF"/>
              <w:right w:val="double" w:sz="4" w:space="0" w:color="auto"/>
            </w:tcBorders>
          </w:tcPr>
          <w:p w14:paraId="35A3C5D9" w14:textId="77777777" w:rsidR="00504E07" w:rsidRPr="00205660" w:rsidRDefault="00504E07" w:rsidP="00504E07">
            <w:pPr>
              <w:keepNext/>
              <w:snapToGrid w:val="0"/>
              <w:spacing w:before="40" w:after="40"/>
              <w:jc w:val="center"/>
              <w:rPr>
                <w:rFonts w:ascii="Arial" w:hAnsi="Arial"/>
                <w:sz w:val="16"/>
                <w:lang w:val="de-DE"/>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66E9E6E7" w14:textId="77777777" w:rsidR="00504E07" w:rsidRPr="00205660" w:rsidRDefault="00504E07" w:rsidP="00504E07">
            <w:pPr>
              <w:keepNext/>
              <w:snapToGrid w:val="0"/>
              <w:spacing w:before="40" w:after="40"/>
              <w:jc w:val="center"/>
              <w:rPr>
                <w:rFonts w:ascii="Arial" w:hAnsi="Arial"/>
                <w:sz w:val="16"/>
                <w:lang w:val="de-DE"/>
              </w:rPr>
            </w:pPr>
          </w:p>
        </w:tc>
      </w:tr>
      <w:tr w:rsidR="00504E07" w:rsidRPr="00582CFC" w14:paraId="6E927765" w14:textId="77777777" w:rsidTr="00504E07">
        <w:tc>
          <w:tcPr>
            <w:tcW w:w="2359" w:type="dxa"/>
            <w:tcBorders>
              <w:top w:val="single" w:sz="4" w:space="0" w:color="BFBFBF" w:themeColor="background1" w:themeShade="BF"/>
              <w:bottom w:val="single" w:sz="4" w:space="0" w:color="BFBFBF" w:themeColor="background1" w:themeShade="BF"/>
            </w:tcBorders>
          </w:tcPr>
          <w:p w14:paraId="209951B7"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sz w:val="16"/>
                <w:lang w:val="en-GB"/>
              </w:rPr>
              <w:t>12</w:t>
            </w:r>
            <w:r w:rsidRPr="00582CFC">
              <w:rPr>
                <w:rFonts w:ascii="Arial" w:hAnsi="Arial"/>
                <w:sz w:val="16"/>
                <w:lang w:val="en-GB"/>
              </w:rPr>
              <w:noBreakHyphen/>
              <w:t>lead ECG</w:t>
            </w:r>
          </w:p>
        </w:tc>
        <w:tc>
          <w:tcPr>
            <w:tcW w:w="1400" w:type="dxa"/>
            <w:tcBorders>
              <w:top w:val="single" w:sz="4" w:space="0" w:color="BFBFBF" w:themeColor="background1" w:themeShade="BF"/>
              <w:bottom w:val="single" w:sz="4" w:space="0" w:color="BFBFBF" w:themeColor="background1" w:themeShade="BF"/>
            </w:tcBorders>
          </w:tcPr>
          <w:p w14:paraId="34E0A23D"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vMerge/>
            <w:tcBorders>
              <w:right w:val="single" w:sz="4" w:space="0" w:color="auto"/>
            </w:tcBorders>
            <w:vAlign w:val="center"/>
          </w:tcPr>
          <w:p w14:paraId="28BCBFF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vAlign w:val="center"/>
          </w:tcPr>
          <w:p w14:paraId="6C1C932F" w14:textId="6330B109"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vAlign w:val="center"/>
          </w:tcPr>
          <w:p w14:paraId="1F475DF9" w14:textId="5E04A3A0" w:rsidR="00504E07" w:rsidRPr="00582CFC" w:rsidRDefault="00C7190D" w:rsidP="00504E07">
            <w:pPr>
              <w:keepNext/>
              <w:snapToGrid w:val="0"/>
              <w:spacing w:before="40" w:after="40"/>
              <w:jc w:val="center"/>
              <w:rPr>
                <w:rFonts w:ascii="Arial" w:hAnsi="Arial"/>
                <w:sz w:val="16"/>
                <w:lang w:val="en-GB"/>
              </w:rPr>
            </w:pPr>
            <w:r>
              <w:rPr>
                <w:rFonts w:ascii="Arial" w:hAnsi="Arial"/>
                <w:sz w:val="16"/>
                <w:lang w:val="en-GB"/>
              </w:rPr>
              <w:t>X</w:t>
            </w:r>
          </w:p>
        </w:tc>
        <w:tc>
          <w:tcPr>
            <w:tcW w:w="1125" w:type="dxa"/>
            <w:vMerge/>
            <w:tcBorders>
              <w:right w:val="single" w:sz="4" w:space="0" w:color="auto"/>
            </w:tcBorders>
            <w:vAlign w:val="center"/>
          </w:tcPr>
          <w:p w14:paraId="0FECE28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vAlign w:val="center"/>
          </w:tcPr>
          <w:p w14:paraId="0DBA9941"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right w:val="single" w:sz="4" w:space="0" w:color="auto"/>
            </w:tcBorders>
            <w:vAlign w:val="center"/>
          </w:tcPr>
          <w:p w14:paraId="4A960809"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right w:val="double" w:sz="4" w:space="0" w:color="auto"/>
            </w:tcBorders>
          </w:tcPr>
          <w:p w14:paraId="78BF2EA9"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596E1117"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2D95C1D3" w14:textId="77777777" w:rsidTr="00504E07">
        <w:tc>
          <w:tcPr>
            <w:tcW w:w="2359" w:type="dxa"/>
            <w:tcBorders>
              <w:top w:val="single" w:sz="4" w:space="0" w:color="BFBFBF" w:themeColor="background1" w:themeShade="BF"/>
              <w:bottom w:val="single" w:sz="4" w:space="0" w:color="BFBFBF" w:themeColor="background1" w:themeShade="BF"/>
            </w:tcBorders>
          </w:tcPr>
          <w:p w14:paraId="03FB47F2"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sz w:val="16"/>
                <w:lang w:val="en-GB"/>
              </w:rPr>
              <w:t>Adverse events recorded</w:t>
            </w:r>
          </w:p>
        </w:tc>
        <w:tc>
          <w:tcPr>
            <w:tcW w:w="1400" w:type="dxa"/>
            <w:tcBorders>
              <w:top w:val="single" w:sz="4" w:space="0" w:color="BFBFBF" w:themeColor="background1" w:themeShade="BF"/>
              <w:bottom w:val="single" w:sz="4" w:space="0" w:color="BFBFBF" w:themeColor="background1" w:themeShade="BF"/>
            </w:tcBorders>
          </w:tcPr>
          <w:p w14:paraId="5A03B1E8"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vMerge/>
            <w:tcBorders>
              <w:right w:val="single" w:sz="4" w:space="0" w:color="auto"/>
            </w:tcBorders>
            <w:vAlign w:val="center"/>
          </w:tcPr>
          <w:p w14:paraId="5ACCE47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vAlign w:val="center"/>
          </w:tcPr>
          <w:p w14:paraId="0165017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vAlign w:val="center"/>
          </w:tcPr>
          <w:p w14:paraId="1AF53AF2"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vMerge/>
            <w:tcBorders>
              <w:right w:val="single" w:sz="4" w:space="0" w:color="auto"/>
            </w:tcBorders>
            <w:vAlign w:val="center"/>
          </w:tcPr>
          <w:p w14:paraId="4CE32929"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vAlign w:val="center"/>
          </w:tcPr>
          <w:p w14:paraId="41AEE7AB"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right w:val="single" w:sz="4" w:space="0" w:color="auto"/>
            </w:tcBorders>
            <w:vAlign w:val="center"/>
          </w:tcPr>
          <w:p w14:paraId="6DFA5E2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right w:val="double" w:sz="4" w:space="0" w:color="auto"/>
            </w:tcBorders>
          </w:tcPr>
          <w:p w14:paraId="38FA6ECF"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7A79CC0B"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7BD28EB9" w14:textId="77777777" w:rsidTr="00504E07">
        <w:tc>
          <w:tcPr>
            <w:tcW w:w="2359" w:type="dxa"/>
            <w:tcBorders>
              <w:top w:val="single" w:sz="4" w:space="0" w:color="BFBFBF" w:themeColor="background1" w:themeShade="BF"/>
              <w:bottom w:val="single" w:sz="4" w:space="0" w:color="BFBFBF" w:themeColor="background1" w:themeShade="BF"/>
            </w:tcBorders>
          </w:tcPr>
          <w:p w14:paraId="653990FE"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Admin</w:t>
            </w:r>
            <w:r>
              <w:rPr>
                <w:rFonts w:ascii="Arial" w:hAnsi="Arial"/>
                <w:noProof/>
                <w:sz w:val="16"/>
                <w:szCs w:val="16"/>
                <w:lang w:val="en-GB"/>
              </w:rPr>
              <w:t>i</w:t>
            </w:r>
            <w:r w:rsidRPr="00582CFC">
              <w:rPr>
                <w:rFonts w:ascii="Arial" w:hAnsi="Arial"/>
                <w:noProof/>
                <w:sz w:val="16"/>
                <w:szCs w:val="16"/>
                <w:lang w:val="en-GB"/>
              </w:rPr>
              <w:t>stration of IMP</w:t>
            </w:r>
          </w:p>
        </w:tc>
        <w:tc>
          <w:tcPr>
            <w:tcW w:w="1400" w:type="dxa"/>
            <w:tcBorders>
              <w:top w:val="single" w:sz="4" w:space="0" w:color="BFBFBF" w:themeColor="background1" w:themeShade="BF"/>
              <w:bottom w:val="single" w:sz="4" w:space="0" w:color="BFBFBF" w:themeColor="background1" w:themeShade="BF"/>
            </w:tcBorders>
          </w:tcPr>
          <w:p w14:paraId="6C7C5C34"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right w:val="single" w:sz="4" w:space="0" w:color="auto"/>
            </w:tcBorders>
          </w:tcPr>
          <w:p w14:paraId="79EA215C"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260ECAF9"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208D7260"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right w:val="single" w:sz="4" w:space="0" w:color="auto"/>
            </w:tcBorders>
          </w:tcPr>
          <w:p w14:paraId="6D697E0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0314B261"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right w:val="single" w:sz="4" w:space="0" w:color="auto"/>
            </w:tcBorders>
          </w:tcPr>
          <w:p w14:paraId="4C0BF300"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right w:val="double" w:sz="4" w:space="0" w:color="auto"/>
            </w:tcBorders>
          </w:tcPr>
          <w:p w14:paraId="017636F3"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2F26BAA1"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44295016" w14:textId="77777777" w:rsidTr="00504E07">
        <w:tc>
          <w:tcPr>
            <w:tcW w:w="2359" w:type="dxa"/>
            <w:tcBorders>
              <w:top w:val="single" w:sz="4" w:space="0" w:color="BFBFBF" w:themeColor="background1" w:themeShade="BF"/>
              <w:bottom w:val="single" w:sz="4" w:space="0" w:color="BFBFBF" w:themeColor="background1" w:themeShade="BF"/>
            </w:tcBorders>
          </w:tcPr>
          <w:p w14:paraId="57BA4B8D"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noProof/>
                <w:sz w:val="16"/>
                <w:szCs w:val="16"/>
                <w:lang w:val="en-GB"/>
              </w:rPr>
              <w:t>PET scan</w:t>
            </w:r>
          </w:p>
        </w:tc>
        <w:tc>
          <w:tcPr>
            <w:tcW w:w="1400" w:type="dxa"/>
            <w:tcBorders>
              <w:top w:val="single" w:sz="4" w:space="0" w:color="BFBFBF" w:themeColor="background1" w:themeShade="BF"/>
              <w:bottom w:val="single" w:sz="4" w:space="0" w:color="BFBFBF" w:themeColor="background1" w:themeShade="BF"/>
            </w:tcBorders>
          </w:tcPr>
          <w:p w14:paraId="20F13784"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bottom w:val="single" w:sz="4" w:space="0" w:color="auto"/>
              <w:right w:val="single" w:sz="4" w:space="0" w:color="auto"/>
            </w:tcBorders>
          </w:tcPr>
          <w:p w14:paraId="60EB8DE1"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47AEE327"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BFBFBF" w:themeColor="background1" w:themeShade="BF"/>
            </w:tcBorders>
          </w:tcPr>
          <w:p w14:paraId="1B4D3705"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bottom w:val="single" w:sz="4" w:space="0" w:color="auto"/>
              <w:right w:val="single" w:sz="4" w:space="0" w:color="auto"/>
            </w:tcBorders>
          </w:tcPr>
          <w:p w14:paraId="7C448B36"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tcBorders>
          </w:tcPr>
          <w:p w14:paraId="6C9D92FF" w14:textId="77777777" w:rsidR="00504E07" w:rsidRPr="00582CFC" w:rsidRDefault="00504E07" w:rsidP="00504E07">
            <w:pPr>
              <w:keepNext/>
              <w:snapToGrid w:val="0"/>
              <w:spacing w:before="40" w:after="40"/>
              <w:jc w:val="center"/>
              <w:rPr>
                <w:rFonts w:ascii="Arial" w:hAnsi="Arial"/>
                <w:sz w:val="16"/>
                <w:lang w:val="en-GB"/>
              </w:rPr>
            </w:pPr>
          </w:p>
        </w:tc>
        <w:tc>
          <w:tcPr>
            <w:tcW w:w="1125" w:type="dxa"/>
            <w:vMerge/>
            <w:tcBorders>
              <w:bottom w:val="single" w:sz="4" w:space="0" w:color="auto"/>
              <w:right w:val="single" w:sz="4" w:space="0" w:color="auto"/>
            </w:tcBorders>
          </w:tcPr>
          <w:p w14:paraId="741D2E8E"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uto"/>
              <w:bottom w:val="single" w:sz="4" w:space="0" w:color="BFBFBF" w:themeColor="background1" w:themeShade="BF"/>
              <w:right w:val="double" w:sz="4" w:space="0" w:color="auto"/>
            </w:tcBorders>
          </w:tcPr>
          <w:p w14:paraId="1E8FE969" w14:textId="77777777" w:rsidR="00504E07" w:rsidRPr="00582CFC" w:rsidRDefault="00504E07" w:rsidP="00504E07">
            <w:pPr>
              <w:keepNext/>
              <w:snapToGrid w:val="0"/>
              <w:spacing w:before="40" w:after="40"/>
              <w:jc w:val="center"/>
              <w:rPr>
                <w:rFonts w:ascii="Arial" w:hAnsi="Arial"/>
                <w:sz w:val="16"/>
                <w:lang w:val="en-GB"/>
              </w:rPr>
            </w:pPr>
          </w:p>
        </w:tc>
        <w:tc>
          <w:tcPr>
            <w:tcW w:w="1687" w:type="dxa"/>
            <w:tcBorders>
              <w:top w:val="single" w:sz="4" w:space="0" w:color="BFBFBF" w:themeColor="background1" w:themeShade="BF"/>
              <w:left w:val="double" w:sz="4" w:space="0" w:color="auto"/>
              <w:bottom w:val="single" w:sz="4" w:space="0" w:color="BFBFBF" w:themeColor="background1" w:themeShade="BF"/>
            </w:tcBorders>
          </w:tcPr>
          <w:p w14:paraId="11FA234F" w14:textId="77777777" w:rsidR="00504E07" w:rsidRPr="00582CFC" w:rsidRDefault="00504E07" w:rsidP="00504E07">
            <w:pPr>
              <w:keepNext/>
              <w:snapToGrid w:val="0"/>
              <w:spacing w:before="40" w:after="40"/>
              <w:jc w:val="center"/>
              <w:rPr>
                <w:rFonts w:ascii="Arial" w:hAnsi="Arial"/>
                <w:sz w:val="16"/>
                <w:lang w:val="en-GB"/>
              </w:rPr>
            </w:pPr>
          </w:p>
        </w:tc>
      </w:tr>
      <w:tr w:rsidR="00504E07" w:rsidRPr="00582CFC" w14:paraId="0D20FEE7" w14:textId="77777777" w:rsidTr="00504E07">
        <w:trPr>
          <w:trHeight w:val="56"/>
        </w:trPr>
        <w:tc>
          <w:tcPr>
            <w:tcW w:w="2359" w:type="dxa"/>
            <w:tcBorders>
              <w:top w:val="single" w:sz="4" w:space="0" w:color="BFBFBF" w:themeColor="background1" w:themeShade="BF"/>
              <w:bottom w:val="single" w:sz="4" w:space="0" w:color="auto"/>
            </w:tcBorders>
          </w:tcPr>
          <w:p w14:paraId="7FF23348" w14:textId="77777777" w:rsidR="00504E07" w:rsidRPr="00582CFC" w:rsidRDefault="00504E07" w:rsidP="00504E07">
            <w:pPr>
              <w:keepNext/>
              <w:snapToGrid w:val="0"/>
              <w:spacing w:before="40" w:after="40"/>
              <w:jc w:val="left"/>
              <w:rPr>
                <w:rFonts w:ascii="Arial" w:hAnsi="Arial"/>
                <w:sz w:val="16"/>
                <w:lang w:val="en-GB"/>
              </w:rPr>
            </w:pPr>
            <w:r w:rsidRPr="00582CFC">
              <w:rPr>
                <w:rFonts w:ascii="Arial" w:hAnsi="Arial"/>
                <w:sz w:val="16"/>
                <w:lang w:val="en-GB"/>
              </w:rPr>
              <w:t>MRI</w:t>
            </w:r>
          </w:p>
        </w:tc>
        <w:tc>
          <w:tcPr>
            <w:tcW w:w="1400" w:type="dxa"/>
            <w:tcBorders>
              <w:top w:val="single" w:sz="4" w:space="0" w:color="BFBFBF" w:themeColor="background1" w:themeShade="BF"/>
              <w:bottom w:val="single" w:sz="4" w:space="0" w:color="auto"/>
            </w:tcBorders>
          </w:tcPr>
          <w:p w14:paraId="09A6427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auto"/>
              <w:right w:val="single" w:sz="4" w:space="0" w:color="A6A6A6" w:themeColor="background1" w:themeShade="A6"/>
            </w:tcBorders>
          </w:tcPr>
          <w:p w14:paraId="4A5001D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auto"/>
            </w:tcBorders>
          </w:tcPr>
          <w:p w14:paraId="7A6309DD"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auto"/>
            </w:tcBorders>
          </w:tcPr>
          <w:p w14:paraId="447E5A0C"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bottom w:val="single" w:sz="4" w:space="0" w:color="auto"/>
              <w:right w:val="single" w:sz="4" w:space="0" w:color="A6A6A6" w:themeColor="background1" w:themeShade="A6"/>
            </w:tcBorders>
          </w:tcPr>
          <w:p w14:paraId="3E515474"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auto"/>
            </w:tcBorders>
          </w:tcPr>
          <w:p w14:paraId="5121B4AA"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125" w:type="dxa"/>
            <w:tcBorders>
              <w:top w:val="single" w:sz="4" w:space="0" w:color="BFBFBF" w:themeColor="background1" w:themeShade="BF"/>
              <w:bottom w:val="single" w:sz="4" w:space="0" w:color="auto"/>
              <w:right w:val="single" w:sz="4" w:space="0" w:color="A6A6A6" w:themeColor="background1" w:themeShade="A6"/>
            </w:tcBorders>
          </w:tcPr>
          <w:p w14:paraId="151CC563" w14:textId="77777777" w:rsidR="00504E07" w:rsidRPr="00582CFC" w:rsidRDefault="00504E07" w:rsidP="00504E07">
            <w:pPr>
              <w:keepNext/>
              <w:snapToGrid w:val="0"/>
              <w:spacing w:before="40" w:after="40"/>
              <w:jc w:val="center"/>
              <w:rPr>
                <w:rFonts w:ascii="Arial" w:hAnsi="Arial"/>
                <w:sz w:val="16"/>
                <w:lang w:val="en-GB"/>
              </w:rPr>
            </w:pPr>
          </w:p>
        </w:tc>
        <w:tc>
          <w:tcPr>
            <w:tcW w:w="1125" w:type="dxa"/>
            <w:tcBorders>
              <w:top w:val="single" w:sz="4" w:space="0" w:color="BFBFBF" w:themeColor="background1" w:themeShade="BF"/>
              <w:left w:val="single" w:sz="4" w:space="0" w:color="A6A6A6" w:themeColor="background1" w:themeShade="A6"/>
              <w:bottom w:val="single" w:sz="4" w:space="0" w:color="auto"/>
              <w:right w:val="double" w:sz="4" w:space="0" w:color="auto"/>
            </w:tcBorders>
          </w:tcPr>
          <w:p w14:paraId="0BCD2276"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c>
          <w:tcPr>
            <w:tcW w:w="1687" w:type="dxa"/>
            <w:tcBorders>
              <w:top w:val="single" w:sz="4" w:space="0" w:color="BFBFBF" w:themeColor="background1" w:themeShade="BF"/>
              <w:left w:val="double" w:sz="4" w:space="0" w:color="auto"/>
              <w:bottom w:val="single" w:sz="4" w:space="0" w:color="auto"/>
            </w:tcBorders>
          </w:tcPr>
          <w:p w14:paraId="57AFC4E2" w14:textId="77777777" w:rsidR="00504E07" w:rsidRPr="00582CFC" w:rsidRDefault="00504E07" w:rsidP="00504E07">
            <w:pPr>
              <w:keepNext/>
              <w:snapToGrid w:val="0"/>
              <w:spacing w:before="40" w:after="40"/>
              <w:jc w:val="center"/>
              <w:rPr>
                <w:rFonts w:ascii="Arial" w:hAnsi="Arial"/>
                <w:sz w:val="16"/>
                <w:lang w:val="en-GB"/>
              </w:rPr>
            </w:pPr>
            <w:r w:rsidRPr="00582CFC">
              <w:rPr>
                <w:rFonts w:ascii="Arial" w:hAnsi="Arial"/>
                <w:sz w:val="16"/>
                <w:lang w:val="en-GB"/>
              </w:rPr>
              <w:t>X</w:t>
            </w:r>
          </w:p>
        </w:tc>
      </w:tr>
    </w:tbl>
    <w:p w14:paraId="7489AF77" w14:textId="4A0DC546" w:rsidR="00504E07" w:rsidRPr="005E0069" w:rsidRDefault="00504E07" w:rsidP="00504E07">
      <w:pPr>
        <w:pStyle w:val="Caption"/>
        <w:keepNext/>
        <w:rPr>
          <w:rFonts w:ascii="Arial" w:hAnsi="Arial" w:cs="Arial"/>
          <w:b/>
          <w:bCs/>
          <w:i w:val="0"/>
          <w:iCs w:val="0"/>
          <w:color w:val="000000" w:themeColor="text1"/>
        </w:rPr>
      </w:pPr>
      <w:bookmarkStart w:id="9" w:name="_Ref77929973"/>
      <w:bookmarkStart w:id="10" w:name="_Toc77505722"/>
      <w:bookmarkStart w:id="11" w:name="_Toc77505754"/>
      <w:bookmarkStart w:id="12" w:name="_Toc77505787"/>
      <w:r>
        <w:rPr>
          <w:rFonts w:ascii="Arial" w:hAnsi="Arial" w:cs="Arial"/>
          <w:b/>
          <w:bCs/>
          <w:i w:val="0"/>
          <w:iCs w:val="0"/>
          <w:color w:val="000000" w:themeColor="text1"/>
        </w:rPr>
        <w:br/>
      </w:r>
      <w:r w:rsidRPr="005E0069">
        <w:rPr>
          <w:rFonts w:ascii="Arial" w:hAnsi="Arial" w:cs="Arial"/>
          <w:b/>
          <w:bCs/>
          <w:i w:val="0"/>
          <w:iCs w:val="0"/>
          <w:color w:val="000000" w:themeColor="text1"/>
        </w:rPr>
        <w:t xml:space="preserve">Table </w:t>
      </w:r>
      <w:r w:rsidRPr="005E0069">
        <w:rPr>
          <w:rFonts w:ascii="Arial" w:hAnsi="Arial" w:cs="Arial"/>
          <w:b/>
          <w:bCs/>
          <w:i w:val="0"/>
          <w:iCs w:val="0"/>
          <w:color w:val="000000" w:themeColor="text1"/>
        </w:rPr>
        <w:fldChar w:fldCharType="begin"/>
      </w:r>
      <w:r w:rsidRPr="005E0069">
        <w:rPr>
          <w:rFonts w:ascii="Arial" w:hAnsi="Arial" w:cs="Arial"/>
          <w:b/>
          <w:bCs/>
          <w:i w:val="0"/>
          <w:iCs w:val="0"/>
          <w:color w:val="000000" w:themeColor="text1"/>
        </w:rPr>
        <w:instrText xml:space="preserve"> SEQ Table \* ARABIC </w:instrText>
      </w:r>
      <w:r w:rsidRPr="005E0069">
        <w:rPr>
          <w:rFonts w:ascii="Arial" w:hAnsi="Arial" w:cs="Arial"/>
          <w:b/>
          <w:bCs/>
          <w:i w:val="0"/>
          <w:iCs w:val="0"/>
          <w:color w:val="000000" w:themeColor="text1"/>
        </w:rPr>
        <w:fldChar w:fldCharType="separate"/>
      </w:r>
      <w:r>
        <w:rPr>
          <w:rFonts w:ascii="Arial" w:hAnsi="Arial" w:cs="Arial"/>
          <w:b/>
          <w:bCs/>
          <w:i w:val="0"/>
          <w:iCs w:val="0"/>
          <w:noProof/>
          <w:color w:val="000000" w:themeColor="text1"/>
        </w:rPr>
        <w:t>1</w:t>
      </w:r>
      <w:r w:rsidRPr="005E0069">
        <w:rPr>
          <w:rFonts w:ascii="Arial" w:hAnsi="Arial" w:cs="Arial"/>
          <w:b/>
          <w:bCs/>
          <w:i w:val="0"/>
          <w:iCs w:val="0"/>
          <w:color w:val="000000" w:themeColor="text1"/>
        </w:rPr>
        <w:fldChar w:fldCharType="end"/>
      </w:r>
      <w:bookmarkEnd w:id="9"/>
      <w:r w:rsidRPr="005E0069">
        <w:rPr>
          <w:rFonts w:ascii="Arial" w:hAnsi="Arial" w:cs="Arial"/>
          <w:b/>
          <w:bCs/>
          <w:i w:val="0"/>
          <w:iCs w:val="0"/>
          <w:color w:val="000000" w:themeColor="text1"/>
        </w:rPr>
        <w:t>: Study visits and procedures</w:t>
      </w:r>
      <w:bookmarkEnd w:id="10"/>
      <w:bookmarkEnd w:id="11"/>
      <w:bookmarkEnd w:id="12"/>
    </w:p>
    <w:p w14:paraId="25D7ADA8" w14:textId="2B8C310D" w:rsidR="00504E07" w:rsidRPr="00504E07" w:rsidRDefault="00504E07" w:rsidP="00504E07">
      <w:pPr>
        <w:jc w:val="left"/>
        <w:rPr>
          <w:rFonts w:ascii="Arial" w:hAnsi="Arial" w:cs="Arial"/>
          <w:i/>
          <w:iCs/>
          <w:sz w:val="20"/>
          <w:szCs w:val="20"/>
          <w:lang w:val="en-GB"/>
        </w:rPr>
      </w:pPr>
      <w:r>
        <w:rPr>
          <w:rFonts w:ascii="Arial" w:hAnsi="Arial" w:cs="Arial"/>
          <w:i/>
          <w:iCs/>
          <w:sz w:val="20"/>
          <w:szCs w:val="20"/>
          <w:lang w:val="en-GB"/>
        </w:rPr>
        <w:t xml:space="preserve">     </w:t>
      </w:r>
      <w:r w:rsidRPr="00504E07">
        <w:rPr>
          <w:rFonts w:ascii="Arial" w:hAnsi="Arial" w:cs="Arial"/>
          <w:i/>
          <w:iCs/>
          <w:sz w:val="20"/>
          <w:szCs w:val="20"/>
          <w:lang w:val="en-GB"/>
        </w:rPr>
        <w:t>Footnotes: see next page</w:t>
      </w:r>
    </w:p>
    <w:p w14:paraId="19C93BA9" w14:textId="4A06B78F" w:rsidR="00BB670A" w:rsidRPr="00504E07" w:rsidRDefault="00BB670A" w:rsidP="00504E07">
      <w:pPr>
        <w:jc w:val="left"/>
        <w:rPr>
          <w:rFonts w:ascii="Arial" w:hAnsi="Arial" w:cs="Arial"/>
          <w:i/>
          <w:iCs/>
          <w:sz w:val="20"/>
          <w:szCs w:val="20"/>
          <w:lang w:val="en-GB"/>
        </w:rPr>
        <w:sectPr w:rsidR="00BB670A" w:rsidRPr="00504E07" w:rsidSect="00504E07">
          <w:pgSz w:w="16838" w:h="11906" w:orient="landscape"/>
          <w:pgMar w:top="1417" w:right="1701" w:bottom="1417" w:left="1134" w:header="708" w:footer="708" w:gutter="0"/>
          <w:cols w:space="708"/>
          <w:docGrid w:linePitch="360"/>
        </w:sectPr>
      </w:pPr>
    </w:p>
    <w:p w14:paraId="78CB0A9A" w14:textId="7140DD59" w:rsidR="00E1334B" w:rsidRPr="00EC0C51" w:rsidRDefault="00E1334B" w:rsidP="00B40781">
      <w:pPr>
        <w:jc w:val="left"/>
        <w:rPr>
          <w:rFonts w:ascii="Arial" w:hAnsi="Arial" w:cs="Arial"/>
          <w:sz w:val="20"/>
          <w:szCs w:val="20"/>
          <w:lang w:val="en-GB"/>
        </w:rPr>
      </w:pPr>
      <w:r w:rsidRPr="00504E07">
        <w:rPr>
          <w:rFonts w:ascii="Arial" w:hAnsi="Arial" w:cs="Arial"/>
          <w:b/>
          <w:bCs/>
          <w:noProof/>
          <w:sz w:val="20"/>
          <w:szCs w:val="20"/>
        </w:rPr>
        <w:lastRenderedPageBreak/>
        <w:t xml:space="preserve">Footnotes to </w:t>
      </w:r>
      <w:r w:rsidR="00504E07" w:rsidRPr="00B40781">
        <w:rPr>
          <w:rFonts w:ascii="Arial" w:hAnsi="Arial" w:cs="Arial"/>
          <w:b/>
          <w:bCs/>
          <w:noProof/>
          <w:sz w:val="20"/>
          <w:szCs w:val="20"/>
        </w:rPr>
        <w:t xml:space="preserve">table1 </w:t>
      </w:r>
      <w:r w:rsidR="00A92862">
        <w:rPr>
          <w:rFonts w:ascii="Arial" w:hAnsi="Arial" w:cs="Arial"/>
          <w:b/>
          <w:bCs/>
          <w:noProof/>
          <w:sz w:val="20"/>
          <w:szCs w:val="20"/>
        </w:rPr>
        <w:br/>
      </w:r>
      <w:r w:rsidRPr="00EC0C51">
        <w:rPr>
          <w:rFonts w:ascii="Arial" w:hAnsi="Arial" w:cs="Arial"/>
          <w:sz w:val="20"/>
          <w:szCs w:val="20"/>
          <w:lang w:val="en-GB"/>
        </w:rPr>
        <w:t>Clin. ind., clinically indicated; med., medical; dept., department.</w:t>
      </w:r>
      <w:r w:rsidRPr="00EC0C51">
        <w:rPr>
          <w:rFonts w:ascii="Arial" w:hAnsi="Arial" w:cs="Arial"/>
          <w:sz w:val="20"/>
          <w:szCs w:val="20"/>
          <w:lang w:val="en-GB"/>
        </w:rPr>
        <w:br/>
      </w:r>
      <w:r w:rsidRPr="00EC0C51">
        <w:rPr>
          <w:rFonts w:ascii="Arial" w:hAnsi="Arial" w:cs="Arial"/>
          <w:noProof/>
          <w:sz w:val="20"/>
          <w:szCs w:val="20"/>
          <w:lang w:val="en-GB"/>
        </w:rPr>
        <w:t>End of study: At the end of the 4th</w:t>
      </w:r>
      <w:r w:rsidRPr="00EC0C51">
        <w:rPr>
          <w:rFonts w:ascii="Arial" w:hAnsi="Arial" w:cs="Arial"/>
          <w:sz w:val="20"/>
          <w:szCs w:val="20"/>
          <w:lang w:val="en-GB"/>
        </w:rPr>
        <w:t xml:space="preserve"> follow-up visit or upon determination of relapse/progression/death, whichever occurs earlier.</w:t>
      </w:r>
    </w:p>
    <w:p w14:paraId="2062A750" w14:textId="41817D1F" w:rsidR="00E1334B" w:rsidRPr="00EC0C51" w:rsidRDefault="00E1334B" w:rsidP="004243DF">
      <w:pPr>
        <w:rPr>
          <w:rFonts w:ascii="Arial" w:hAnsi="Arial" w:cs="Arial"/>
          <w:noProof/>
          <w:sz w:val="20"/>
          <w:szCs w:val="20"/>
          <w:lang w:val="en-GB"/>
        </w:rPr>
      </w:pPr>
      <w:r w:rsidRPr="00EC0C51">
        <w:rPr>
          <w:rFonts w:ascii="Arial" w:hAnsi="Arial" w:cs="Arial"/>
          <w:noProof/>
          <w:sz w:val="20"/>
          <w:szCs w:val="20"/>
          <w:lang w:val="en-GB"/>
        </w:rPr>
        <w:t xml:space="preserve">If the patient withdraws or is </w:t>
      </w:r>
      <w:r w:rsidRPr="00EC0C51">
        <w:rPr>
          <w:rFonts w:ascii="Arial" w:hAnsi="Arial" w:cs="Arial"/>
          <w:sz w:val="20"/>
          <w:szCs w:val="20"/>
        </w:rPr>
        <w:t>withdrawn</w:t>
      </w:r>
      <w:r w:rsidRPr="00EC0C51">
        <w:rPr>
          <w:rFonts w:ascii="Arial" w:hAnsi="Arial" w:cs="Arial"/>
          <w:noProof/>
          <w:sz w:val="20"/>
          <w:szCs w:val="20"/>
          <w:lang w:val="en-GB"/>
        </w:rPr>
        <w:t xml:space="preserve"> prematurely (i.e., before Visit 9) then the reason(s) is/are to be documented; for procedures see </w:t>
      </w:r>
      <w:r w:rsidR="005F3846">
        <w:rPr>
          <w:rFonts w:ascii="Arial" w:hAnsi="Arial" w:cs="Arial"/>
          <w:noProof/>
          <w:sz w:val="20"/>
          <w:szCs w:val="20"/>
          <w:lang w:val="en-GB"/>
        </w:rPr>
        <w:t>s</w:t>
      </w:r>
      <w:r w:rsidRPr="00EC0C51">
        <w:rPr>
          <w:rFonts w:ascii="Arial" w:hAnsi="Arial" w:cs="Arial"/>
          <w:noProof/>
          <w:sz w:val="20"/>
          <w:szCs w:val="20"/>
          <w:lang w:val="en-GB"/>
        </w:rPr>
        <w:t>ection </w:t>
      </w:r>
      <w:r w:rsidR="005F3846">
        <w:rPr>
          <w:rFonts w:ascii="Arial" w:hAnsi="Arial" w:cs="Arial"/>
          <w:noProof/>
          <w:sz w:val="20"/>
          <w:szCs w:val="20"/>
          <w:lang w:val="en-GB"/>
        </w:rPr>
        <w:fldChar w:fldCharType="begin"/>
      </w:r>
      <w:r w:rsidR="005F3846">
        <w:rPr>
          <w:rFonts w:ascii="Arial" w:hAnsi="Arial" w:cs="Arial"/>
          <w:noProof/>
          <w:sz w:val="20"/>
          <w:szCs w:val="20"/>
          <w:lang w:val="en-GB"/>
        </w:rPr>
        <w:instrText xml:space="preserve"> REF _Ref77532395 \r \h </w:instrText>
      </w:r>
      <w:r w:rsidR="005F3846">
        <w:rPr>
          <w:rFonts w:ascii="Arial" w:hAnsi="Arial" w:cs="Arial"/>
          <w:noProof/>
          <w:sz w:val="20"/>
          <w:szCs w:val="20"/>
          <w:lang w:val="en-GB"/>
        </w:rPr>
      </w:r>
      <w:r w:rsidR="005F3846">
        <w:rPr>
          <w:rFonts w:ascii="Arial" w:hAnsi="Arial" w:cs="Arial"/>
          <w:noProof/>
          <w:sz w:val="20"/>
          <w:szCs w:val="20"/>
          <w:lang w:val="en-GB"/>
        </w:rPr>
        <w:fldChar w:fldCharType="separate"/>
      </w:r>
      <w:r w:rsidR="00674DB6">
        <w:rPr>
          <w:rFonts w:ascii="Arial" w:hAnsi="Arial" w:cs="Arial"/>
          <w:noProof/>
          <w:sz w:val="20"/>
          <w:szCs w:val="20"/>
          <w:lang w:val="en-GB"/>
        </w:rPr>
        <w:t>8.3.1</w:t>
      </w:r>
      <w:r w:rsidR="005F3846">
        <w:rPr>
          <w:rFonts w:ascii="Arial" w:hAnsi="Arial" w:cs="Arial"/>
          <w:noProof/>
          <w:sz w:val="20"/>
          <w:szCs w:val="20"/>
          <w:lang w:val="en-GB"/>
        </w:rPr>
        <w:fldChar w:fldCharType="end"/>
      </w:r>
      <w:r w:rsidRPr="00EC0C51">
        <w:rPr>
          <w:rFonts w:ascii="Arial" w:hAnsi="Arial" w:cs="Arial"/>
          <w:noProof/>
          <w:sz w:val="20"/>
          <w:szCs w:val="20"/>
          <w:lang w:val="en-GB"/>
        </w:rPr>
        <w:t>.</w:t>
      </w:r>
    </w:p>
    <w:p w14:paraId="03B97B29" w14:textId="77777777" w:rsidR="00E1334B" w:rsidRPr="00504E07" w:rsidRDefault="00E1334B" w:rsidP="0007738F">
      <w:pPr>
        <w:spacing w:after="60"/>
        <w:rPr>
          <w:rFonts w:ascii="Arial" w:hAnsi="Arial" w:cs="Arial"/>
          <w:i/>
          <w:noProof/>
          <w:sz w:val="20"/>
          <w:szCs w:val="20"/>
          <w:lang w:val="en-GB"/>
        </w:rPr>
      </w:pPr>
      <w:r w:rsidRPr="00504E07">
        <w:rPr>
          <w:rFonts w:ascii="Arial" w:hAnsi="Arial" w:cs="Arial"/>
          <w:i/>
          <w:noProof/>
          <w:sz w:val="20"/>
          <w:szCs w:val="20"/>
          <w:lang w:val="en-GB"/>
        </w:rPr>
        <w:t>a)</w:t>
      </w:r>
      <w:r w:rsidRPr="00504E07">
        <w:rPr>
          <w:rFonts w:ascii="Arial" w:hAnsi="Arial" w:cs="Arial"/>
          <w:i/>
          <w:noProof/>
          <w:sz w:val="20"/>
          <w:szCs w:val="20"/>
          <w:lang w:val="en-GB"/>
        </w:rPr>
        <w:tab/>
      </w:r>
      <w:r w:rsidRPr="00504E07">
        <w:rPr>
          <w:rFonts w:ascii="Arial" w:hAnsi="Arial" w:cs="Arial"/>
          <w:i/>
          <w:sz w:val="20"/>
          <w:szCs w:val="20"/>
        </w:rPr>
        <w:t>Clinical</w:t>
      </w:r>
      <w:r w:rsidRPr="00504E07">
        <w:rPr>
          <w:rFonts w:ascii="Arial" w:hAnsi="Arial" w:cs="Arial"/>
          <w:i/>
          <w:noProof/>
          <w:sz w:val="20"/>
          <w:szCs w:val="20"/>
          <w:lang w:val="en-GB"/>
        </w:rPr>
        <w:t xml:space="preserve"> research unit (CRU): Oncology or haematology unit.</w:t>
      </w:r>
    </w:p>
    <w:p w14:paraId="7DB6983A" w14:textId="77777777" w:rsidR="00E1334B" w:rsidRPr="00504E07" w:rsidRDefault="00E1334B" w:rsidP="0007738F">
      <w:pPr>
        <w:spacing w:after="60"/>
        <w:rPr>
          <w:rFonts w:ascii="Arial" w:hAnsi="Arial" w:cs="Arial"/>
          <w:i/>
          <w:noProof/>
          <w:sz w:val="20"/>
          <w:szCs w:val="20"/>
          <w:lang w:val="en-GB"/>
        </w:rPr>
      </w:pPr>
      <w:r w:rsidRPr="00504E07">
        <w:rPr>
          <w:rFonts w:ascii="Arial" w:hAnsi="Arial" w:cs="Arial"/>
          <w:i/>
          <w:noProof/>
          <w:sz w:val="20"/>
          <w:szCs w:val="20"/>
          <w:lang w:val="en-GB"/>
        </w:rPr>
        <w:t>b)</w:t>
      </w:r>
      <w:r w:rsidRPr="00504E07">
        <w:rPr>
          <w:rFonts w:ascii="Arial" w:hAnsi="Arial" w:cs="Arial"/>
          <w:i/>
          <w:noProof/>
          <w:sz w:val="20"/>
          <w:szCs w:val="20"/>
          <w:lang w:val="en-GB"/>
        </w:rPr>
        <w:tab/>
        <w:t>No invasive study procedures are to be conducted before the patient’s informed consent has been given in writing.</w:t>
      </w:r>
    </w:p>
    <w:p w14:paraId="60FADC15" w14:textId="6543FA61" w:rsidR="00E1334B" w:rsidRPr="00504E07" w:rsidRDefault="00E1334B" w:rsidP="0007738F">
      <w:pPr>
        <w:spacing w:after="60"/>
        <w:ind w:left="720" w:hanging="720"/>
        <w:rPr>
          <w:rFonts w:ascii="Arial" w:hAnsi="Arial" w:cs="Arial"/>
          <w:i/>
          <w:noProof/>
          <w:sz w:val="20"/>
          <w:szCs w:val="20"/>
          <w:lang w:val="en-GB"/>
        </w:rPr>
      </w:pPr>
      <w:r w:rsidRPr="00504E07">
        <w:rPr>
          <w:rFonts w:ascii="Arial" w:hAnsi="Arial" w:cs="Arial"/>
          <w:i/>
          <w:noProof/>
          <w:sz w:val="20"/>
          <w:szCs w:val="20"/>
          <w:lang w:val="en-GB"/>
        </w:rPr>
        <w:t>c)</w:t>
      </w:r>
      <w:r w:rsidRPr="00504E07">
        <w:rPr>
          <w:rFonts w:ascii="Arial" w:hAnsi="Arial" w:cs="Arial"/>
          <w:i/>
          <w:noProof/>
          <w:sz w:val="20"/>
          <w:szCs w:val="20"/>
          <w:lang w:val="en-GB"/>
        </w:rPr>
        <w:tab/>
        <w:t xml:space="preserve">If applicable (female </w:t>
      </w:r>
      <w:r w:rsidRPr="00504E07">
        <w:rPr>
          <w:rFonts w:ascii="Arial" w:hAnsi="Arial" w:cs="Arial"/>
          <w:i/>
          <w:sz w:val="20"/>
          <w:szCs w:val="20"/>
        </w:rPr>
        <w:t>patient</w:t>
      </w:r>
      <w:r w:rsidRPr="00504E07">
        <w:rPr>
          <w:rFonts w:ascii="Arial" w:hAnsi="Arial" w:cs="Arial"/>
          <w:i/>
          <w:noProof/>
          <w:sz w:val="20"/>
          <w:szCs w:val="20"/>
          <w:lang w:val="en-GB"/>
        </w:rPr>
        <w:t xml:space="preserve"> of child-bearing potential). Measured by urine or serum according to local practice and as frequently as required by local regulations.</w:t>
      </w:r>
    </w:p>
    <w:p w14:paraId="12DA0AF1" w14:textId="77777777" w:rsidR="00E1334B" w:rsidRPr="00504E07" w:rsidRDefault="00E1334B" w:rsidP="0007738F">
      <w:pPr>
        <w:spacing w:after="60"/>
        <w:rPr>
          <w:rFonts w:ascii="Arial" w:hAnsi="Arial" w:cs="Arial"/>
          <w:i/>
          <w:noProof/>
          <w:sz w:val="20"/>
          <w:szCs w:val="20"/>
          <w:lang w:val="en-GB"/>
        </w:rPr>
      </w:pPr>
      <w:r w:rsidRPr="00504E07">
        <w:rPr>
          <w:rFonts w:ascii="Arial" w:hAnsi="Arial" w:cs="Arial"/>
          <w:i/>
          <w:noProof/>
          <w:sz w:val="20"/>
          <w:szCs w:val="20"/>
          <w:lang w:val="en-GB"/>
        </w:rPr>
        <w:t>d)</w:t>
      </w:r>
      <w:r w:rsidRPr="00504E07">
        <w:rPr>
          <w:rFonts w:ascii="Arial" w:hAnsi="Arial" w:cs="Arial"/>
          <w:i/>
          <w:noProof/>
          <w:sz w:val="20"/>
          <w:szCs w:val="20"/>
          <w:lang w:val="en-GB"/>
        </w:rPr>
        <w:tab/>
        <w:t>At Visit 1, all concomitant medications are to be recorded; at subsequent visits, the patient is to be asked to report any changes.</w:t>
      </w:r>
    </w:p>
    <w:p w14:paraId="51E275F3" w14:textId="09BC761E" w:rsidR="00E1334B" w:rsidRPr="00504E07" w:rsidRDefault="00E1334B" w:rsidP="0007738F">
      <w:pPr>
        <w:spacing w:after="60"/>
        <w:rPr>
          <w:rFonts w:ascii="Arial" w:hAnsi="Arial" w:cs="Arial"/>
          <w:i/>
          <w:noProof/>
          <w:sz w:val="20"/>
          <w:szCs w:val="20"/>
          <w:lang w:val="en-GB"/>
        </w:rPr>
      </w:pPr>
      <w:r w:rsidRPr="00504E07">
        <w:rPr>
          <w:rFonts w:ascii="Arial" w:hAnsi="Arial" w:cs="Arial"/>
          <w:i/>
          <w:noProof/>
          <w:sz w:val="20"/>
          <w:szCs w:val="20"/>
          <w:lang w:val="en-GB"/>
        </w:rPr>
        <w:t>e)</w:t>
      </w:r>
      <w:r w:rsidRPr="00504E07">
        <w:rPr>
          <w:rFonts w:ascii="Arial" w:hAnsi="Arial" w:cs="Arial"/>
          <w:i/>
          <w:noProof/>
          <w:sz w:val="20"/>
          <w:szCs w:val="20"/>
          <w:lang w:val="en-GB"/>
        </w:rPr>
        <w:tab/>
        <w:t xml:space="preserve">Blood and urine samples for haematology, serum chemistry and urinalysis; details are given in </w:t>
      </w:r>
      <w:r w:rsidR="005F3846" w:rsidRPr="00504E07">
        <w:rPr>
          <w:rFonts w:ascii="Arial" w:hAnsi="Arial" w:cs="Arial"/>
          <w:i/>
          <w:noProof/>
          <w:sz w:val="20"/>
          <w:szCs w:val="20"/>
          <w:lang w:val="en-GB"/>
        </w:rPr>
        <w:t>s</w:t>
      </w:r>
      <w:r w:rsidRPr="00504E07">
        <w:rPr>
          <w:rFonts w:ascii="Arial" w:hAnsi="Arial" w:cs="Arial"/>
          <w:i/>
          <w:noProof/>
          <w:sz w:val="20"/>
          <w:szCs w:val="20"/>
          <w:lang w:val="en-GB"/>
        </w:rPr>
        <w:t>ection </w:t>
      </w:r>
      <w:r w:rsidR="005F3846" w:rsidRPr="00504E07">
        <w:rPr>
          <w:rFonts w:ascii="Arial" w:hAnsi="Arial" w:cs="Arial"/>
          <w:i/>
          <w:noProof/>
          <w:sz w:val="20"/>
          <w:szCs w:val="20"/>
          <w:lang w:val="en-GB"/>
        </w:rPr>
        <w:fldChar w:fldCharType="begin"/>
      </w:r>
      <w:r w:rsidR="005F3846" w:rsidRPr="00504E07">
        <w:rPr>
          <w:rFonts w:ascii="Arial" w:hAnsi="Arial" w:cs="Arial"/>
          <w:i/>
          <w:noProof/>
          <w:sz w:val="20"/>
          <w:szCs w:val="20"/>
          <w:lang w:val="en-GB"/>
        </w:rPr>
        <w:instrText xml:space="preserve"> REF _Ref77532418 \r \h </w:instrText>
      </w:r>
      <w:r w:rsidR="00504E07" w:rsidRPr="00504E07">
        <w:rPr>
          <w:rFonts w:ascii="Arial" w:hAnsi="Arial" w:cs="Arial"/>
          <w:i/>
          <w:noProof/>
          <w:sz w:val="20"/>
          <w:szCs w:val="20"/>
          <w:lang w:val="en-GB"/>
        </w:rPr>
        <w:instrText xml:space="preserve"> \* MERGEFORMAT </w:instrText>
      </w:r>
      <w:r w:rsidR="005F3846" w:rsidRPr="00504E07">
        <w:rPr>
          <w:rFonts w:ascii="Arial" w:hAnsi="Arial" w:cs="Arial"/>
          <w:i/>
          <w:noProof/>
          <w:sz w:val="20"/>
          <w:szCs w:val="20"/>
          <w:lang w:val="en-GB"/>
        </w:rPr>
      </w:r>
      <w:r w:rsidR="005F3846" w:rsidRPr="00504E07">
        <w:rPr>
          <w:rFonts w:ascii="Arial" w:hAnsi="Arial" w:cs="Arial"/>
          <w:i/>
          <w:noProof/>
          <w:sz w:val="20"/>
          <w:szCs w:val="20"/>
          <w:lang w:val="en-GB"/>
        </w:rPr>
        <w:fldChar w:fldCharType="separate"/>
      </w:r>
      <w:r w:rsidR="00674DB6" w:rsidRPr="00504E07">
        <w:rPr>
          <w:rFonts w:ascii="Arial" w:hAnsi="Arial" w:cs="Arial"/>
          <w:i/>
          <w:noProof/>
          <w:sz w:val="20"/>
          <w:szCs w:val="20"/>
          <w:lang w:val="en-GB"/>
        </w:rPr>
        <w:t>10.3</w:t>
      </w:r>
      <w:r w:rsidR="005F3846" w:rsidRPr="00504E07">
        <w:rPr>
          <w:rFonts w:ascii="Arial" w:hAnsi="Arial" w:cs="Arial"/>
          <w:i/>
          <w:noProof/>
          <w:sz w:val="20"/>
          <w:szCs w:val="20"/>
          <w:lang w:val="en-GB"/>
        </w:rPr>
        <w:fldChar w:fldCharType="end"/>
      </w:r>
      <w:r w:rsidRPr="00504E07">
        <w:rPr>
          <w:rFonts w:ascii="Arial" w:hAnsi="Arial" w:cs="Arial"/>
          <w:i/>
          <w:noProof/>
          <w:sz w:val="20"/>
          <w:szCs w:val="20"/>
          <w:lang w:val="en-GB"/>
        </w:rPr>
        <w:t>.</w:t>
      </w:r>
    </w:p>
    <w:p w14:paraId="77D3C02B" w14:textId="1E0C0DC1" w:rsidR="00E1334B" w:rsidRPr="00504E07" w:rsidRDefault="00E1334B" w:rsidP="0007738F">
      <w:pPr>
        <w:spacing w:after="60"/>
        <w:rPr>
          <w:rFonts w:ascii="Arial" w:hAnsi="Arial" w:cs="Arial"/>
          <w:i/>
          <w:noProof/>
          <w:sz w:val="20"/>
          <w:szCs w:val="20"/>
          <w:lang w:val="en-GB"/>
        </w:rPr>
      </w:pPr>
      <w:r w:rsidRPr="00504E07">
        <w:rPr>
          <w:rFonts w:ascii="Arial" w:hAnsi="Arial" w:cs="Arial"/>
          <w:i/>
          <w:noProof/>
          <w:sz w:val="20"/>
          <w:szCs w:val="20"/>
          <w:lang w:val="en-GB"/>
        </w:rPr>
        <w:t>f)</w:t>
      </w:r>
      <w:r w:rsidRPr="00504E07">
        <w:rPr>
          <w:rFonts w:ascii="Arial" w:hAnsi="Arial" w:cs="Arial"/>
          <w:i/>
          <w:noProof/>
          <w:sz w:val="20"/>
          <w:szCs w:val="20"/>
          <w:lang w:val="en-GB"/>
        </w:rPr>
        <w:tab/>
      </w:r>
      <w:r w:rsidR="0085634D" w:rsidRPr="00504E07">
        <w:rPr>
          <w:rFonts w:ascii="Arial" w:hAnsi="Arial" w:cs="Arial"/>
          <w:i/>
          <w:noProof/>
          <w:sz w:val="20"/>
          <w:szCs w:val="20"/>
          <w:lang w:val="en-GB"/>
        </w:rPr>
        <w:t>Only performed, if patient gave written informed consent to take part in the a</w:t>
      </w:r>
      <w:r w:rsidRPr="00504E07">
        <w:rPr>
          <w:rFonts w:ascii="Arial" w:hAnsi="Arial" w:cs="Arial"/>
          <w:i/>
          <w:noProof/>
          <w:sz w:val="20"/>
          <w:szCs w:val="20"/>
          <w:lang w:val="en-GB"/>
        </w:rPr>
        <w:t xml:space="preserve">ccompanying substudy; details </w:t>
      </w:r>
      <w:r w:rsidRPr="00504E07">
        <w:rPr>
          <w:rFonts w:ascii="Arial" w:hAnsi="Arial" w:cs="Arial"/>
          <w:i/>
          <w:sz w:val="20"/>
          <w:szCs w:val="20"/>
        </w:rPr>
        <w:t>in</w:t>
      </w:r>
      <w:r w:rsidRPr="00504E07">
        <w:rPr>
          <w:rFonts w:ascii="Arial" w:hAnsi="Arial" w:cs="Arial"/>
          <w:i/>
          <w:noProof/>
          <w:sz w:val="20"/>
          <w:szCs w:val="20"/>
          <w:lang w:val="en-GB"/>
        </w:rPr>
        <w:t xml:space="preserve"> </w:t>
      </w:r>
      <w:r w:rsidR="00F12F6E" w:rsidRPr="00504E07">
        <w:rPr>
          <w:rFonts w:ascii="Arial" w:hAnsi="Arial" w:cs="Arial"/>
          <w:i/>
          <w:noProof/>
          <w:sz w:val="20"/>
          <w:szCs w:val="20"/>
          <w:lang w:val="en-GB"/>
        </w:rPr>
        <w:t>s</w:t>
      </w:r>
      <w:r w:rsidRPr="00504E07">
        <w:rPr>
          <w:rFonts w:ascii="Arial" w:hAnsi="Arial" w:cs="Arial"/>
          <w:i/>
          <w:noProof/>
          <w:sz w:val="20"/>
          <w:szCs w:val="20"/>
          <w:lang w:val="en-GB"/>
        </w:rPr>
        <w:t>ection </w:t>
      </w:r>
      <w:r w:rsidR="00F12F6E" w:rsidRPr="00504E07">
        <w:rPr>
          <w:rFonts w:ascii="Arial" w:hAnsi="Arial" w:cs="Arial"/>
          <w:i/>
          <w:noProof/>
          <w:sz w:val="20"/>
          <w:szCs w:val="20"/>
          <w:lang w:val="en-GB"/>
        </w:rPr>
        <w:fldChar w:fldCharType="begin"/>
      </w:r>
      <w:r w:rsidR="00F12F6E" w:rsidRPr="00504E07">
        <w:rPr>
          <w:rFonts w:ascii="Arial" w:hAnsi="Arial" w:cs="Arial"/>
          <w:i/>
          <w:noProof/>
          <w:sz w:val="20"/>
          <w:szCs w:val="20"/>
          <w:lang w:val="en-GB"/>
        </w:rPr>
        <w:instrText xml:space="preserve"> REF _Ref77532434 \r \h </w:instrText>
      </w:r>
      <w:r w:rsidR="00504E07" w:rsidRPr="00504E07">
        <w:rPr>
          <w:rFonts w:ascii="Arial" w:hAnsi="Arial" w:cs="Arial"/>
          <w:i/>
          <w:noProof/>
          <w:sz w:val="20"/>
          <w:szCs w:val="20"/>
          <w:lang w:val="en-GB"/>
        </w:rPr>
        <w:instrText xml:space="preserve"> \* MERGEFORMAT </w:instrText>
      </w:r>
      <w:r w:rsidR="00F12F6E" w:rsidRPr="00504E07">
        <w:rPr>
          <w:rFonts w:ascii="Arial" w:hAnsi="Arial" w:cs="Arial"/>
          <w:i/>
          <w:noProof/>
          <w:sz w:val="20"/>
          <w:szCs w:val="20"/>
          <w:lang w:val="en-GB"/>
        </w:rPr>
      </w:r>
      <w:r w:rsidR="00F12F6E" w:rsidRPr="00504E07">
        <w:rPr>
          <w:rFonts w:ascii="Arial" w:hAnsi="Arial" w:cs="Arial"/>
          <w:i/>
          <w:noProof/>
          <w:sz w:val="20"/>
          <w:szCs w:val="20"/>
          <w:lang w:val="en-GB"/>
        </w:rPr>
        <w:fldChar w:fldCharType="separate"/>
      </w:r>
      <w:r w:rsidR="00674DB6" w:rsidRPr="00504E07">
        <w:rPr>
          <w:rFonts w:ascii="Arial" w:hAnsi="Arial" w:cs="Arial"/>
          <w:i/>
          <w:noProof/>
          <w:sz w:val="20"/>
          <w:szCs w:val="20"/>
          <w:lang w:val="en-GB"/>
        </w:rPr>
        <w:t>10.8</w:t>
      </w:r>
      <w:r w:rsidR="00F12F6E" w:rsidRPr="00504E07">
        <w:rPr>
          <w:rFonts w:ascii="Arial" w:hAnsi="Arial" w:cs="Arial"/>
          <w:i/>
          <w:noProof/>
          <w:sz w:val="20"/>
          <w:szCs w:val="20"/>
          <w:lang w:val="en-GB"/>
        </w:rPr>
        <w:fldChar w:fldCharType="end"/>
      </w:r>
      <w:r w:rsidRPr="00504E07">
        <w:rPr>
          <w:rFonts w:ascii="Arial" w:hAnsi="Arial" w:cs="Arial"/>
          <w:i/>
          <w:noProof/>
          <w:sz w:val="20"/>
          <w:szCs w:val="20"/>
          <w:lang w:val="en-GB"/>
        </w:rPr>
        <w:t>.</w:t>
      </w:r>
    </w:p>
    <w:p w14:paraId="11802A1C" w14:textId="4F786913" w:rsidR="00E1334B" w:rsidRPr="00504E07" w:rsidRDefault="00E1334B" w:rsidP="0007738F">
      <w:pPr>
        <w:spacing w:after="60"/>
        <w:rPr>
          <w:rFonts w:ascii="Arial" w:hAnsi="Arial" w:cs="Arial"/>
          <w:i/>
          <w:noProof/>
          <w:sz w:val="20"/>
          <w:szCs w:val="20"/>
          <w:lang w:val="en-GB"/>
        </w:rPr>
      </w:pPr>
      <w:r w:rsidRPr="00504E07">
        <w:rPr>
          <w:rFonts w:ascii="Arial" w:hAnsi="Arial" w:cs="Arial"/>
          <w:i/>
          <w:noProof/>
          <w:sz w:val="20"/>
          <w:szCs w:val="20"/>
          <w:lang w:val="en-GB"/>
        </w:rPr>
        <w:t>g)</w:t>
      </w:r>
      <w:r w:rsidRPr="00504E07">
        <w:rPr>
          <w:rFonts w:ascii="Arial" w:hAnsi="Arial" w:cs="Arial"/>
          <w:i/>
          <w:noProof/>
          <w:sz w:val="20"/>
          <w:szCs w:val="20"/>
          <w:lang w:val="en-GB"/>
        </w:rPr>
        <w:tab/>
        <w:t xml:space="preserve">Details in </w:t>
      </w:r>
      <w:r w:rsidR="00F12F6E" w:rsidRPr="00504E07">
        <w:rPr>
          <w:rFonts w:ascii="Arial" w:hAnsi="Arial" w:cs="Arial"/>
          <w:i/>
          <w:noProof/>
          <w:sz w:val="20"/>
          <w:szCs w:val="20"/>
          <w:lang w:val="en-GB"/>
        </w:rPr>
        <w:t>s</w:t>
      </w:r>
      <w:r w:rsidRPr="00504E07">
        <w:rPr>
          <w:rFonts w:ascii="Arial" w:hAnsi="Arial" w:cs="Arial"/>
          <w:i/>
          <w:noProof/>
          <w:sz w:val="20"/>
          <w:szCs w:val="20"/>
          <w:lang w:val="en-GB"/>
        </w:rPr>
        <w:t>ection </w:t>
      </w:r>
      <w:r w:rsidR="00F12F6E" w:rsidRPr="00504E07">
        <w:rPr>
          <w:rFonts w:ascii="Arial" w:hAnsi="Arial" w:cs="Arial"/>
          <w:i/>
          <w:noProof/>
          <w:sz w:val="20"/>
          <w:szCs w:val="20"/>
          <w:lang w:val="en-GB"/>
        </w:rPr>
        <w:fldChar w:fldCharType="begin"/>
      </w:r>
      <w:r w:rsidR="00F12F6E" w:rsidRPr="00504E07">
        <w:rPr>
          <w:rFonts w:ascii="Arial" w:hAnsi="Arial" w:cs="Arial"/>
          <w:i/>
          <w:noProof/>
          <w:sz w:val="20"/>
          <w:szCs w:val="20"/>
          <w:lang w:val="en-GB"/>
        </w:rPr>
        <w:instrText xml:space="preserve"> REF _Ref77532452 \r \h </w:instrText>
      </w:r>
      <w:r w:rsidR="00504E07" w:rsidRPr="00504E07">
        <w:rPr>
          <w:rFonts w:ascii="Arial" w:hAnsi="Arial" w:cs="Arial"/>
          <w:i/>
          <w:noProof/>
          <w:sz w:val="20"/>
          <w:szCs w:val="20"/>
          <w:lang w:val="en-GB"/>
        </w:rPr>
        <w:instrText xml:space="preserve"> \* MERGEFORMAT </w:instrText>
      </w:r>
      <w:r w:rsidR="00F12F6E" w:rsidRPr="00504E07">
        <w:rPr>
          <w:rFonts w:ascii="Arial" w:hAnsi="Arial" w:cs="Arial"/>
          <w:i/>
          <w:noProof/>
          <w:sz w:val="20"/>
          <w:szCs w:val="20"/>
          <w:lang w:val="en-GB"/>
        </w:rPr>
      </w:r>
      <w:r w:rsidR="00F12F6E" w:rsidRPr="00504E07">
        <w:rPr>
          <w:rFonts w:ascii="Arial" w:hAnsi="Arial" w:cs="Arial"/>
          <w:i/>
          <w:noProof/>
          <w:sz w:val="20"/>
          <w:szCs w:val="20"/>
          <w:lang w:val="en-GB"/>
        </w:rPr>
        <w:fldChar w:fldCharType="separate"/>
      </w:r>
      <w:r w:rsidR="00674DB6" w:rsidRPr="00504E07">
        <w:rPr>
          <w:rFonts w:ascii="Arial" w:hAnsi="Arial" w:cs="Arial"/>
          <w:i/>
          <w:noProof/>
          <w:sz w:val="20"/>
          <w:szCs w:val="20"/>
          <w:lang w:val="en-GB"/>
        </w:rPr>
        <w:t>10.5</w:t>
      </w:r>
      <w:r w:rsidR="00F12F6E" w:rsidRPr="00504E07">
        <w:rPr>
          <w:rFonts w:ascii="Arial" w:hAnsi="Arial" w:cs="Arial"/>
          <w:i/>
          <w:noProof/>
          <w:sz w:val="20"/>
          <w:szCs w:val="20"/>
          <w:lang w:val="en-GB"/>
        </w:rPr>
        <w:fldChar w:fldCharType="end"/>
      </w:r>
      <w:r w:rsidRPr="00504E07">
        <w:rPr>
          <w:rFonts w:ascii="Arial" w:hAnsi="Arial" w:cs="Arial"/>
          <w:i/>
          <w:noProof/>
          <w:sz w:val="20"/>
          <w:szCs w:val="20"/>
          <w:lang w:val="en-GB"/>
        </w:rPr>
        <w:t>.</w:t>
      </w:r>
    </w:p>
    <w:p w14:paraId="50FEF87B" w14:textId="569D74A9" w:rsidR="00BC035B" w:rsidRPr="00504E07" w:rsidRDefault="00BC035B" w:rsidP="0007738F">
      <w:pPr>
        <w:spacing w:after="60"/>
        <w:ind w:left="720" w:hanging="720"/>
        <w:rPr>
          <w:rFonts w:ascii="Arial" w:hAnsi="Arial" w:cs="Arial"/>
          <w:i/>
          <w:noProof/>
          <w:sz w:val="20"/>
          <w:szCs w:val="20"/>
          <w:lang w:val="en-GB"/>
        </w:rPr>
      </w:pPr>
      <w:r w:rsidRPr="00504E07">
        <w:rPr>
          <w:rFonts w:ascii="Arial" w:hAnsi="Arial" w:cs="Arial"/>
          <w:i/>
          <w:noProof/>
          <w:sz w:val="20"/>
          <w:szCs w:val="20"/>
          <w:lang w:val="en-GB"/>
        </w:rPr>
        <w:t>h)</w:t>
      </w:r>
      <w:r w:rsidR="008565D7" w:rsidRPr="00504E07">
        <w:rPr>
          <w:rFonts w:ascii="Arial" w:hAnsi="Arial" w:cs="Arial"/>
          <w:i/>
          <w:noProof/>
          <w:sz w:val="20"/>
          <w:szCs w:val="20"/>
          <w:lang w:val="en-GB"/>
        </w:rPr>
        <w:tab/>
      </w:r>
      <w:r w:rsidR="003B71C2" w:rsidRPr="00504E07">
        <w:rPr>
          <w:rFonts w:ascii="Arial" w:hAnsi="Arial" w:cs="Arial"/>
          <w:i/>
          <w:noProof/>
          <w:sz w:val="20"/>
          <w:szCs w:val="20"/>
          <w:lang w:val="en-GB"/>
        </w:rPr>
        <w:t>Only</w:t>
      </w:r>
      <w:r w:rsidR="00B40781">
        <w:rPr>
          <w:rFonts w:ascii="Arial" w:hAnsi="Arial" w:cs="Arial"/>
          <w:i/>
          <w:noProof/>
          <w:sz w:val="20"/>
          <w:szCs w:val="20"/>
          <w:lang w:val="en-GB"/>
        </w:rPr>
        <w:t xml:space="preserve"> to</w:t>
      </w:r>
      <w:r w:rsidR="003B71C2" w:rsidRPr="00504E07">
        <w:rPr>
          <w:rFonts w:ascii="Arial" w:hAnsi="Arial" w:cs="Arial"/>
          <w:i/>
          <w:noProof/>
          <w:sz w:val="20"/>
          <w:szCs w:val="20"/>
          <w:lang w:val="en-GB"/>
        </w:rPr>
        <w:t xml:space="preserve"> be performed at Visit 1, if not performed during diagnosis set-up or within 4 weeks before screening</w:t>
      </w:r>
      <w:r w:rsidR="0080243F" w:rsidRPr="00504E07">
        <w:rPr>
          <w:rFonts w:ascii="Arial" w:hAnsi="Arial" w:cs="Arial"/>
          <w:i/>
          <w:noProof/>
          <w:sz w:val="20"/>
          <w:szCs w:val="20"/>
          <w:lang w:val="en-GB"/>
        </w:rPr>
        <w:t xml:space="preserve"> (Visit 1)</w:t>
      </w:r>
      <w:r w:rsidR="007A2EC0" w:rsidRPr="00504E07">
        <w:rPr>
          <w:rFonts w:ascii="Arial" w:hAnsi="Arial" w:cs="Arial"/>
          <w:i/>
          <w:noProof/>
          <w:sz w:val="20"/>
          <w:szCs w:val="20"/>
          <w:lang w:val="en-GB"/>
        </w:rPr>
        <w:t xml:space="preserve">; on visit 4, 5 and follow-up visits only if </w:t>
      </w:r>
      <w:r w:rsidR="001B095D" w:rsidRPr="00504E07">
        <w:rPr>
          <w:rFonts w:ascii="Arial" w:hAnsi="Arial" w:cs="Arial"/>
          <w:i/>
          <w:noProof/>
          <w:sz w:val="20"/>
          <w:szCs w:val="20"/>
          <w:lang w:val="en-GB"/>
        </w:rPr>
        <w:t>clinically indicated</w:t>
      </w:r>
    </w:p>
    <w:p w14:paraId="20BD496B" w14:textId="0B3592EE" w:rsidR="003A467D" w:rsidRPr="00504E07" w:rsidRDefault="001B095D" w:rsidP="00B40781">
      <w:pPr>
        <w:ind w:left="720" w:hanging="720"/>
        <w:rPr>
          <w:rFonts w:ascii="Arial" w:hAnsi="Arial" w:cs="Arial"/>
          <w:i/>
          <w:noProof/>
          <w:sz w:val="20"/>
          <w:szCs w:val="20"/>
          <w:lang w:val="en-GB"/>
        </w:rPr>
      </w:pPr>
      <w:r w:rsidRPr="00504E07">
        <w:rPr>
          <w:rFonts w:ascii="Arial" w:hAnsi="Arial" w:cs="Arial"/>
          <w:i/>
          <w:noProof/>
          <w:sz w:val="20"/>
          <w:szCs w:val="20"/>
          <w:lang w:val="en-GB"/>
        </w:rPr>
        <w:t>i)</w:t>
      </w:r>
      <w:r w:rsidRPr="00504E07">
        <w:rPr>
          <w:rFonts w:ascii="Arial" w:hAnsi="Arial" w:cs="Arial"/>
          <w:i/>
          <w:noProof/>
          <w:sz w:val="20"/>
          <w:szCs w:val="20"/>
          <w:lang w:val="en-GB"/>
        </w:rPr>
        <w:tab/>
        <w:t xml:space="preserve">Only </w:t>
      </w:r>
      <w:r w:rsidR="00B40781">
        <w:rPr>
          <w:rFonts w:ascii="Arial" w:hAnsi="Arial" w:cs="Arial"/>
          <w:i/>
          <w:noProof/>
          <w:sz w:val="20"/>
          <w:szCs w:val="20"/>
          <w:lang w:val="en-GB"/>
        </w:rPr>
        <w:t xml:space="preserve">to </w:t>
      </w:r>
      <w:r w:rsidRPr="00504E07">
        <w:rPr>
          <w:rFonts w:ascii="Arial" w:hAnsi="Arial" w:cs="Arial"/>
          <w:i/>
          <w:noProof/>
          <w:sz w:val="20"/>
          <w:szCs w:val="20"/>
          <w:lang w:val="en-GB"/>
        </w:rPr>
        <w:t>be performed at Visit 1, if not performed during diagnosis set-up or within 4 weeks before screening</w:t>
      </w:r>
      <w:r w:rsidR="0080243F" w:rsidRPr="00504E07">
        <w:rPr>
          <w:rFonts w:ascii="Arial" w:hAnsi="Arial" w:cs="Arial"/>
          <w:i/>
          <w:noProof/>
          <w:sz w:val="20"/>
          <w:szCs w:val="20"/>
          <w:lang w:val="en-GB"/>
        </w:rPr>
        <w:t xml:space="preserve"> (</w:t>
      </w:r>
      <w:r w:rsidR="00B44189" w:rsidRPr="00504E07">
        <w:rPr>
          <w:rFonts w:ascii="Arial" w:hAnsi="Arial" w:cs="Arial"/>
          <w:i/>
          <w:noProof/>
          <w:sz w:val="20"/>
          <w:szCs w:val="20"/>
          <w:lang w:val="en-GB"/>
        </w:rPr>
        <w:t>V</w:t>
      </w:r>
      <w:r w:rsidR="0080243F" w:rsidRPr="00504E07">
        <w:rPr>
          <w:rFonts w:ascii="Arial" w:hAnsi="Arial" w:cs="Arial"/>
          <w:i/>
          <w:noProof/>
          <w:sz w:val="20"/>
          <w:szCs w:val="20"/>
          <w:lang w:val="en-GB"/>
        </w:rPr>
        <w:t>isit 1)</w:t>
      </w:r>
      <w:r w:rsidRPr="00504E07">
        <w:rPr>
          <w:rFonts w:ascii="Arial" w:hAnsi="Arial" w:cs="Arial"/>
          <w:i/>
          <w:noProof/>
          <w:sz w:val="20"/>
          <w:szCs w:val="20"/>
          <w:lang w:val="en-GB"/>
        </w:rPr>
        <w:t>;</w:t>
      </w:r>
      <w:r w:rsidR="00B40781" w:rsidRPr="00B40781">
        <w:t xml:space="preserve"> </w:t>
      </w:r>
      <w:r w:rsidR="00B40781" w:rsidRPr="00B40781">
        <w:rPr>
          <w:rFonts w:ascii="Arial" w:hAnsi="Arial" w:cs="Arial"/>
          <w:i/>
          <w:noProof/>
          <w:sz w:val="20"/>
          <w:szCs w:val="20"/>
          <w:lang w:val="en-GB"/>
        </w:rPr>
        <w:t>FDG-PET/CT is preferred, however,if not possible a CT with contrast agent or an MRI will also be accepted</w:t>
      </w:r>
    </w:p>
    <w:p w14:paraId="48BDF275" w14:textId="18B5174F" w:rsidR="000705B1" w:rsidRPr="003A467D" w:rsidRDefault="000705B1" w:rsidP="003A467D">
      <w:pPr>
        <w:pStyle w:val="Caption"/>
        <w:keepNext/>
        <w:spacing w:after="0"/>
        <w:rPr>
          <w:rFonts w:ascii="Arial" w:hAnsi="Arial" w:cs="Arial"/>
          <w:b/>
          <w:bCs/>
          <w:i w:val="0"/>
          <w:iCs w:val="0"/>
          <w:color w:val="000000" w:themeColor="text1"/>
        </w:rPr>
      </w:pPr>
      <w:bookmarkStart w:id="13" w:name="_Ref77930022"/>
      <w:bookmarkStart w:id="14" w:name="_Toc77505723"/>
      <w:bookmarkStart w:id="15" w:name="_Toc77505755"/>
      <w:bookmarkStart w:id="16" w:name="_Toc77505788"/>
      <w:r w:rsidRPr="003A467D">
        <w:rPr>
          <w:rFonts w:ascii="Arial" w:hAnsi="Arial" w:cs="Arial"/>
          <w:b/>
          <w:bCs/>
          <w:i w:val="0"/>
          <w:iCs w:val="0"/>
          <w:color w:val="000000" w:themeColor="text1"/>
        </w:rPr>
        <w:t xml:space="preserve">Table </w:t>
      </w:r>
      <w:r w:rsidRPr="003A467D">
        <w:rPr>
          <w:rFonts w:ascii="Arial" w:hAnsi="Arial" w:cs="Arial"/>
          <w:b/>
          <w:bCs/>
          <w:i w:val="0"/>
          <w:iCs w:val="0"/>
          <w:color w:val="000000" w:themeColor="text1"/>
        </w:rPr>
        <w:fldChar w:fldCharType="begin"/>
      </w:r>
      <w:r w:rsidRPr="003A467D">
        <w:rPr>
          <w:rFonts w:ascii="Arial" w:hAnsi="Arial" w:cs="Arial"/>
          <w:b/>
          <w:bCs/>
          <w:i w:val="0"/>
          <w:iCs w:val="0"/>
          <w:color w:val="000000" w:themeColor="text1"/>
        </w:rPr>
        <w:instrText xml:space="preserve"> SEQ Table \* ARABIC </w:instrText>
      </w:r>
      <w:r w:rsidRPr="003A467D">
        <w:rPr>
          <w:rFonts w:ascii="Arial" w:hAnsi="Arial" w:cs="Arial"/>
          <w:b/>
          <w:bCs/>
          <w:i w:val="0"/>
          <w:iCs w:val="0"/>
          <w:color w:val="000000" w:themeColor="text1"/>
        </w:rPr>
        <w:fldChar w:fldCharType="separate"/>
      </w:r>
      <w:r w:rsidR="00674DB6">
        <w:rPr>
          <w:rFonts w:ascii="Arial" w:hAnsi="Arial" w:cs="Arial"/>
          <w:b/>
          <w:bCs/>
          <w:i w:val="0"/>
          <w:iCs w:val="0"/>
          <w:noProof/>
          <w:color w:val="000000" w:themeColor="text1"/>
        </w:rPr>
        <w:t>2</w:t>
      </w:r>
      <w:r w:rsidRPr="003A467D">
        <w:rPr>
          <w:rFonts w:ascii="Arial" w:hAnsi="Arial" w:cs="Arial"/>
          <w:b/>
          <w:bCs/>
          <w:i w:val="0"/>
          <w:iCs w:val="0"/>
          <w:color w:val="000000" w:themeColor="text1"/>
        </w:rPr>
        <w:fldChar w:fldCharType="end"/>
      </w:r>
      <w:bookmarkEnd w:id="13"/>
      <w:r w:rsidRPr="003A467D">
        <w:rPr>
          <w:rFonts w:ascii="Arial" w:hAnsi="Arial" w:cs="Arial"/>
          <w:b/>
          <w:bCs/>
          <w:i w:val="0"/>
          <w:iCs w:val="0"/>
          <w:color w:val="000000" w:themeColor="text1"/>
        </w:rPr>
        <w:t>: Administration of PTF and PTF</w:t>
      </w:r>
      <w:r w:rsidR="003A467D" w:rsidRPr="003A467D">
        <w:rPr>
          <w:rFonts w:ascii="Arial" w:hAnsi="Arial" w:cs="Arial"/>
          <w:b/>
          <w:bCs/>
          <w:i w:val="0"/>
          <w:iCs w:val="0"/>
          <w:color w:val="000000" w:themeColor="text1"/>
        </w:rPr>
        <w:t>-PET imaging.</w:t>
      </w:r>
      <w:bookmarkEnd w:id="14"/>
      <w:bookmarkEnd w:id="15"/>
      <w:bookmarkEnd w:id="16"/>
    </w:p>
    <w:p w14:paraId="0A86291B" w14:textId="34E12062" w:rsidR="003A467D" w:rsidRPr="003A467D" w:rsidRDefault="003A467D" w:rsidP="003A467D">
      <w:pPr>
        <w:rPr>
          <w:rFonts w:ascii="Arial" w:hAnsi="Arial" w:cs="Arial"/>
          <w:color w:val="000000" w:themeColor="text1"/>
          <w:sz w:val="18"/>
          <w:szCs w:val="18"/>
        </w:rPr>
      </w:pPr>
      <w:r w:rsidRPr="003A467D">
        <w:rPr>
          <w:rFonts w:ascii="Arial" w:hAnsi="Arial" w:cs="Arial"/>
          <w:b/>
          <w:bCs/>
          <w:color w:val="000000" w:themeColor="text1"/>
          <w:sz w:val="18"/>
          <w:szCs w:val="18"/>
        </w:rPr>
        <w:tab/>
      </w:r>
      <w:r w:rsidRPr="003A467D">
        <w:rPr>
          <w:rFonts w:ascii="Arial" w:hAnsi="Arial" w:cs="Arial"/>
          <w:color w:val="000000" w:themeColor="text1"/>
          <w:sz w:val="18"/>
          <w:szCs w:val="18"/>
        </w:rPr>
        <w:t>(Detailed schedule within Visits 2, 4 and 5)</w:t>
      </w:r>
    </w:p>
    <w:tbl>
      <w:tblPr>
        <w:tblStyle w:val="TableGrid"/>
        <w:tblW w:w="0" w:type="auto"/>
        <w:tblLayout w:type="fixed"/>
        <w:tblCellMar>
          <w:left w:w="57" w:type="dxa"/>
          <w:right w:w="57" w:type="dxa"/>
        </w:tblCellMar>
        <w:tblLook w:val="04A0" w:firstRow="1" w:lastRow="0" w:firstColumn="1" w:lastColumn="0" w:noHBand="0" w:noVBand="1"/>
      </w:tblPr>
      <w:tblGrid>
        <w:gridCol w:w="907"/>
        <w:gridCol w:w="2916"/>
        <w:gridCol w:w="6520"/>
        <w:gridCol w:w="3260"/>
      </w:tblGrid>
      <w:tr w:rsidR="000705B1" w:rsidRPr="00582CFC" w14:paraId="3FB09848" w14:textId="77777777" w:rsidTr="008D46EC">
        <w:tc>
          <w:tcPr>
            <w:tcW w:w="907" w:type="dxa"/>
            <w:vAlign w:val="center"/>
          </w:tcPr>
          <w:p w14:paraId="5F137C48" w14:textId="77777777" w:rsidR="000705B1" w:rsidRPr="00582CFC" w:rsidRDefault="000705B1" w:rsidP="008D46EC">
            <w:pPr>
              <w:keepNext/>
              <w:snapToGrid w:val="0"/>
              <w:spacing w:before="40" w:after="40"/>
              <w:jc w:val="center"/>
              <w:rPr>
                <w:rFonts w:ascii="Arial" w:hAnsi="Arial"/>
                <w:b/>
                <w:sz w:val="18"/>
                <w:lang w:val="en-GB"/>
              </w:rPr>
            </w:pPr>
            <w:r w:rsidRPr="00582CFC">
              <w:rPr>
                <w:rFonts w:ascii="Arial" w:hAnsi="Arial"/>
                <w:b/>
                <w:sz w:val="18"/>
                <w:lang w:val="en-GB"/>
              </w:rPr>
              <w:t>Step</w:t>
            </w:r>
          </w:p>
        </w:tc>
        <w:tc>
          <w:tcPr>
            <w:tcW w:w="2916" w:type="dxa"/>
            <w:vAlign w:val="center"/>
          </w:tcPr>
          <w:p w14:paraId="0993BD90" w14:textId="77777777" w:rsidR="000705B1" w:rsidRPr="00582CFC" w:rsidRDefault="000705B1" w:rsidP="008D46EC">
            <w:pPr>
              <w:keepNext/>
              <w:snapToGrid w:val="0"/>
              <w:spacing w:before="40" w:after="40"/>
              <w:jc w:val="left"/>
              <w:rPr>
                <w:rFonts w:ascii="Arial" w:hAnsi="Arial"/>
                <w:b/>
                <w:sz w:val="18"/>
                <w:lang w:val="en-GB"/>
              </w:rPr>
            </w:pPr>
            <w:r w:rsidRPr="00582CFC">
              <w:rPr>
                <w:rFonts w:ascii="Arial" w:hAnsi="Arial"/>
                <w:b/>
                <w:sz w:val="18"/>
                <w:lang w:val="en-GB"/>
              </w:rPr>
              <w:t>Time point</w:t>
            </w:r>
          </w:p>
        </w:tc>
        <w:tc>
          <w:tcPr>
            <w:tcW w:w="6520" w:type="dxa"/>
            <w:vAlign w:val="center"/>
          </w:tcPr>
          <w:p w14:paraId="03DBE3E8" w14:textId="77777777" w:rsidR="000705B1" w:rsidRPr="00C6511E" w:rsidRDefault="000705B1" w:rsidP="008D46EC">
            <w:pPr>
              <w:keepNext/>
              <w:snapToGrid w:val="0"/>
              <w:spacing w:before="40" w:after="40"/>
              <w:jc w:val="left"/>
              <w:rPr>
                <w:rFonts w:ascii="Arial" w:hAnsi="Arial"/>
                <w:b/>
                <w:sz w:val="18"/>
                <w:lang w:val="en-GB"/>
              </w:rPr>
            </w:pPr>
            <w:r w:rsidRPr="00C6511E">
              <w:rPr>
                <w:rFonts w:ascii="Arial" w:hAnsi="Arial"/>
                <w:b/>
                <w:sz w:val="18"/>
                <w:lang w:val="en-GB"/>
              </w:rPr>
              <w:t>Action (at Visit 2 only)</w:t>
            </w:r>
          </w:p>
        </w:tc>
        <w:tc>
          <w:tcPr>
            <w:tcW w:w="3260" w:type="dxa"/>
            <w:vAlign w:val="center"/>
          </w:tcPr>
          <w:p w14:paraId="25C2DD4D" w14:textId="77777777" w:rsidR="000705B1" w:rsidRPr="00C6511E" w:rsidRDefault="000705B1" w:rsidP="008D46EC">
            <w:pPr>
              <w:keepNext/>
              <w:snapToGrid w:val="0"/>
              <w:spacing w:before="40" w:after="40"/>
              <w:jc w:val="left"/>
              <w:rPr>
                <w:rFonts w:ascii="Arial" w:hAnsi="Arial"/>
                <w:b/>
                <w:sz w:val="18"/>
                <w:lang w:val="en-GB"/>
              </w:rPr>
            </w:pPr>
            <w:r w:rsidRPr="00C6511E">
              <w:rPr>
                <w:rFonts w:ascii="Arial" w:hAnsi="Arial"/>
                <w:b/>
                <w:sz w:val="18"/>
                <w:lang w:val="en-GB"/>
              </w:rPr>
              <w:t>Action (at Visits 4 and 5 only)</w:t>
            </w:r>
          </w:p>
        </w:tc>
      </w:tr>
      <w:tr w:rsidR="000705B1" w:rsidRPr="00582CFC" w14:paraId="3FA38E71" w14:textId="77777777" w:rsidTr="008D46EC">
        <w:tc>
          <w:tcPr>
            <w:tcW w:w="907" w:type="dxa"/>
            <w:tcBorders>
              <w:bottom w:val="single" w:sz="4" w:space="0" w:color="BFBFBF" w:themeColor="background1" w:themeShade="BF"/>
            </w:tcBorders>
            <w:vAlign w:val="center"/>
          </w:tcPr>
          <w:p w14:paraId="74CEDCAB"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1</w:t>
            </w:r>
          </w:p>
        </w:tc>
        <w:tc>
          <w:tcPr>
            <w:tcW w:w="2916" w:type="dxa"/>
            <w:tcBorders>
              <w:bottom w:val="single" w:sz="4" w:space="0" w:color="BFBFBF" w:themeColor="background1" w:themeShade="BF"/>
            </w:tcBorders>
            <w:vAlign w:val="center"/>
          </w:tcPr>
          <w:p w14:paraId="3EF47625" w14:textId="77777777" w:rsidR="000705B1" w:rsidRPr="00582CFC" w:rsidRDefault="000705B1" w:rsidP="008D46EC">
            <w:pPr>
              <w:keepNext/>
              <w:snapToGrid w:val="0"/>
              <w:spacing w:before="40" w:after="40"/>
              <w:jc w:val="left"/>
              <w:rPr>
                <w:rFonts w:ascii="Arial" w:hAnsi="Arial"/>
                <w:sz w:val="18"/>
                <w:lang w:val="en-GB"/>
              </w:rPr>
            </w:pPr>
            <w:r w:rsidRPr="00582CFC">
              <w:rPr>
                <w:rFonts w:ascii="Arial" w:hAnsi="Arial"/>
                <w:sz w:val="18"/>
                <w:lang w:val="en-GB"/>
              </w:rPr>
              <w:t>First step</w:t>
            </w:r>
          </w:p>
        </w:tc>
        <w:tc>
          <w:tcPr>
            <w:tcW w:w="6520" w:type="dxa"/>
            <w:tcBorders>
              <w:bottom w:val="single" w:sz="4" w:space="0" w:color="BFBFBF" w:themeColor="background1" w:themeShade="BF"/>
            </w:tcBorders>
            <w:vAlign w:val="center"/>
          </w:tcPr>
          <w:p w14:paraId="4365442E"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Blood pressure and pulse rate measured; any adverse events recorded</w:t>
            </w:r>
          </w:p>
          <w:p w14:paraId="1EF57147"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 xml:space="preserve">ECG </w:t>
            </w:r>
          </w:p>
        </w:tc>
        <w:tc>
          <w:tcPr>
            <w:tcW w:w="3260" w:type="dxa"/>
            <w:tcBorders>
              <w:bottom w:val="single" w:sz="4" w:space="0" w:color="BFBFBF" w:themeColor="background1" w:themeShade="BF"/>
            </w:tcBorders>
            <w:vAlign w:val="center"/>
          </w:tcPr>
          <w:p w14:paraId="49077F18"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Any adverse events recorded</w:t>
            </w:r>
          </w:p>
        </w:tc>
      </w:tr>
      <w:tr w:rsidR="000705B1" w:rsidRPr="00582CFC" w14:paraId="039AD66F" w14:textId="77777777" w:rsidTr="008D46EC">
        <w:tc>
          <w:tcPr>
            <w:tcW w:w="907" w:type="dxa"/>
            <w:tcBorders>
              <w:top w:val="single" w:sz="4" w:space="0" w:color="BFBFBF" w:themeColor="background1" w:themeShade="BF"/>
              <w:bottom w:val="single" w:sz="4" w:space="0" w:color="BFBFBF" w:themeColor="background1" w:themeShade="BF"/>
            </w:tcBorders>
            <w:vAlign w:val="center"/>
          </w:tcPr>
          <w:p w14:paraId="009C4CE9"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2</w:t>
            </w:r>
          </w:p>
        </w:tc>
        <w:tc>
          <w:tcPr>
            <w:tcW w:w="2916" w:type="dxa"/>
            <w:tcBorders>
              <w:top w:val="single" w:sz="4" w:space="0" w:color="BFBFBF" w:themeColor="background1" w:themeShade="BF"/>
              <w:bottom w:val="single" w:sz="4" w:space="0" w:color="BFBFBF" w:themeColor="background1" w:themeShade="BF"/>
            </w:tcBorders>
            <w:vAlign w:val="center"/>
          </w:tcPr>
          <w:p w14:paraId="073F418B" w14:textId="77777777" w:rsidR="000705B1" w:rsidRPr="00582CFC" w:rsidRDefault="000705B1" w:rsidP="008D46EC">
            <w:pPr>
              <w:keepNext/>
              <w:snapToGrid w:val="0"/>
              <w:spacing w:before="40" w:after="40"/>
              <w:ind w:left="170"/>
              <w:jc w:val="left"/>
              <w:rPr>
                <w:rFonts w:ascii="Arial" w:hAnsi="Arial"/>
                <w:sz w:val="18"/>
                <w:lang w:val="en-GB"/>
              </w:rPr>
            </w:pPr>
            <w:r w:rsidRPr="00582CFC">
              <w:rPr>
                <w:rFonts w:ascii="Arial" w:hAnsi="Arial"/>
                <w:sz w:val="18"/>
                <w:lang w:val="en-GB"/>
              </w:rPr>
              <w:t>thereafter</w:t>
            </w:r>
          </w:p>
        </w:tc>
        <w:tc>
          <w:tcPr>
            <w:tcW w:w="6520" w:type="dxa"/>
            <w:tcBorders>
              <w:top w:val="single" w:sz="4" w:space="0" w:color="BFBFBF" w:themeColor="background1" w:themeShade="BF"/>
              <w:bottom w:val="single" w:sz="4" w:space="0" w:color="BFBFBF" w:themeColor="background1" w:themeShade="BF"/>
            </w:tcBorders>
            <w:vAlign w:val="center"/>
          </w:tcPr>
          <w:p w14:paraId="20C21C22"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 xml:space="preserve">Placement of </w:t>
            </w:r>
            <w:proofErr w:type="spellStart"/>
            <w:r w:rsidRPr="00C6511E">
              <w:rPr>
                <w:rFonts w:ascii="Arial" w:hAnsi="Arial"/>
                <w:sz w:val="18"/>
                <w:lang w:val="en-GB"/>
              </w:rPr>
              <w:t>i.v.</w:t>
            </w:r>
            <w:proofErr w:type="spellEnd"/>
            <w:r w:rsidRPr="00C6511E">
              <w:rPr>
                <w:rFonts w:ascii="Arial" w:hAnsi="Arial"/>
                <w:sz w:val="18"/>
                <w:lang w:val="en-GB"/>
              </w:rPr>
              <w:t xml:space="preserve"> cannula</w:t>
            </w:r>
          </w:p>
        </w:tc>
        <w:tc>
          <w:tcPr>
            <w:tcW w:w="3260" w:type="dxa"/>
            <w:tcBorders>
              <w:top w:val="single" w:sz="4" w:space="0" w:color="BFBFBF" w:themeColor="background1" w:themeShade="BF"/>
              <w:bottom w:val="single" w:sz="4" w:space="0" w:color="BFBFBF" w:themeColor="background1" w:themeShade="BF"/>
            </w:tcBorders>
            <w:vAlign w:val="center"/>
          </w:tcPr>
          <w:p w14:paraId="51BE10E4"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 xml:space="preserve">Placement of </w:t>
            </w:r>
            <w:proofErr w:type="spellStart"/>
            <w:r w:rsidRPr="00C6511E">
              <w:rPr>
                <w:rFonts w:ascii="Arial" w:hAnsi="Arial"/>
                <w:sz w:val="18"/>
                <w:lang w:val="en-GB"/>
              </w:rPr>
              <w:t>i.v.</w:t>
            </w:r>
            <w:proofErr w:type="spellEnd"/>
            <w:r w:rsidRPr="00C6511E">
              <w:rPr>
                <w:rFonts w:ascii="Arial" w:hAnsi="Arial"/>
                <w:sz w:val="18"/>
                <w:lang w:val="en-GB"/>
              </w:rPr>
              <w:t xml:space="preserve"> cannula</w:t>
            </w:r>
          </w:p>
        </w:tc>
      </w:tr>
      <w:tr w:rsidR="000705B1" w:rsidRPr="00582CFC" w14:paraId="07CDFB61" w14:textId="77777777" w:rsidTr="008D46EC">
        <w:tc>
          <w:tcPr>
            <w:tcW w:w="907" w:type="dxa"/>
            <w:tcBorders>
              <w:top w:val="single" w:sz="4" w:space="0" w:color="BFBFBF" w:themeColor="background1" w:themeShade="BF"/>
              <w:bottom w:val="single" w:sz="4" w:space="0" w:color="BFBFBF" w:themeColor="background1" w:themeShade="BF"/>
            </w:tcBorders>
            <w:vAlign w:val="center"/>
          </w:tcPr>
          <w:p w14:paraId="662102CA"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3</w:t>
            </w:r>
          </w:p>
        </w:tc>
        <w:tc>
          <w:tcPr>
            <w:tcW w:w="2916" w:type="dxa"/>
            <w:tcBorders>
              <w:top w:val="single" w:sz="4" w:space="0" w:color="BFBFBF" w:themeColor="background1" w:themeShade="BF"/>
              <w:bottom w:val="single" w:sz="4" w:space="0" w:color="BFBFBF" w:themeColor="background1" w:themeShade="BF"/>
            </w:tcBorders>
            <w:vAlign w:val="center"/>
          </w:tcPr>
          <w:p w14:paraId="1B74EE81" w14:textId="77777777" w:rsidR="000705B1" w:rsidRPr="00582CFC" w:rsidRDefault="000705B1" w:rsidP="008D46EC">
            <w:pPr>
              <w:keepNext/>
              <w:snapToGrid w:val="0"/>
              <w:spacing w:before="40" w:after="40"/>
              <w:ind w:left="170"/>
              <w:jc w:val="left"/>
              <w:rPr>
                <w:rFonts w:ascii="Arial" w:hAnsi="Arial"/>
                <w:sz w:val="18"/>
                <w:lang w:val="en-GB"/>
              </w:rPr>
            </w:pPr>
            <w:r w:rsidRPr="00582CFC">
              <w:rPr>
                <w:rFonts w:ascii="Arial" w:hAnsi="Arial"/>
                <w:sz w:val="18"/>
                <w:lang w:val="en-GB"/>
              </w:rPr>
              <w:t>thereafter</w:t>
            </w:r>
          </w:p>
        </w:tc>
        <w:tc>
          <w:tcPr>
            <w:tcW w:w="6520" w:type="dxa"/>
            <w:tcBorders>
              <w:top w:val="single" w:sz="4" w:space="0" w:color="BFBFBF" w:themeColor="background1" w:themeShade="BF"/>
              <w:bottom w:val="single" w:sz="4" w:space="0" w:color="BFBFBF" w:themeColor="background1" w:themeShade="BF"/>
            </w:tcBorders>
            <w:vAlign w:val="center"/>
          </w:tcPr>
          <w:p w14:paraId="6FEE8CA6"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Blood pressure and pulse rate measured; any further adverse events recorded</w:t>
            </w:r>
          </w:p>
        </w:tc>
        <w:tc>
          <w:tcPr>
            <w:tcW w:w="3260" w:type="dxa"/>
            <w:tcBorders>
              <w:top w:val="single" w:sz="4" w:space="0" w:color="BFBFBF" w:themeColor="background1" w:themeShade="BF"/>
              <w:bottom w:val="single" w:sz="4" w:space="0" w:color="BFBFBF" w:themeColor="background1" w:themeShade="BF"/>
            </w:tcBorders>
            <w:vAlign w:val="center"/>
          </w:tcPr>
          <w:p w14:paraId="2D96A894"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Any further adverse events recorded</w:t>
            </w:r>
          </w:p>
        </w:tc>
      </w:tr>
      <w:tr w:rsidR="000705B1" w:rsidRPr="00582CFC" w14:paraId="051B6A82" w14:textId="77777777" w:rsidTr="008D46EC">
        <w:tc>
          <w:tcPr>
            <w:tcW w:w="907" w:type="dxa"/>
            <w:tcBorders>
              <w:top w:val="single" w:sz="4" w:space="0" w:color="BFBFBF" w:themeColor="background1" w:themeShade="BF"/>
              <w:bottom w:val="single" w:sz="4" w:space="0" w:color="BFBFBF" w:themeColor="background1" w:themeShade="BF"/>
            </w:tcBorders>
            <w:vAlign w:val="center"/>
          </w:tcPr>
          <w:p w14:paraId="043161E7"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4</w:t>
            </w:r>
          </w:p>
        </w:tc>
        <w:tc>
          <w:tcPr>
            <w:tcW w:w="2916" w:type="dxa"/>
            <w:tcBorders>
              <w:top w:val="single" w:sz="4" w:space="0" w:color="BFBFBF" w:themeColor="background1" w:themeShade="BF"/>
              <w:bottom w:val="single" w:sz="4" w:space="0" w:color="BFBFBF" w:themeColor="background1" w:themeShade="BF"/>
            </w:tcBorders>
            <w:vAlign w:val="center"/>
          </w:tcPr>
          <w:p w14:paraId="75858E17" w14:textId="77777777" w:rsidR="000705B1" w:rsidRPr="00582CFC" w:rsidRDefault="000705B1" w:rsidP="008D46EC">
            <w:pPr>
              <w:keepNext/>
              <w:snapToGrid w:val="0"/>
              <w:spacing w:before="40" w:after="40"/>
              <w:ind w:left="170"/>
              <w:jc w:val="left"/>
              <w:rPr>
                <w:rFonts w:ascii="Arial" w:hAnsi="Arial"/>
                <w:sz w:val="18"/>
                <w:lang w:val="en-GB"/>
              </w:rPr>
            </w:pPr>
            <w:r w:rsidRPr="00582CFC">
              <w:rPr>
                <w:rFonts w:ascii="Arial" w:hAnsi="Arial"/>
                <w:sz w:val="18"/>
                <w:lang w:val="en-GB"/>
              </w:rPr>
              <w:t>thereafter</w:t>
            </w:r>
          </w:p>
        </w:tc>
        <w:tc>
          <w:tcPr>
            <w:tcW w:w="6520" w:type="dxa"/>
            <w:tcBorders>
              <w:top w:val="single" w:sz="4" w:space="0" w:color="BFBFBF" w:themeColor="background1" w:themeShade="BF"/>
              <w:bottom w:val="single" w:sz="4" w:space="0" w:color="BFBFBF" w:themeColor="background1" w:themeShade="BF"/>
            </w:tcBorders>
            <w:vAlign w:val="center"/>
          </w:tcPr>
          <w:p w14:paraId="1FA90AE2"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Administration of PTF</w:t>
            </w:r>
          </w:p>
        </w:tc>
        <w:tc>
          <w:tcPr>
            <w:tcW w:w="3260" w:type="dxa"/>
            <w:tcBorders>
              <w:top w:val="single" w:sz="4" w:space="0" w:color="BFBFBF" w:themeColor="background1" w:themeShade="BF"/>
              <w:bottom w:val="single" w:sz="4" w:space="0" w:color="BFBFBF" w:themeColor="background1" w:themeShade="BF"/>
            </w:tcBorders>
            <w:vAlign w:val="center"/>
          </w:tcPr>
          <w:p w14:paraId="331343C3"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Administration of PTF</w:t>
            </w:r>
          </w:p>
        </w:tc>
      </w:tr>
      <w:tr w:rsidR="000705B1" w:rsidRPr="00582CFC" w14:paraId="5801730F" w14:textId="77777777" w:rsidTr="008D46EC">
        <w:tc>
          <w:tcPr>
            <w:tcW w:w="907" w:type="dxa"/>
            <w:tcBorders>
              <w:top w:val="single" w:sz="4" w:space="0" w:color="BFBFBF" w:themeColor="background1" w:themeShade="BF"/>
              <w:bottom w:val="single" w:sz="4" w:space="0" w:color="BFBFBF" w:themeColor="background1" w:themeShade="BF"/>
            </w:tcBorders>
            <w:vAlign w:val="center"/>
          </w:tcPr>
          <w:p w14:paraId="07D1A877"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5</w:t>
            </w:r>
          </w:p>
        </w:tc>
        <w:tc>
          <w:tcPr>
            <w:tcW w:w="2916" w:type="dxa"/>
            <w:tcBorders>
              <w:top w:val="single" w:sz="4" w:space="0" w:color="BFBFBF" w:themeColor="background1" w:themeShade="BF"/>
              <w:bottom w:val="single" w:sz="4" w:space="0" w:color="BFBFBF" w:themeColor="background1" w:themeShade="BF"/>
            </w:tcBorders>
            <w:vAlign w:val="center"/>
          </w:tcPr>
          <w:p w14:paraId="1138894B" w14:textId="77777777" w:rsidR="000705B1" w:rsidRPr="00582CFC" w:rsidRDefault="000705B1" w:rsidP="008D46EC">
            <w:pPr>
              <w:keepNext/>
              <w:snapToGrid w:val="0"/>
              <w:spacing w:before="40" w:after="40"/>
              <w:jc w:val="left"/>
              <w:rPr>
                <w:rFonts w:ascii="Arial" w:hAnsi="Arial"/>
                <w:sz w:val="18"/>
                <w:lang w:val="en-GB"/>
              </w:rPr>
            </w:pPr>
            <w:r w:rsidRPr="00582CFC">
              <w:rPr>
                <w:rFonts w:ascii="Arial" w:hAnsi="Arial"/>
                <w:sz w:val="18"/>
                <w:lang w:val="en-GB"/>
              </w:rPr>
              <w:t>Immediately after administration</w:t>
            </w:r>
          </w:p>
        </w:tc>
        <w:tc>
          <w:tcPr>
            <w:tcW w:w="6520" w:type="dxa"/>
            <w:tcBorders>
              <w:top w:val="single" w:sz="4" w:space="0" w:color="BFBFBF" w:themeColor="background1" w:themeShade="BF"/>
              <w:bottom w:val="single" w:sz="4" w:space="0" w:color="BFBFBF" w:themeColor="background1" w:themeShade="BF"/>
            </w:tcBorders>
            <w:vAlign w:val="center"/>
          </w:tcPr>
          <w:p w14:paraId="40F7AE3B"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Blood pressure and pulse rate measured; any further adverse events recorded</w:t>
            </w:r>
          </w:p>
        </w:tc>
        <w:tc>
          <w:tcPr>
            <w:tcW w:w="3260" w:type="dxa"/>
            <w:tcBorders>
              <w:top w:val="single" w:sz="4" w:space="0" w:color="BFBFBF" w:themeColor="background1" w:themeShade="BF"/>
              <w:bottom w:val="single" w:sz="4" w:space="0" w:color="BFBFBF" w:themeColor="background1" w:themeShade="BF"/>
            </w:tcBorders>
            <w:vAlign w:val="center"/>
          </w:tcPr>
          <w:p w14:paraId="78E3D8CF"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Any further adverse events recorded</w:t>
            </w:r>
          </w:p>
        </w:tc>
      </w:tr>
      <w:tr w:rsidR="000705B1" w:rsidRPr="00582CFC" w14:paraId="515777A4" w14:textId="77777777" w:rsidTr="008D46EC">
        <w:tc>
          <w:tcPr>
            <w:tcW w:w="907" w:type="dxa"/>
            <w:tcBorders>
              <w:top w:val="single" w:sz="4" w:space="0" w:color="BFBFBF" w:themeColor="background1" w:themeShade="BF"/>
              <w:bottom w:val="single" w:sz="4" w:space="0" w:color="BFBFBF" w:themeColor="background1" w:themeShade="BF"/>
            </w:tcBorders>
            <w:vAlign w:val="center"/>
          </w:tcPr>
          <w:p w14:paraId="4AA7FC03"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6</w:t>
            </w:r>
          </w:p>
        </w:tc>
        <w:tc>
          <w:tcPr>
            <w:tcW w:w="2916" w:type="dxa"/>
            <w:tcBorders>
              <w:top w:val="single" w:sz="4" w:space="0" w:color="BFBFBF" w:themeColor="background1" w:themeShade="BF"/>
              <w:bottom w:val="single" w:sz="4" w:space="0" w:color="BFBFBF" w:themeColor="background1" w:themeShade="BF"/>
            </w:tcBorders>
            <w:vAlign w:val="center"/>
          </w:tcPr>
          <w:p w14:paraId="297BD8B5" w14:textId="77777777" w:rsidR="000705B1" w:rsidRPr="00582CFC" w:rsidRDefault="000705B1" w:rsidP="008D46EC">
            <w:pPr>
              <w:keepNext/>
              <w:snapToGrid w:val="0"/>
              <w:spacing w:before="40" w:after="40"/>
              <w:jc w:val="left"/>
              <w:rPr>
                <w:rFonts w:ascii="Arial" w:hAnsi="Arial"/>
                <w:sz w:val="18"/>
                <w:lang w:val="en-GB"/>
              </w:rPr>
            </w:pPr>
            <w:r w:rsidRPr="00582CFC">
              <w:rPr>
                <w:rFonts w:ascii="Arial" w:hAnsi="Arial"/>
                <w:sz w:val="18"/>
                <w:lang w:val="en-GB"/>
              </w:rPr>
              <w:t>40–60 min after administration</w:t>
            </w:r>
          </w:p>
        </w:tc>
        <w:tc>
          <w:tcPr>
            <w:tcW w:w="6520" w:type="dxa"/>
            <w:tcBorders>
              <w:top w:val="single" w:sz="4" w:space="0" w:color="BFBFBF" w:themeColor="background1" w:themeShade="BF"/>
              <w:bottom w:val="single" w:sz="4" w:space="0" w:color="BFBFBF" w:themeColor="background1" w:themeShade="BF"/>
            </w:tcBorders>
            <w:vAlign w:val="center"/>
          </w:tcPr>
          <w:p w14:paraId="0F355486"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Blood pressure and pulse rate measured; any further adverse events recorded</w:t>
            </w:r>
          </w:p>
        </w:tc>
        <w:tc>
          <w:tcPr>
            <w:tcW w:w="3260" w:type="dxa"/>
            <w:tcBorders>
              <w:top w:val="single" w:sz="4" w:space="0" w:color="BFBFBF" w:themeColor="background1" w:themeShade="BF"/>
              <w:bottom w:val="single" w:sz="4" w:space="0" w:color="BFBFBF" w:themeColor="background1" w:themeShade="BF"/>
            </w:tcBorders>
            <w:vAlign w:val="center"/>
          </w:tcPr>
          <w:p w14:paraId="0BF85813"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Any further adverse events recorded</w:t>
            </w:r>
          </w:p>
        </w:tc>
      </w:tr>
      <w:tr w:rsidR="000705B1" w:rsidRPr="00582CFC" w14:paraId="779E50B5" w14:textId="77777777" w:rsidTr="008D46EC">
        <w:tc>
          <w:tcPr>
            <w:tcW w:w="907" w:type="dxa"/>
            <w:tcBorders>
              <w:top w:val="single" w:sz="4" w:space="0" w:color="BFBFBF" w:themeColor="background1" w:themeShade="BF"/>
              <w:bottom w:val="single" w:sz="4" w:space="0" w:color="BFBFBF" w:themeColor="background1" w:themeShade="BF"/>
            </w:tcBorders>
            <w:vAlign w:val="center"/>
          </w:tcPr>
          <w:p w14:paraId="2395A4E6"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7</w:t>
            </w:r>
          </w:p>
        </w:tc>
        <w:tc>
          <w:tcPr>
            <w:tcW w:w="2916" w:type="dxa"/>
            <w:tcBorders>
              <w:top w:val="single" w:sz="4" w:space="0" w:color="BFBFBF" w:themeColor="background1" w:themeShade="BF"/>
              <w:bottom w:val="single" w:sz="4" w:space="0" w:color="BFBFBF" w:themeColor="background1" w:themeShade="BF"/>
            </w:tcBorders>
            <w:vAlign w:val="center"/>
          </w:tcPr>
          <w:p w14:paraId="3EE3C89F" w14:textId="77777777" w:rsidR="000705B1" w:rsidRPr="00582CFC" w:rsidRDefault="000705B1" w:rsidP="008D46EC">
            <w:pPr>
              <w:keepNext/>
              <w:snapToGrid w:val="0"/>
              <w:spacing w:before="40" w:after="40"/>
              <w:jc w:val="left"/>
              <w:rPr>
                <w:rFonts w:ascii="Arial" w:hAnsi="Arial"/>
                <w:sz w:val="18"/>
                <w:lang w:val="en-GB"/>
              </w:rPr>
            </w:pPr>
            <w:r w:rsidRPr="00582CFC">
              <w:rPr>
                <w:rFonts w:ascii="Arial" w:hAnsi="Arial"/>
                <w:sz w:val="18"/>
                <w:lang w:val="en-GB"/>
              </w:rPr>
              <w:t>60 min after administration</w:t>
            </w:r>
          </w:p>
        </w:tc>
        <w:tc>
          <w:tcPr>
            <w:tcW w:w="6520" w:type="dxa"/>
            <w:tcBorders>
              <w:top w:val="single" w:sz="4" w:space="0" w:color="BFBFBF" w:themeColor="background1" w:themeShade="BF"/>
              <w:bottom w:val="single" w:sz="4" w:space="0" w:color="BFBFBF" w:themeColor="background1" w:themeShade="BF"/>
            </w:tcBorders>
            <w:vAlign w:val="center"/>
          </w:tcPr>
          <w:p w14:paraId="43945706"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PTF</w:t>
            </w:r>
            <w:r w:rsidRPr="00C6511E">
              <w:rPr>
                <w:rFonts w:ascii="Arial" w:hAnsi="Arial"/>
                <w:sz w:val="18"/>
                <w:lang w:val="en-GB"/>
              </w:rPr>
              <w:noBreakHyphen/>
              <w:t>PET imaging</w:t>
            </w:r>
          </w:p>
        </w:tc>
        <w:tc>
          <w:tcPr>
            <w:tcW w:w="3260" w:type="dxa"/>
            <w:tcBorders>
              <w:top w:val="single" w:sz="4" w:space="0" w:color="BFBFBF" w:themeColor="background1" w:themeShade="BF"/>
              <w:bottom w:val="single" w:sz="4" w:space="0" w:color="BFBFBF" w:themeColor="background1" w:themeShade="BF"/>
            </w:tcBorders>
            <w:vAlign w:val="center"/>
          </w:tcPr>
          <w:p w14:paraId="2CDB6429"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PTF</w:t>
            </w:r>
            <w:r w:rsidRPr="00C6511E">
              <w:rPr>
                <w:rFonts w:ascii="Arial" w:hAnsi="Arial"/>
                <w:sz w:val="18"/>
                <w:lang w:val="en-GB"/>
              </w:rPr>
              <w:noBreakHyphen/>
              <w:t>PET imaging</w:t>
            </w:r>
          </w:p>
        </w:tc>
      </w:tr>
      <w:tr w:rsidR="000705B1" w:rsidRPr="00582CFC" w14:paraId="37FBDEC8" w14:textId="77777777" w:rsidTr="008D46EC">
        <w:tc>
          <w:tcPr>
            <w:tcW w:w="907" w:type="dxa"/>
            <w:tcBorders>
              <w:top w:val="single" w:sz="4" w:space="0" w:color="BFBFBF" w:themeColor="background1" w:themeShade="BF"/>
              <w:bottom w:val="single" w:sz="4" w:space="0" w:color="BFBFBF" w:themeColor="background1" w:themeShade="BF"/>
            </w:tcBorders>
            <w:vAlign w:val="center"/>
          </w:tcPr>
          <w:p w14:paraId="0F8B2B77"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8</w:t>
            </w:r>
          </w:p>
        </w:tc>
        <w:tc>
          <w:tcPr>
            <w:tcW w:w="2916" w:type="dxa"/>
            <w:tcBorders>
              <w:top w:val="single" w:sz="4" w:space="0" w:color="BFBFBF" w:themeColor="background1" w:themeShade="BF"/>
              <w:bottom w:val="single" w:sz="4" w:space="0" w:color="BFBFBF" w:themeColor="background1" w:themeShade="BF"/>
            </w:tcBorders>
            <w:vAlign w:val="center"/>
          </w:tcPr>
          <w:p w14:paraId="690F2382" w14:textId="77777777" w:rsidR="000705B1" w:rsidRPr="00582CFC" w:rsidRDefault="000705B1" w:rsidP="008D46EC">
            <w:pPr>
              <w:keepNext/>
              <w:snapToGrid w:val="0"/>
              <w:spacing w:before="40" w:after="40"/>
              <w:jc w:val="left"/>
              <w:rPr>
                <w:rFonts w:ascii="Arial" w:hAnsi="Arial"/>
                <w:sz w:val="18"/>
                <w:lang w:val="en-GB"/>
              </w:rPr>
            </w:pPr>
            <w:r w:rsidRPr="00582CFC">
              <w:rPr>
                <w:rFonts w:ascii="Arial" w:hAnsi="Arial"/>
                <w:sz w:val="18"/>
                <w:lang w:val="en-GB"/>
              </w:rPr>
              <w:t>2–3 hours after administration</w:t>
            </w:r>
          </w:p>
        </w:tc>
        <w:tc>
          <w:tcPr>
            <w:tcW w:w="6520" w:type="dxa"/>
            <w:tcBorders>
              <w:top w:val="single" w:sz="4" w:space="0" w:color="BFBFBF" w:themeColor="background1" w:themeShade="BF"/>
              <w:bottom w:val="single" w:sz="4" w:space="0" w:color="BFBFBF" w:themeColor="background1" w:themeShade="BF"/>
            </w:tcBorders>
            <w:vAlign w:val="center"/>
          </w:tcPr>
          <w:p w14:paraId="04D223AC" w14:textId="389DCDF1"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Blood pressure and pulse rate measured.</w:t>
            </w:r>
            <w:r w:rsidRPr="00C6511E">
              <w:rPr>
                <w:rFonts w:ascii="Arial" w:hAnsi="Arial"/>
                <w:sz w:val="18"/>
                <w:lang w:val="en-GB"/>
              </w:rPr>
              <w:br/>
              <w:t>ECG and physical examination. Any further adverse events recorded</w:t>
            </w:r>
          </w:p>
        </w:tc>
        <w:tc>
          <w:tcPr>
            <w:tcW w:w="3260" w:type="dxa"/>
            <w:tcBorders>
              <w:top w:val="single" w:sz="4" w:space="0" w:color="BFBFBF" w:themeColor="background1" w:themeShade="BF"/>
              <w:bottom w:val="single" w:sz="4" w:space="0" w:color="BFBFBF" w:themeColor="background1" w:themeShade="BF"/>
            </w:tcBorders>
            <w:vAlign w:val="center"/>
          </w:tcPr>
          <w:p w14:paraId="0CAF311D"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Any further adverse events recorded</w:t>
            </w:r>
          </w:p>
        </w:tc>
      </w:tr>
      <w:tr w:rsidR="000705B1" w:rsidRPr="00582CFC" w14:paraId="2EAE3094" w14:textId="77777777" w:rsidTr="008D46EC">
        <w:tc>
          <w:tcPr>
            <w:tcW w:w="907" w:type="dxa"/>
            <w:tcBorders>
              <w:top w:val="single" w:sz="4" w:space="0" w:color="BFBFBF" w:themeColor="background1" w:themeShade="BF"/>
            </w:tcBorders>
            <w:vAlign w:val="center"/>
          </w:tcPr>
          <w:p w14:paraId="549E6FCD" w14:textId="77777777" w:rsidR="000705B1" w:rsidRPr="00582CFC" w:rsidRDefault="000705B1" w:rsidP="008D46EC">
            <w:pPr>
              <w:keepNext/>
              <w:snapToGrid w:val="0"/>
              <w:spacing w:before="40" w:after="40"/>
              <w:jc w:val="center"/>
              <w:rPr>
                <w:rFonts w:ascii="Arial" w:hAnsi="Arial"/>
                <w:sz w:val="18"/>
                <w:lang w:val="en-GB"/>
              </w:rPr>
            </w:pPr>
            <w:r w:rsidRPr="00582CFC">
              <w:rPr>
                <w:rFonts w:ascii="Arial" w:hAnsi="Arial"/>
                <w:sz w:val="18"/>
                <w:lang w:val="en-GB"/>
              </w:rPr>
              <w:t>9</w:t>
            </w:r>
          </w:p>
        </w:tc>
        <w:tc>
          <w:tcPr>
            <w:tcW w:w="2916" w:type="dxa"/>
            <w:tcBorders>
              <w:top w:val="single" w:sz="4" w:space="0" w:color="BFBFBF" w:themeColor="background1" w:themeShade="BF"/>
            </w:tcBorders>
            <w:vAlign w:val="center"/>
          </w:tcPr>
          <w:p w14:paraId="5D3400CF" w14:textId="77777777" w:rsidR="000705B1" w:rsidRPr="00582CFC" w:rsidRDefault="000705B1" w:rsidP="008D46EC">
            <w:pPr>
              <w:keepNext/>
              <w:snapToGrid w:val="0"/>
              <w:spacing w:before="40" w:after="40"/>
              <w:ind w:left="170"/>
              <w:jc w:val="left"/>
              <w:rPr>
                <w:rFonts w:ascii="Arial" w:hAnsi="Arial"/>
                <w:sz w:val="18"/>
                <w:lang w:val="en-GB"/>
              </w:rPr>
            </w:pPr>
            <w:r w:rsidRPr="00582CFC">
              <w:rPr>
                <w:rFonts w:ascii="Arial" w:hAnsi="Arial"/>
                <w:sz w:val="18"/>
                <w:lang w:val="en-GB"/>
              </w:rPr>
              <w:t>thereafter</w:t>
            </w:r>
          </w:p>
        </w:tc>
        <w:tc>
          <w:tcPr>
            <w:tcW w:w="6520" w:type="dxa"/>
            <w:tcBorders>
              <w:top w:val="single" w:sz="4" w:space="0" w:color="BFBFBF" w:themeColor="background1" w:themeShade="BF"/>
            </w:tcBorders>
            <w:vAlign w:val="center"/>
          </w:tcPr>
          <w:p w14:paraId="2F0FF046"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Discharge from nuclear medicine dept.</w:t>
            </w:r>
          </w:p>
        </w:tc>
        <w:tc>
          <w:tcPr>
            <w:tcW w:w="3260" w:type="dxa"/>
            <w:tcBorders>
              <w:top w:val="single" w:sz="4" w:space="0" w:color="BFBFBF" w:themeColor="background1" w:themeShade="BF"/>
            </w:tcBorders>
            <w:vAlign w:val="center"/>
          </w:tcPr>
          <w:p w14:paraId="11817690" w14:textId="77777777" w:rsidR="000705B1" w:rsidRPr="00C6511E" w:rsidRDefault="000705B1" w:rsidP="008D46EC">
            <w:pPr>
              <w:keepNext/>
              <w:snapToGrid w:val="0"/>
              <w:spacing w:before="40" w:after="40"/>
              <w:jc w:val="left"/>
              <w:rPr>
                <w:rFonts w:ascii="Arial" w:hAnsi="Arial"/>
                <w:sz w:val="18"/>
                <w:lang w:val="en-GB"/>
              </w:rPr>
            </w:pPr>
            <w:r w:rsidRPr="00C6511E">
              <w:rPr>
                <w:rFonts w:ascii="Arial" w:hAnsi="Arial"/>
                <w:sz w:val="18"/>
                <w:lang w:val="en-GB"/>
              </w:rPr>
              <w:t>Discharge from nuclear medicine dept.</w:t>
            </w:r>
          </w:p>
        </w:tc>
      </w:tr>
    </w:tbl>
    <w:p w14:paraId="6372424A" w14:textId="7B14B177" w:rsidR="00CB0DE5" w:rsidRPr="00CB0DE5" w:rsidRDefault="00CB0DE5" w:rsidP="00CB0DE5">
      <w:pPr>
        <w:tabs>
          <w:tab w:val="left" w:pos="3040"/>
        </w:tabs>
        <w:rPr>
          <w:rFonts w:ascii="Arial" w:hAnsi="Arial" w:cs="Arial"/>
          <w:sz w:val="22"/>
          <w:szCs w:val="22"/>
          <w:lang w:val="en-GB"/>
        </w:rPr>
      </w:pPr>
    </w:p>
    <w:sectPr w:rsidR="00CB0DE5" w:rsidRPr="00CB0DE5" w:rsidSect="00CB0DE5">
      <w:headerReference w:type="default" r:id="rId13"/>
      <w:pgSz w:w="16838" w:h="11906" w:orient="landscape"/>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2CF72" w14:textId="77777777" w:rsidR="004E2569" w:rsidRDefault="004E2569" w:rsidP="00A576F8">
      <w:pPr>
        <w:spacing w:after="0"/>
      </w:pPr>
      <w:r>
        <w:separator/>
      </w:r>
    </w:p>
  </w:endnote>
  <w:endnote w:type="continuationSeparator" w:id="0">
    <w:p w14:paraId="71E22FB1" w14:textId="77777777" w:rsidR="004E2569" w:rsidRDefault="004E2569" w:rsidP="00A576F8">
      <w:pPr>
        <w:spacing w:after="0"/>
      </w:pPr>
      <w:r>
        <w:continuationSeparator/>
      </w:r>
    </w:p>
  </w:endnote>
  <w:endnote w:type="continuationNotice" w:id="1">
    <w:p w14:paraId="4E0BA2A6" w14:textId="77777777" w:rsidR="004E2569" w:rsidRDefault="004E256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20"/>
        <w:szCs w:val="20"/>
      </w:rPr>
      <w:id w:val="1552805736"/>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rPr>
            <w:b/>
            <w:bCs/>
          </w:rPr>
        </w:sdtEndPr>
        <w:sdtContent>
          <w:p w14:paraId="061DA30F" w14:textId="77777777" w:rsidR="00226804" w:rsidRPr="007666C1" w:rsidRDefault="00226804" w:rsidP="00226804">
            <w:pPr>
              <w:pStyle w:val="Footer"/>
              <w:rPr>
                <w:sz w:val="20"/>
                <w:szCs w:val="20"/>
              </w:rPr>
            </w:pPr>
          </w:p>
          <w:p w14:paraId="3A0519E4" w14:textId="729183EE" w:rsidR="00226804" w:rsidRPr="00B34234" w:rsidRDefault="00CB0DE5" w:rsidP="00BB670A">
            <w:pPr>
              <w:pStyle w:val="Footer"/>
              <w:tabs>
                <w:tab w:val="clear" w:pos="4703"/>
                <w:tab w:val="clear" w:pos="9406"/>
                <w:tab w:val="center" w:pos="7088"/>
                <w:tab w:val="right" w:pos="13892"/>
              </w:tabs>
              <w:jc w:val="left"/>
              <w:rPr>
                <w:rFonts w:ascii="Arial" w:hAnsi="Arial" w:cs="Arial"/>
                <w:b/>
                <w:bCs/>
                <w:sz w:val="18"/>
                <w:szCs w:val="18"/>
              </w:rPr>
            </w:pPr>
            <w:r w:rsidRPr="007666C1">
              <w:rPr>
                <w:rFonts w:ascii="Arial" w:hAnsi="Arial" w:cs="Arial"/>
                <w:sz w:val="18"/>
                <w:szCs w:val="18"/>
              </w:rPr>
              <w:t xml:space="preserve">Synopsis </w:t>
            </w:r>
            <w:r w:rsidR="00842766" w:rsidRPr="007666C1">
              <w:rPr>
                <w:rFonts w:ascii="Arial" w:hAnsi="Arial" w:cs="Arial"/>
                <w:sz w:val="18"/>
                <w:szCs w:val="18"/>
              </w:rPr>
              <w:t xml:space="preserve">Version </w:t>
            </w:r>
            <w:r w:rsidR="00B40781" w:rsidRPr="007666C1">
              <w:rPr>
                <w:rFonts w:ascii="Arial" w:hAnsi="Arial" w:cs="Arial"/>
                <w:sz w:val="18"/>
                <w:szCs w:val="18"/>
              </w:rPr>
              <w:t>1.3</w:t>
            </w:r>
            <w:r w:rsidR="00842766" w:rsidRPr="007666C1">
              <w:rPr>
                <w:rFonts w:ascii="Arial" w:hAnsi="Arial" w:cs="Arial"/>
                <w:sz w:val="18"/>
                <w:szCs w:val="18"/>
              </w:rPr>
              <w:t xml:space="preserve"> of </w:t>
            </w:r>
            <w:r w:rsidR="00B40781" w:rsidRPr="007666C1">
              <w:rPr>
                <w:rFonts w:ascii="Arial" w:hAnsi="Arial" w:cs="Arial"/>
                <w:sz w:val="18"/>
                <w:szCs w:val="18"/>
              </w:rPr>
              <w:t>10Jan</w:t>
            </w:r>
            <w:r w:rsidR="005848E3" w:rsidRPr="007666C1">
              <w:rPr>
                <w:rFonts w:ascii="Arial" w:hAnsi="Arial" w:cs="Arial"/>
                <w:sz w:val="18"/>
                <w:szCs w:val="18"/>
              </w:rPr>
              <w:t>202</w:t>
            </w:r>
            <w:r w:rsidR="00B40781" w:rsidRPr="007666C1">
              <w:rPr>
                <w:rFonts w:ascii="Arial" w:hAnsi="Arial" w:cs="Arial"/>
                <w:sz w:val="18"/>
                <w:szCs w:val="18"/>
              </w:rPr>
              <w:t>2</w:t>
            </w:r>
            <w:r w:rsidR="005135CA" w:rsidRPr="007666C1">
              <w:rPr>
                <w:rFonts w:ascii="Arial" w:hAnsi="Arial" w:cs="Arial"/>
                <w:sz w:val="18"/>
                <w:szCs w:val="18"/>
              </w:rPr>
              <w:br/>
              <w:t>based on Protocol V1.</w:t>
            </w:r>
            <w:r w:rsidR="00B40781" w:rsidRPr="007666C1">
              <w:rPr>
                <w:rFonts w:ascii="Arial" w:hAnsi="Arial" w:cs="Arial"/>
                <w:sz w:val="18"/>
                <w:szCs w:val="18"/>
              </w:rPr>
              <w:t>3</w:t>
            </w:r>
            <w:r w:rsidR="005135CA" w:rsidRPr="007666C1">
              <w:rPr>
                <w:rFonts w:ascii="Arial" w:hAnsi="Arial" w:cs="Arial"/>
                <w:sz w:val="18"/>
                <w:szCs w:val="18"/>
              </w:rPr>
              <w:t>_</w:t>
            </w:r>
            <w:r w:rsidR="00B40781" w:rsidRPr="007666C1">
              <w:rPr>
                <w:rFonts w:ascii="Arial" w:hAnsi="Arial" w:cs="Arial"/>
                <w:sz w:val="18"/>
                <w:szCs w:val="18"/>
              </w:rPr>
              <w:t>1</w:t>
            </w:r>
            <w:r w:rsidR="005135CA" w:rsidRPr="007666C1">
              <w:rPr>
                <w:rFonts w:ascii="Arial" w:hAnsi="Arial" w:cs="Arial"/>
                <w:sz w:val="18"/>
                <w:szCs w:val="18"/>
              </w:rPr>
              <w:t>6</w:t>
            </w:r>
            <w:r w:rsidR="00B40781" w:rsidRPr="007666C1">
              <w:rPr>
                <w:rFonts w:ascii="Arial" w:hAnsi="Arial" w:cs="Arial"/>
                <w:sz w:val="18"/>
                <w:szCs w:val="18"/>
              </w:rPr>
              <w:t>Dec</w:t>
            </w:r>
            <w:r w:rsidR="005135CA" w:rsidRPr="007666C1">
              <w:rPr>
                <w:rFonts w:ascii="Arial" w:hAnsi="Arial" w:cs="Arial"/>
                <w:sz w:val="18"/>
                <w:szCs w:val="18"/>
              </w:rPr>
              <w:t>2021</w:t>
            </w:r>
            <w:r w:rsidR="005848E3" w:rsidRPr="00B34234">
              <w:rPr>
                <w:rFonts w:ascii="Arial" w:hAnsi="Arial" w:cs="Arial"/>
                <w:b/>
                <w:bCs/>
                <w:sz w:val="18"/>
                <w:szCs w:val="18"/>
              </w:rPr>
              <w:tab/>
              <w:t>Confidential</w:t>
            </w:r>
            <w:r w:rsidR="005848E3" w:rsidRPr="00B34234">
              <w:rPr>
                <w:rFonts w:ascii="Arial" w:hAnsi="Arial" w:cs="Arial"/>
                <w:b/>
                <w:bCs/>
                <w:sz w:val="18"/>
                <w:szCs w:val="18"/>
              </w:rPr>
              <w:tab/>
              <w:t xml:space="preserve">Page </w:t>
            </w:r>
            <w:r w:rsidR="00B34234" w:rsidRPr="00B34234">
              <w:rPr>
                <w:rFonts w:ascii="Arial" w:hAnsi="Arial" w:cs="Arial"/>
                <w:b/>
                <w:bCs/>
                <w:sz w:val="18"/>
                <w:szCs w:val="18"/>
              </w:rPr>
              <w:fldChar w:fldCharType="begin"/>
            </w:r>
            <w:r w:rsidR="00B34234" w:rsidRPr="00B34234">
              <w:rPr>
                <w:rFonts w:ascii="Arial" w:hAnsi="Arial" w:cs="Arial"/>
                <w:b/>
                <w:bCs/>
                <w:sz w:val="18"/>
                <w:szCs w:val="18"/>
              </w:rPr>
              <w:instrText xml:space="preserve"> PAGE   \* MERGEFORMAT </w:instrText>
            </w:r>
            <w:r w:rsidR="00B34234" w:rsidRPr="00B34234">
              <w:rPr>
                <w:rFonts w:ascii="Arial" w:hAnsi="Arial" w:cs="Arial"/>
                <w:b/>
                <w:bCs/>
                <w:sz w:val="18"/>
                <w:szCs w:val="18"/>
              </w:rPr>
              <w:fldChar w:fldCharType="separate"/>
            </w:r>
            <w:r w:rsidR="00B34234" w:rsidRPr="00B34234">
              <w:rPr>
                <w:rFonts w:ascii="Arial" w:hAnsi="Arial" w:cs="Arial"/>
                <w:b/>
                <w:bCs/>
                <w:noProof/>
                <w:sz w:val="18"/>
                <w:szCs w:val="18"/>
              </w:rPr>
              <w:t>1</w:t>
            </w:r>
            <w:r w:rsidR="00B34234" w:rsidRPr="00B34234">
              <w:rPr>
                <w:rFonts w:ascii="Arial" w:hAnsi="Arial" w:cs="Arial"/>
                <w:b/>
                <w:bCs/>
                <w:sz w:val="18"/>
                <w:szCs w:val="18"/>
              </w:rPr>
              <w:fldChar w:fldCharType="end"/>
            </w:r>
            <w:r w:rsidR="00B34234" w:rsidRPr="00B34234">
              <w:rPr>
                <w:rFonts w:ascii="Arial" w:hAnsi="Arial" w:cs="Arial"/>
                <w:b/>
                <w:bCs/>
                <w:sz w:val="18"/>
                <w:szCs w:val="18"/>
              </w:rPr>
              <w:t xml:space="preserve"> of </w:t>
            </w:r>
            <w:r w:rsidR="00B34234" w:rsidRPr="00B34234">
              <w:rPr>
                <w:rFonts w:ascii="Arial" w:hAnsi="Arial" w:cs="Arial"/>
                <w:b/>
                <w:bCs/>
                <w:sz w:val="18"/>
                <w:szCs w:val="18"/>
              </w:rPr>
              <w:fldChar w:fldCharType="begin"/>
            </w:r>
            <w:r w:rsidR="00B34234" w:rsidRPr="00B34234">
              <w:rPr>
                <w:rFonts w:ascii="Arial" w:hAnsi="Arial" w:cs="Arial"/>
                <w:b/>
                <w:bCs/>
                <w:sz w:val="18"/>
                <w:szCs w:val="18"/>
              </w:rPr>
              <w:instrText xml:space="preserve"> NUMPAGES   \* MERGEFORMAT </w:instrText>
            </w:r>
            <w:r w:rsidR="00B34234" w:rsidRPr="00B34234">
              <w:rPr>
                <w:rFonts w:ascii="Arial" w:hAnsi="Arial" w:cs="Arial"/>
                <w:b/>
                <w:bCs/>
                <w:sz w:val="18"/>
                <w:szCs w:val="18"/>
              </w:rPr>
              <w:fldChar w:fldCharType="separate"/>
            </w:r>
            <w:r w:rsidR="00B34234" w:rsidRPr="00B34234">
              <w:rPr>
                <w:rFonts w:ascii="Arial" w:hAnsi="Arial" w:cs="Arial"/>
                <w:b/>
                <w:bCs/>
                <w:noProof/>
                <w:sz w:val="18"/>
                <w:szCs w:val="18"/>
              </w:rPr>
              <w:t>1</w:t>
            </w:r>
            <w:r w:rsidR="00B34234" w:rsidRPr="00B34234">
              <w:rPr>
                <w:rFonts w:ascii="Arial" w:hAnsi="Arial" w:cs="Arial"/>
                <w:b/>
                <w:bCs/>
                <w:sz w:val="18"/>
                <w:szCs w:val="18"/>
              </w:rPr>
              <w:fldChar w:fldCharType="end"/>
            </w:r>
          </w:p>
        </w:sdtContent>
      </w:sdt>
    </w:sdtContent>
  </w:sdt>
  <w:p w14:paraId="70BF1671" w14:textId="77777777" w:rsidR="00BB5970" w:rsidRPr="00B34234" w:rsidRDefault="00BB5970" w:rsidP="00BB5970">
    <w:pPr>
      <w:pStyle w:val="Footer"/>
      <w:jc w:val="center"/>
      <w:rPr>
        <w:rFonts w:ascii="Arial" w:hAnsi="Arial" w:cs="Arial"/>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3144B" w14:textId="77777777" w:rsidR="004E2569" w:rsidRDefault="004E2569" w:rsidP="00A576F8">
      <w:pPr>
        <w:spacing w:after="0"/>
      </w:pPr>
      <w:r>
        <w:separator/>
      </w:r>
    </w:p>
  </w:footnote>
  <w:footnote w:type="continuationSeparator" w:id="0">
    <w:p w14:paraId="3B0B1807" w14:textId="77777777" w:rsidR="004E2569" w:rsidRDefault="004E2569" w:rsidP="00A576F8">
      <w:pPr>
        <w:spacing w:after="0"/>
      </w:pPr>
      <w:r>
        <w:continuationSeparator/>
      </w:r>
    </w:p>
  </w:footnote>
  <w:footnote w:type="continuationNotice" w:id="1">
    <w:p w14:paraId="7543B58E" w14:textId="77777777" w:rsidR="004E2569" w:rsidRDefault="004E256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C4052" w14:textId="77777777" w:rsidR="004D238F" w:rsidRDefault="004D238F" w:rsidP="004D238F">
    <w:pPr>
      <w:pStyle w:val="Header"/>
      <w:pBdr>
        <w:bottom w:val="single" w:sz="4" w:space="1" w:color="81929A"/>
      </w:pBdr>
      <w:tabs>
        <w:tab w:val="center" w:pos="4524"/>
      </w:tabs>
      <w:rPr>
        <w:sz w:val="20"/>
        <w:szCs w:val="20"/>
      </w:rPr>
    </w:pPr>
    <w:r>
      <w:rPr>
        <w:noProof/>
      </w:rPr>
      <w:drawing>
        <wp:anchor distT="0" distB="0" distL="114300" distR="114300" simplePos="0" relativeHeight="251658240" behindDoc="1" locked="0" layoutInCell="1" allowOverlap="1" wp14:anchorId="7418BB2A" wp14:editId="73D12D32">
          <wp:simplePos x="0" y="0"/>
          <wp:positionH relativeFrom="margin">
            <wp:posOffset>0</wp:posOffset>
          </wp:positionH>
          <wp:positionV relativeFrom="page">
            <wp:posOffset>426085</wp:posOffset>
          </wp:positionV>
          <wp:extent cx="896620" cy="45720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457200"/>
                  </a:xfrm>
                  <a:prstGeom prst="rect">
                    <a:avLst/>
                  </a:prstGeom>
                  <a:noFill/>
                </pic:spPr>
              </pic:pic>
            </a:graphicData>
          </a:graphic>
          <wp14:sizeRelH relativeFrom="margin">
            <wp14:pctWidth>0</wp14:pctWidth>
          </wp14:sizeRelH>
          <wp14:sizeRelV relativeFrom="margin">
            <wp14:pctHeight>0</wp14:pctHeight>
          </wp14:sizeRelV>
        </wp:anchor>
      </w:drawing>
    </w:r>
    <w:r>
      <w:rPr>
        <w:sz w:val="20"/>
        <w:szCs w:val="20"/>
      </w:rPr>
      <w:tab/>
    </w:r>
    <w:r>
      <w:rPr>
        <w:noProof/>
      </w:rPr>
      <w:drawing>
        <wp:anchor distT="0" distB="0" distL="114300" distR="114300" simplePos="0" relativeHeight="251658241" behindDoc="1" locked="0" layoutInCell="1" allowOverlap="1" wp14:anchorId="3ABFC995" wp14:editId="6AA51AB0">
          <wp:simplePos x="0" y="0"/>
          <wp:positionH relativeFrom="margin">
            <wp:posOffset>0</wp:posOffset>
          </wp:positionH>
          <wp:positionV relativeFrom="page">
            <wp:posOffset>426085</wp:posOffset>
          </wp:positionV>
          <wp:extent cx="896620" cy="45720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457200"/>
                  </a:xfrm>
                  <a:prstGeom prst="rect">
                    <a:avLst/>
                  </a:prstGeom>
                  <a:noFill/>
                </pic:spPr>
              </pic:pic>
            </a:graphicData>
          </a:graphic>
          <wp14:sizeRelH relativeFrom="margin">
            <wp14:pctWidth>0</wp14:pctWidth>
          </wp14:sizeRelH>
          <wp14:sizeRelV relativeFrom="margin">
            <wp14:pctHeight>0</wp14:pctHeight>
          </wp14:sizeRelV>
        </wp:anchor>
      </w:drawing>
    </w:r>
    <w:r>
      <w:rPr>
        <w:sz w:val="20"/>
        <w:szCs w:val="20"/>
      </w:rPr>
      <w:tab/>
    </w:r>
  </w:p>
  <w:p w14:paraId="1CFC50E6" w14:textId="490011F7" w:rsidR="004D238F" w:rsidRPr="00B34234" w:rsidRDefault="004D238F" w:rsidP="004D238F">
    <w:pPr>
      <w:pStyle w:val="Header"/>
      <w:pBdr>
        <w:bottom w:val="single" w:sz="4" w:space="1" w:color="81929A"/>
      </w:pBdr>
      <w:tabs>
        <w:tab w:val="left" w:pos="3834"/>
      </w:tabs>
      <w:spacing w:line="360" w:lineRule="auto"/>
      <w:rPr>
        <w:b/>
        <w:bCs/>
        <w:sz w:val="20"/>
        <w:szCs w:val="20"/>
      </w:rPr>
    </w:pPr>
    <w:r>
      <w:rPr>
        <w:rFonts w:ascii="Arial" w:hAnsi="Arial" w:cs="Arial"/>
        <w:color w:val="81929A"/>
        <w:sz w:val="18"/>
        <w:szCs w:val="18"/>
      </w:rPr>
      <w:tab/>
    </w:r>
    <w:r>
      <w:rPr>
        <w:rFonts w:ascii="Arial" w:hAnsi="Arial" w:cs="Arial"/>
        <w:color w:val="81929A"/>
        <w:sz w:val="18"/>
        <w:szCs w:val="18"/>
      </w:rPr>
      <w:tab/>
    </w:r>
    <w:r>
      <w:rPr>
        <w:rFonts w:ascii="Arial" w:hAnsi="Arial" w:cs="Arial"/>
        <w:color w:val="81929A"/>
        <w:sz w:val="18"/>
        <w:szCs w:val="18"/>
      </w:rPr>
      <w:tab/>
    </w:r>
    <w:r w:rsidR="005A3EBD" w:rsidRPr="00B34234">
      <w:rPr>
        <w:rFonts w:ascii="Arial" w:hAnsi="Arial" w:cs="Arial"/>
        <w:b/>
        <w:bCs/>
        <w:color w:val="81929A"/>
        <w:sz w:val="18"/>
        <w:szCs w:val="18"/>
      </w:rPr>
      <w:t>Clinical Study Protocol</w:t>
    </w:r>
  </w:p>
  <w:p w14:paraId="16B8497F" w14:textId="64C68A5D" w:rsidR="0040594E" w:rsidRPr="00B34234" w:rsidRDefault="004D238F" w:rsidP="004D238F">
    <w:pPr>
      <w:pStyle w:val="Header"/>
      <w:pBdr>
        <w:bottom w:val="single" w:sz="4" w:space="1" w:color="81929A"/>
      </w:pBdr>
      <w:rPr>
        <w:rFonts w:ascii="Arial" w:hAnsi="Arial" w:cs="Arial"/>
        <w:b/>
        <w:bCs/>
        <w:color w:val="81929A"/>
        <w:sz w:val="18"/>
        <w:szCs w:val="18"/>
      </w:rPr>
    </w:pPr>
    <w:r w:rsidRPr="00B34234">
      <w:rPr>
        <w:rFonts w:ascii="Arial" w:hAnsi="Arial" w:cs="Arial"/>
        <w:b/>
        <w:bCs/>
        <w:color w:val="81929A"/>
        <w:sz w:val="18"/>
        <w:szCs w:val="18"/>
      </w:rPr>
      <w:tab/>
    </w:r>
    <w:r w:rsidRPr="00B34234">
      <w:rPr>
        <w:rFonts w:ascii="Arial" w:hAnsi="Arial" w:cs="Arial"/>
        <w:b/>
        <w:bCs/>
        <w:color w:val="81929A"/>
        <w:sz w:val="18"/>
        <w:szCs w:val="18"/>
      </w:rPr>
      <w:tab/>
    </w:r>
    <w:r w:rsidR="005A3EBD" w:rsidRPr="00B34234">
      <w:rPr>
        <w:rFonts w:ascii="Arial" w:hAnsi="Arial" w:cs="Arial"/>
        <w:b/>
        <w:bCs/>
        <w:color w:val="81929A"/>
        <w:sz w:val="18"/>
        <w:szCs w:val="18"/>
      </w:rPr>
      <w:t>Study no. PTF202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DD508" w14:textId="77777777" w:rsidR="00BB670A" w:rsidRDefault="00BB670A" w:rsidP="004D238F">
    <w:pPr>
      <w:pStyle w:val="Header"/>
      <w:pBdr>
        <w:bottom w:val="single" w:sz="4" w:space="1" w:color="81929A"/>
      </w:pBdr>
      <w:tabs>
        <w:tab w:val="center" w:pos="4524"/>
      </w:tabs>
      <w:rPr>
        <w:sz w:val="20"/>
        <w:szCs w:val="20"/>
      </w:rPr>
    </w:pPr>
    <w:r>
      <w:rPr>
        <w:noProof/>
      </w:rPr>
      <w:drawing>
        <wp:anchor distT="0" distB="0" distL="114300" distR="114300" simplePos="0" relativeHeight="251658242" behindDoc="1" locked="0" layoutInCell="1" allowOverlap="1" wp14:anchorId="073C990D" wp14:editId="3AC84D08">
          <wp:simplePos x="0" y="0"/>
          <wp:positionH relativeFrom="margin">
            <wp:posOffset>0</wp:posOffset>
          </wp:positionH>
          <wp:positionV relativeFrom="page">
            <wp:posOffset>426085</wp:posOffset>
          </wp:positionV>
          <wp:extent cx="896620" cy="457200"/>
          <wp:effectExtent l="0" t="0" r="0"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457200"/>
                  </a:xfrm>
                  <a:prstGeom prst="rect">
                    <a:avLst/>
                  </a:prstGeom>
                  <a:noFill/>
                </pic:spPr>
              </pic:pic>
            </a:graphicData>
          </a:graphic>
          <wp14:sizeRelH relativeFrom="margin">
            <wp14:pctWidth>0</wp14:pctWidth>
          </wp14:sizeRelH>
          <wp14:sizeRelV relativeFrom="margin">
            <wp14:pctHeight>0</wp14:pctHeight>
          </wp14:sizeRelV>
        </wp:anchor>
      </w:drawing>
    </w:r>
    <w:r>
      <w:rPr>
        <w:sz w:val="20"/>
        <w:szCs w:val="20"/>
      </w:rPr>
      <w:tab/>
    </w:r>
    <w:r>
      <w:rPr>
        <w:noProof/>
      </w:rPr>
      <w:drawing>
        <wp:anchor distT="0" distB="0" distL="114300" distR="114300" simplePos="0" relativeHeight="251658243" behindDoc="1" locked="0" layoutInCell="1" allowOverlap="1" wp14:anchorId="3140066C" wp14:editId="004320E6">
          <wp:simplePos x="0" y="0"/>
          <wp:positionH relativeFrom="margin">
            <wp:posOffset>0</wp:posOffset>
          </wp:positionH>
          <wp:positionV relativeFrom="page">
            <wp:posOffset>426085</wp:posOffset>
          </wp:positionV>
          <wp:extent cx="896620" cy="457200"/>
          <wp:effectExtent l="0" t="0" r="0"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457200"/>
                  </a:xfrm>
                  <a:prstGeom prst="rect">
                    <a:avLst/>
                  </a:prstGeom>
                  <a:noFill/>
                </pic:spPr>
              </pic:pic>
            </a:graphicData>
          </a:graphic>
          <wp14:sizeRelH relativeFrom="margin">
            <wp14:pctWidth>0</wp14:pctWidth>
          </wp14:sizeRelH>
          <wp14:sizeRelV relativeFrom="margin">
            <wp14:pctHeight>0</wp14:pctHeight>
          </wp14:sizeRelV>
        </wp:anchor>
      </w:drawing>
    </w:r>
    <w:r>
      <w:rPr>
        <w:sz w:val="20"/>
        <w:szCs w:val="20"/>
      </w:rPr>
      <w:tab/>
    </w:r>
  </w:p>
  <w:p w14:paraId="26B27B4F" w14:textId="0B95D0EE" w:rsidR="00BB670A" w:rsidRPr="00B34234" w:rsidRDefault="00BB670A" w:rsidP="00BB670A">
    <w:pPr>
      <w:pStyle w:val="Header"/>
      <w:pBdr>
        <w:bottom w:val="single" w:sz="4" w:space="1" w:color="81929A"/>
      </w:pBdr>
      <w:tabs>
        <w:tab w:val="clear" w:pos="9406"/>
        <w:tab w:val="left" w:pos="3834"/>
        <w:tab w:val="right" w:pos="13892"/>
      </w:tabs>
      <w:spacing w:line="360" w:lineRule="auto"/>
      <w:rPr>
        <w:b/>
        <w:bCs/>
        <w:sz w:val="20"/>
        <w:szCs w:val="20"/>
      </w:rPr>
    </w:pPr>
    <w:r>
      <w:rPr>
        <w:rFonts w:ascii="Arial" w:hAnsi="Arial" w:cs="Arial"/>
        <w:color w:val="81929A"/>
        <w:sz w:val="18"/>
        <w:szCs w:val="18"/>
      </w:rPr>
      <w:tab/>
    </w:r>
    <w:r>
      <w:rPr>
        <w:rFonts w:ascii="Arial" w:hAnsi="Arial" w:cs="Arial"/>
        <w:color w:val="81929A"/>
        <w:sz w:val="18"/>
        <w:szCs w:val="18"/>
      </w:rPr>
      <w:tab/>
    </w:r>
    <w:r>
      <w:rPr>
        <w:rFonts w:ascii="Arial" w:hAnsi="Arial" w:cs="Arial"/>
        <w:color w:val="81929A"/>
        <w:sz w:val="18"/>
        <w:szCs w:val="18"/>
      </w:rPr>
      <w:tab/>
    </w:r>
    <w:r w:rsidRPr="00B34234">
      <w:rPr>
        <w:rFonts w:ascii="Arial" w:hAnsi="Arial" w:cs="Arial"/>
        <w:b/>
        <w:bCs/>
        <w:color w:val="81929A"/>
        <w:sz w:val="18"/>
        <w:szCs w:val="18"/>
      </w:rPr>
      <w:t>Clinical Study Protocol</w:t>
    </w:r>
  </w:p>
  <w:p w14:paraId="283152A7" w14:textId="77777777" w:rsidR="00BB670A" w:rsidRPr="00B34234" w:rsidRDefault="00BB670A" w:rsidP="00BB670A">
    <w:pPr>
      <w:pStyle w:val="Header"/>
      <w:pBdr>
        <w:bottom w:val="single" w:sz="4" w:space="1" w:color="81929A"/>
      </w:pBdr>
      <w:tabs>
        <w:tab w:val="clear" w:pos="9406"/>
        <w:tab w:val="right" w:pos="13892"/>
      </w:tabs>
      <w:rPr>
        <w:rFonts w:ascii="Arial" w:hAnsi="Arial" w:cs="Arial"/>
        <w:b/>
        <w:bCs/>
        <w:color w:val="81929A"/>
        <w:sz w:val="18"/>
        <w:szCs w:val="18"/>
      </w:rPr>
    </w:pPr>
    <w:r w:rsidRPr="00B34234">
      <w:rPr>
        <w:rFonts w:ascii="Arial" w:hAnsi="Arial" w:cs="Arial"/>
        <w:b/>
        <w:bCs/>
        <w:color w:val="81929A"/>
        <w:sz w:val="18"/>
        <w:szCs w:val="18"/>
      </w:rPr>
      <w:tab/>
    </w:r>
    <w:r w:rsidRPr="00B34234">
      <w:rPr>
        <w:rFonts w:ascii="Arial" w:hAnsi="Arial" w:cs="Arial"/>
        <w:b/>
        <w:bCs/>
        <w:color w:val="81929A"/>
        <w:sz w:val="18"/>
        <w:szCs w:val="18"/>
      </w:rPr>
      <w:tab/>
      <w:t>Study no. PTF202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3184"/>
    <w:multiLevelType w:val="hybridMultilevel"/>
    <w:tmpl w:val="BEE862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2C74CF6"/>
    <w:multiLevelType w:val="hybridMultilevel"/>
    <w:tmpl w:val="860E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D6DF9"/>
    <w:multiLevelType w:val="hybridMultilevel"/>
    <w:tmpl w:val="0EAC42DE"/>
    <w:lvl w:ilvl="0" w:tplc="EBE8C69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559587A"/>
    <w:multiLevelType w:val="hybridMultilevel"/>
    <w:tmpl w:val="19D2EC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D85C93"/>
    <w:multiLevelType w:val="hybridMultilevel"/>
    <w:tmpl w:val="B69E6BEE"/>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5" w15:restartNumberingAfterBreak="0">
    <w:nsid w:val="0ACB41BA"/>
    <w:multiLevelType w:val="hybridMultilevel"/>
    <w:tmpl w:val="0D8ABAB2"/>
    <w:lvl w:ilvl="0" w:tplc="04070001">
      <w:start w:val="1"/>
      <w:numFmt w:val="bullet"/>
      <w:lvlText w:val=""/>
      <w:lvlJc w:val="left"/>
      <w:pPr>
        <w:ind w:left="615"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6" w15:restartNumberingAfterBreak="0">
    <w:nsid w:val="0AED4FFB"/>
    <w:multiLevelType w:val="hybridMultilevel"/>
    <w:tmpl w:val="44EEE2D6"/>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7" w15:restartNumberingAfterBreak="0">
    <w:nsid w:val="0B8B00DC"/>
    <w:multiLevelType w:val="hybridMultilevel"/>
    <w:tmpl w:val="31B0B0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5F4710E"/>
    <w:multiLevelType w:val="hybridMultilevel"/>
    <w:tmpl w:val="CAEAF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971409"/>
    <w:multiLevelType w:val="hybridMultilevel"/>
    <w:tmpl w:val="E6E814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6C1C07"/>
    <w:multiLevelType w:val="hybridMultilevel"/>
    <w:tmpl w:val="D9FA0AF0"/>
    <w:lvl w:ilvl="0" w:tplc="04070005">
      <w:start w:val="1"/>
      <w:numFmt w:val="bullet"/>
      <w:lvlText w:val=""/>
      <w:lvlJc w:val="left"/>
      <w:pPr>
        <w:ind w:left="1174" w:hanging="360"/>
      </w:pPr>
      <w:rPr>
        <w:rFonts w:ascii="Wingdings" w:hAnsi="Wingdings" w:hint="default"/>
      </w:rPr>
    </w:lvl>
    <w:lvl w:ilvl="1" w:tplc="04070003" w:tentative="1">
      <w:start w:val="1"/>
      <w:numFmt w:val="bullet"/>
      <w:lvlText w:val="o"/>
      <w:lvlJc w:val="left"/>
      <w:pPr>
        <w:ind w:left="1894" w:hanging="360"/>
      </w:pPr>
      <w:rPr>
        <w:rFonts w:ascii="Courier New" w:hAnsi="Courier New" w:cs="Courier New" w:hint="default"/>
      </w:rPr>
    </w:lvl>
    <w:lvl w:ilvl="2" w:tplc="04070005" w:tentative="1">
      <w:start w:val="1"/>
      <w:numFmt w:val="bullet"/>
      <w:lvlText w:val=""/>
      <w:lvlJc w:val="left"/>
      <w:pPr>
        <w:ind w:left="2614" w:hanging="360"/>
      </w:pPr>
      <w:rPr>
        <w:rFonts w:ascii="Wingdings" w:hAnsi="Wingdings" w:hint="default"/>
      </w:rPr>
    </w:lvl>
    <w:lvl w:ilvl="3" w:tplc="04070001" w:tentative="1">
      <w:start w:val="1"/>
      <w:numFmt w:val="bullet"/>
      <w:lvlText w:val=""/>
      <w:lvlJc w:val="left"/>
      <w:pPr>
        <w:ind w:left="3334" w:hanging="360"/>
      </w:pPr>
      <w:rPr>
        <w:rFonts w:ascii="Symbol" w:hAnsi="Symbol" w:hint="default"/>
      </w:rPr>
    </w:lvl>
    <w:lvl w:ilvl="4" w:tplc="04070003" w:tentative="1">
      <w:start w:val="1"/>
      <w:numFmt w:val="bullet"/>
      <w:lvlText w:val="o"/>
      <w:lvlJc w:val="left"/>
      <w:pPr>
        <w:ind w:left="4054" w:hanging="360"/>
      </w:pPr>
      <w:rPr>
        <w:rFonts w:ascii="Courier New" w:hAnsi="Courier New" w:cs="Courier New" w:hint="default"/>
      </w:rPr>
    </w:lvl>
    <w:lvl w:ilvl="5" w:tplc="04070005" w:tentative="1">
      <w:start w:val="1"/>
      <w:numFmt w:val="bullet"/>
      <w:lvlText w:val=""/>
      <w:lvlJc w:val="left"/>
      <w:pPr>
        <w:ind w:left="4774" w:hanging="360"/>
      </w:pPr>
      <w:rPr>
        <w:rFonts w:ascii="Wingdings" w:hAnsi="Wingdings" w:hint="default"/>
      </w:rPr>
    </w:lvl>
    <w:lvl w:ilvl="6" w:tplc="04070001" w:tentative="1">
      <w:start w:val="1"/>
      <w:numFmt w:val="bullet"/>
      <w:lvlText w:val=""/>
      <w:lvlJc w:val="left"/>
      <w:pPr>
        <w:ind w:left="5494" w:hanging="360"/>
      </w:pPr>
      <w:rPr>
        <w:rFonts w:ascii="Symbol" w:hAnsi="Symbol" w:hint="default"/>
      </w:rPr>
    </w:lvl>
    <w:lvl w:ilvl="7" w:tplc="04070003" w:tentative="1">
      <w:start w:val="1"/>
      <w:numFmt w:val="bullet"/>
      <w:lvlText w:val="o"/>
      <w:lvlJc w:val="left"/>
      <w:pPr>
        <w:ind w:left="6214" w:hanging="360"/>
      </w:pPr>
      <w:rPr>
        <w:rFonts w:ascii="Courier New" w:hAnsi="Courier New" w:cs="Courier New" w:hint="default"/>
      </w:rPr>
    </w:lvl>
    <w:lvl w:ilvl="8" w:tplc="04070005" w:tentative="1">
      <w:start w:val="1"/>
      <w:numFmt w:val="bullet"/>
      <w:lvlText w:val=""/>
      <w:lvlJc w:val="left"/>
      <w:pPr>
        <w:ind w:left="6934" w:hanging="360"/>
      </w:pPr>
      <w:rPr>
        <w:rFonts w:ascii="Wingdings" w:hAnsi="Wingdings" w:hint="default"/>
      </w:rPr>
    </w:lvl>
  </w:abstractNum>
  <w:abstractNum w:abstractNumId="11" w15:restartNumberingAfterBreak="0">
    <w:nsid w:val="1DA325BF"/>
    <w:multiLevelType w:val="hybridMultilevel"/>
    <w:tmpl w:val="D7D4943E"/>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12" w15:restartNumberingAfterBreak="0">
    <w:nsid w:val="1DD11A1B"/>
    <w:multiLevelType w:val="hybridMultilevel"/>
    <w:tmpl w:val="DA8EFC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6EC5FB5"/>
    <w:multiLevelType w:val="hybridMultilevel"/>
    <w:tmpl w:val="E6FCF598"/>
    <w:lvl w:ilvl="0" w:tplc="7038A1FC">
      <w:start w:val="3"/>
      <w:numFmt w:val="bullet"/>
      <w:lvlText w:val="-"/>
      <w:lvlJc w:val="left"/>
      <w:pPr>
        <w:ind w:left="2520" w:hanging="360"/>
      </w:pPr>
      <w:rPr>
        <w:rFonts w:ascii="Arial" w:eastAsiaTheme="minorHAnsi" w:hAnsi="Arial" w:cs="Arial" w:hint="default"/>
      </w:rPr>
    </w:lvl>
    <w:lvl w:ilvl="1" w:tplc="04070003" w:tentative="1">
      <w:start w:val="1"/>
      <w:numFmt w:val="bullet"/>
      <w:lvlText w:val="o"/>
      <w:lvlJc w:val="left"/>
      <w:pPr>
        <w:ind w:left="3240" w:hanging="360"/>
      </w:pPr>
      <w:rPr>
        <w:rFonts w:ascii="Courier New" w:hAnsi="Courier New" w:cs="Courier New" w:hint="default"/>
      </w:rPr>
    </w:lvl>
    <w:lvl w:ilvl="2" w:tplc="04070005" w:tentative="1">
      <w:start w:val="1"/>
      <w:numFmt w:val="bullet"/>
      <w:lvlText w:val=""/>
      <w:lvlJc w:val="left"/>
      <w:pPr>
        <w:ind w:left="3960" w:hanging="360"/>
      </w:pPr>
      <w:rPr>
        <w:rFonts w:ascii="Wingdings" w:hAnsi="Wingdings" w:hint="default"/>
      </w:rPr>
    </w:lvl>
    <w:lvl w:ilvl="3" w:tplc="04070001" w:tentative="1">
      <w:start w:val="1"/>
      <w:numFmt w:val="bullet"/>
      <w:lvlText w:val=""/>
      <w:lvlJc w:val="left"/>
      <w:pPr>
        <w:ind w:left="4680" w:hanging="360"/>
      </w:pPr>
      <w:rPr>
        <w:rFonts w:ascii="Symbol" w:hAnsi="Symbol" w:hint="default"/>
      </w:rPr>
    </w:lvl>
    <w:lvl w:ilvl="4" w:tplc="04070003" w:tentative="1">
      <w:start w:val="1"/>
      <w:numFmt w:val="bullet"/>
      <w:lvlText w:val="o"/>
      <w:lvlJc w:val="left"/>
      <w:pPr>
        <w:ind w:left="5400" w:hanging="360"/>
      </w:pPr>
      <w:rPr>
        <w:rFonts w:ascii="Courier New" w:hAnsi="Courier New" w:cs="Courier New" w:hint="default"/>
      </w:rPr>
    </w:lvl>
    <w:lvl w:ilvl="5" w:tplc="04070005" w:tentative="1">
      <w:start w:val="1"/>
      <w:numFmt w:val="bullet"/>
      <w:lvlText w:val=""/>
      <w:lvlJc w:val="left"/>
      <w:pPr>
        <w:ind w:left="6120" w:hanging="360"/>
      </w:pPr>
      <w:rPr>
        <w:rFonts w:ascii="Wingdings" w:hAnsi="Wingdings" w:hint="default"/>
      </w:rPr>
    </w:lvl>
    <w:lvl w:ilvl="6" w:tplc="04070001" w:tentative="1">
      <w:start w:val="1"/>
      <w:numFmt w:val="bullet"/>
      <w:lvlText w:val=""/>
      <w:lvlJc w:val="left"/>
      <w:pPr>
        <w:ind w:left="6840" w:hanging="360"/>
      </w:pPr>
      <w:rPr>
        <w:rFonts w:ascii="Symbol" w:hAnsi="Symbol" w:hint="default"/>
      </w:rPr>
    </w:lvl>
    <w:lvl w:ilvl="7" w:tplc="04070003" w:tentative="1">
      <w:start w:val="1"/>
      <w:numFmt w:val="bullet"/>
      <w:lvlText w:val="o"/>
      <w:lvlJc w:val="left"/>
      <w:pPr>
        <w:ind w:left="7560" w:hanging="360"/>
      </w:pPr>
      <w:rPr>
        <w:rFonts w:ascii="Courier New" w:hAnsi="Courier New" w:cs="Courier New" w:hint="default"/>
      </w:rPr>
    </w:lvl>
    <w:lvl w:ilvl="8" w:tplc="04070005" w:tentative="1">
      <w:start w:val="1"/>
      <w:numFmt w:val="bullet"/>
      <w:lvlText w:val=""/>
      <w:lvlJc w:val="left"/>
      <w:pPr>
        <w:ind w:left="8280" w:hanging="360"/>
      </w:pPr>
      <w:rPr>
        <w:rFonts w:ascii="Wingdings" w:hAnsi="Wingdings" w:hint="default"/>
      </w:rPr>
    </w:lvl>
  </w:abstractNum>
  <w:abstractNum w:abstractNumId="14" w15:restartNumberingAfterBreak="0">
    <w:nsid w:val="29C22533"/>
    <w:multiLevelType w:val="hybridMultilevel"/>
    <w:tmpl w:val="A89ACE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C8F1607"/>
    <w:multiLevelType w:val="hybridMultilevel"/>
    <w:tmpl w:val="04D24488"/>
    <w:lvl w:ilvl="0" w:tplc="04070005">
      <w:start w:val="1"/>
      <w:numFmt w:val="bullet"/>
      <w:lvlText w:val=""/>
      <w:lvlJc w:val="left"/>
      <w:pPr>
        <w:ind w:left="1335" w:hanging="360"/>
      </w:pPr>
      <w:rPr>
        <w:rFonts w:ascii="Wingdings" w:hAnsi="Wingdings" w:hint="default"/>
      </w:rPr>
    </w:lvl>
    <w:lvl w:ilvl="1" w:tplc="04070003" w:tentative="1">
      <w:start w:val="1"/>
      <w:numFmt w:val="bullet"/>
      <w:lvlText w:val="o"/>
      <w:lvlJc w:val="left"/>
      <w:pPr>
        <w:ind w:left="2055" w:hanging="360"/>
      </w:pPr>
      <w:rPr>
        <w:rFonts w:ascii="Courier New" w:hAnsi="Courier New" w:cs="Courier New" w:hint="default"/>
      </w:rPr>
    </w:lvl>
    <w:lvl w:ilvl="2" w:tplc="04070005" w:tentative="1">
      <w:start w:val="1"/>
      <w:numFmt w:val="bullet"/>
      <w:lvlText w:val=""/>
      <w:lvlJc w:val="left"/>
      <w:pPr>
        <w:ind w:left="2775" w:hanging="360"/>
      </w:pPr>
      <w:rPr>
        <w:rFonts w:ascii="Wingdings" w:hAnsi="Wingdings" w:hint="default"/>
      </w:rPr>
    </w:lvl>
    <w:lvl w:ilvl="3" w:tplc="04070001" w:tentative="1">
      <w:start w:val="1"/>
      <w:numFmt w:val="bullet"/>
      <w:lvlText w:val=""/>
      <w:lvlJc w:val="left"/>
      <w:pPr>
        <w:ind w:left="3495" w:hanging="360"/>
      </w:pPr>
      <w:rPr>
        <w:rFonts w:ascii="Symbol" w:hAnsi="Symbol" w:hint="default"/>
      </w:rPr>
    </w:lvl>
    <w:lvl w:ilvl="4" w:tplc="04070003" w:tentative="1">
      <w:start w:val="1"/>
      <w:numFmt w:val="bullet"/>
      <w:lvlText w:val="o"/>
      <w:lvlJc w:val="left"/>
      <w:pPr>
        <w:ind w:left="4215" w:hanging="360"/>
      </w:pPr>
      <w:rPr>
        <w:rFonts w:ascii="Courier New" w:hAnsi="Courier New" w:cs="Courier New" w:hint="default"/>
      </w:rPr>
    </w:lvl>
    <w:lvl w:ilvl="5" w:tplc="04070005" w:tentative="1">
      <w:start w:val="1"/>
      <w:numFmt w:val="bullet"/>
      <w:lvlText w:val=""/>
      <w:lvlJc w:val="left"/>
      <w:pPr>
        <w:ind w:left="4935" w:hanging="360"/>
      </w:pPr>
      <w:rPr>
        <w:rFonts w:ascii="Wingdings" w:hAnsi="Wingdings" w:hint="default"/>
      </w:rPr>
    </w:lvl>
    <w:lvl w:ilvl="6" w:tplc="04070001" w:tentative="1">
      <w:start w:val="1"/>
      <w:numFmt w:val="bullet"/>
      <w:lvlText w:val=""/>
      <w:lvlJc w:val="left"/>
      <w:pPr>
        <w:ind w:left="5655" w:hanging="360"/>
      </w:pPr>
      <w:rPr>
        <w:rFonts w:ascii="Symbol" w:hAnsi="Symbol" w:hint="default"/>
      </w:rPr>
    </w:lvl>
    <w:lvl w:ilvl="7" w:tplc="04070003" w:tentative="1">
      <w:start w:val="1"/>
      <w:numFmt w:val="bullet"/>
      <w:lvlText w:val="o"/>
      <w:lvlJc w:val="left"/>
      <w:pPr>
        <w:ind w:left="6375" w:hanging="360"/>
      </w:pPr>
      <w:rPr>
        <w:rFonts w:ascii="Courier New" w:hAnsi="Courier New" w:cs="Courier New" w:hint="default"/>
      </w:rPr>
    </w:lvl>
    <w:lvl w:ilvl="8" w:tplc="04070005" w:tentative="1">
      <w:start w:val="1"/>
      <w:numFmt w:val="bullet"/>
      <w:lvlText w:val=""/>
      <w:lvlJc w:val="left"/>
      <w:pPr>
        <w:ind w:left="7095" w:hanging="360"/>
      </w:pPr>
      <w:rPr>
        <w:rFonts w:ascii="Wingdings" w:hAnsi="Wingdings" w:hint="default"/>
      </w:rPr>
    </w:lvl>
  </w:abstractNum>
  <w:abstractNum w:abstractNumId="16" w15:restartNumberingAfterBreak="0">
    <w:nsid w:val="2CDA556F"/>
    <w:multiLevelType w:val="hybridMultilevel"/>
    <w:tmpl w:val="188ACA20"/>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17" w15:restartNumberingAfterBreak="0">
    <w:nsid w:val="2D1E1ACB"/>
    <w:multiLevelType w:val="hybridMultilevel"/>
    <w:tmpl w:val="22244166"/>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18" w15:restartNumberingAfterBreak="0">
    <w:nsid w:val="3438761B"/>
    <w:multiLevelType w:val="hybridMultilevel"/>
    <w:tmpl w:val="752A6F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5EE2D04"/>
    <w:multiLevelType w:val="hybridMultilevel"/>
    <w:tmpl w:val="FC6A3C6E"/>
    <w:lvl w:ilvl="0" w:tplc="A7B69CF0">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86651"/>
    <w:multiLevelType w:val="hybridMultilevel"/>
    <w:tmpl w:val="BC78F84C"/>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21" w15:restartNumberingAfterBreak="0">
    <w:nsid w:val="3D505E1A"/>
    <w:multiLevelType w:val="hybridMultilevel"/>
    <w:tmpl w:val="F0AA6CC6"/>
    <w:lvl w:ilvl="0" w:tplc="E2046D70">
      <w:start w:val="9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53D0AC8"/>
    <w:multiLevelType w:val="hybridMultilevel"/>
    <w:tmpl w:val="77F0B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8A808D0"/>
    <w:multiLevelType w:val="hybridMultilevel"/>
    <w:tmpl w:val="20280B78"/>
    <w:lvl w:ilvl="0" w:tplc="04070005">
      <w:start w:val="1"/>
      <w:numFmt w:val="bullet"/>
      <w:lvlText w:val=""/>
      <w:lvlJc w:val="left"/>
      <w:pPr>
        <w:ind w:left="1548" w:hanging="360"/>
      </w:pPr>
      <w:rPr>
        <w:rFonts w:ascii="Wingdings" w:hAnsi="Wingdings" w:hint="default"/>
      </w:rPr>
    </w:lvl>
    <w:lvl w:ilvl="1" w:tplc="04070003" w:tentative="1">
      <w:start w:val="1"/>
      <w:numFmt w:val="bullet"/>
      <w:lvlText w:val="o"/>
      <w:lvlJc w:val="left"/>
      <w:pPr>
        <w:ind w:left="2268" w:hanging="360"/>
      </w:pPr>
      <w:rPr>
        <w:rFonts w:ascii="Courier New" w:hAnsi="Courier New" w:cs="Courier New" w:hint="default"/>
      </w:rPr>
    </w:lvl>
    <w:lvl w:ilvl="2" w:tplc="04070005" w:tentative="1">
      <w:start w:val="1"/>
      <w:numFmt w:val="bullet"/>
      <w:lvlText w:val=""/>
      <w:lvlJc w:val="left"/>
      <w:pPr>
        <w:ind w:left="2988" w:hanging="360"/>
      </w:pPr>
      <w:rPr>
        <w:rFonts w:ascii="Wingdings" w:hAnsi="Wingdings" w:hint="default"/>
      </w:rPr>
    </w:lvl>
    <w:lvl w:ilvl="3" w:tplc="04070001" w:tentative="1">
      <w:start w:val="1"/>
      <w:numFmt w:val="bullet"/>
      <w:lvlText w:val=""/>
      <w:lvlJc w:val="left"/>
      <w:pPr>
        <w:ind w:left="3708" w:hanging="360"/>
      </w:pPr>
      <w:rPr>
        <w:rFonts w:ascii="Symbol" w:hAnsi="Symbol" w:hint="default"/>
      </w:rPr>
    </w:lvl>
    <w:lvl w:ilvl="4" w:tplc="04070003" w:tentative="1">
      <w:start w:val="1"/>
      <w:numFmt w:val="bullet"/>
      <w:lvlText w:val="o"/>
      <w:lvlJc w:val="left"/>
      <w:pPr>
        <w:ind w:left="4428" w:hanging="360"/>
      </w:pPr>
      <w:rPr>
        <w:rFonts w:ascii="Courier New" w:hAnsi="Courier New" w:cs="Courier New" w:hint="default"/>
      </w:rPr>
    </w:lvl>
    <w:lvl w:ilvl="5" w:tplc="04070005" w:tentative="1">
      <w:start w:val="1"/>
      <w:numFmt w:val="bullet"/>
      <w:lvlText w:val=""/>
      <w:lvlJc w:val="left"/>
      <w:pPr>
        <w:ind w:left="5148" w:hanging="360"/>
      </w:pPr>
      <w:rPr>
        <w:rFonts w:ascii="Wingdings" w:hAnsi="Wingdings" w:hint="default"/>
      </w:rPr>
    </w:lvl>
    <w:lvl w:ilvl="6" w:tplc="04070001" w:tentative="1">
      <w:start w:val="1"/>
      <w:numFmt w:val="bullet"/>
      <w:lvlText w:val=""/>
      <w:lvlJc w:val="left"/>
      <w:pPr>
        <w:ind w:left="5868" w:hanging="360"/>
      </w:pPr>
      <w:rPr>
        <w:rFonts w:ascii="Symbol" w:hAnsi="Symbol" w:hint="default"/>
      </w:rPr>
    </w:lvl>
    <w:lvl w:ilvl="7" w:tplc="04070003" w:tentative="1">
      <w:start w:val="1"/>
      <w:numFmt w:val="bullet"/>
      <w:lvlText w:val="o"/>
      <w:lvlJc w:val="left"/>
      <w:pPr>
        <w:ind w:left="6588" w:hanging="360"/>
      </w:pPr>
      <w:rPr>
        <w:rFonts w:ascii="Courier New" w:hAnsi="Courier New" w:cs="Courier New" w:hint="default"/>
      </w:rPr>
    </w:lvl>
    <w:lvl w:ilvl="8" w:tplc="04070005" w:tentative="1">
      <w:start w:val="1"/>
      <w:numFmt w:val="bullet"/>
      <w:lvlText w:val=""/>
      <w:lvlJc w:val="left"/>
      <w:pPr>
        <w:ind w:left="7308" w:hanging="360"/>
      </w:pPr>
      <w:rPr>
        <w:rFonts w:ascii="Wingdings" w:hAnsi="Wingdings" w:hint="default"/>
      </w:rPr>
    </w:lvl>
  </w:abstractNum>
  <w:abstractNum w:abstractNumId="24" w15:restartNumberingAfterBreak="0">
    <w:nsid w:val="4B7D50A3"/>
    <w:multiLevelType w:val="hybridMultilevel"/>
    <w:tmpl w:val="38A6A26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C5642C0"/>
    <w:multiLevelType w:val="hybridMultilevel"/>
    <w:tmpl w:val="00B6B8CC"/>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26" w15:restartNumberingAfterBreak="0">
    <w:nsid w:val="4D0A3319"/>
    <w:multiLevelType w:val="hybridMultilevel"/>
    <w:tmpl w:val="1B5C1D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7854782"/>
    <w:multiLevelType w:val="multilevel"/>
    <w:tmpl w:val="23ACFBC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none"/>
      <w:pStyle w:val="Heading5"/>
      <w:lvlText w:val=""/>
      <w:lvlJc w:val="left"/>
      <w:pPr>
        <w:ind w:left="1008" w:hanging="1008"/>
      </w:pPr>
      <w:rPr>
        <w:rFonts w:hint="default"/>
        <w:color w:val="auto"/>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 w15:restartNumberingAfterBreak="0">
    <w:nsid w:val="579B23B2"/>
    <w:multiLevelType w:val="hybridMultilevel"/>
    <w:tmpl w:val="99C21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A8111A"/>
    <w:multiLevelType w:val="hybridMultilevel"/>
    <w:tmpl w:val="3FEA7BC0"/>
    <w:lvl w:ilvl="0" w:tplc="B22E0FB0">
      <w:start w:val="9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BCF556D"/>
    <w:multiLevelType w:val="hybridMultilevel"/>
    <w:tmpl w:val="DDC0C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0E91314"/>
    <w:multiLevelType w:val="hybridMultilevel"/>
    <w:tmpl w:val="E932CD02"/>
    <w:lvl w:ilvl="0" w:tplc="AA80904A">
      <w:numFmt w:val="bullet"/>
      <w:lvlText w:val="–"/>
      <w:lvlJc w:val="left"/>
      <w:pPr>
        <w:ind w:left="502" w:hanging="360"/>
      </w:pPr>
      <w:rPr>
        <w:rFonts w:ascii="Arial" w:eastAsia="Times New Roman" w:hAnsi="Arial" w:cs="Arial" w:hint="default"/>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32" w15:restartNumberingAfterBreak="0">
    <w:nsid w:val="62EC46F8"/>
    <w:multiLevelType w:val="hybridMultilevel"/>
    <w:tmpl w:val="A4B8CB34"/>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33" w15:restartNumberingAfterBreak="0">
    <w:nsid w:val="633C343B"/>
    <w:multiLevelType w:val="hybridMultilevel"/>
    <w:tmpl w:val="175EC7C6"/>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34" w15:restartNumberingAfterBreak="0">
    <w:nsid w:val="64DA4A6E"/>
    <w:multiLevelType w:val="hybridMultilevel"/>
    <w:tmpl w:val="34A2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DB07F1"/>
    <w:multiLevelType w:val="hybridMultilevel"/>
    <w:tmpl w:val="AB7411F8"/>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36" w15:restartNumberingAfterBreak="0">
    <w:nsid w:val="722D7E3F"/>
    <w:multiLevelType w:val="hybridMultilevel"/>
    <w:tmpl w:val="5E10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8E05B2"/>
    <w:multiLevelType w:val="hybridMultilevel"/>
    <w:tmpl w:val="33C2FE5C"/>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38" w15:restartNumberingAfterBreak="0">
    <w:nsid w:val="736F3C0C"/>
    <w:multiLevelType w:val="hybridMultilevel"/>
    <w:tmpl w:val="2E2A6534"/>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39" w15:restartNumberingAfterBreak="0">
    <w:nsid w:val="748E4BC7"/>
    <w:multiLevelType w:val="hybridMultilevel"/>
    <w:tmpl w:val="BF188D4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759779C2"/>
    <w:multiLevelType w:val="hybridMultilevel"/>
    <w:tmpl w:val="D780C3CC"/>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41" w15:restartNumberingAfterBreak="0">
    <w:nsid w:val="75FD4030"/>
    <w:multiLevelType w:val="hybridMultilevel"/>
    <w:tmpl w:val="A1A4A008"/>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42" w15:restartNumberingAfterBreak="0">
    <w:nsid w:val="76347492"/>
    <w:multiLevelType w:val="hybridMultilevel"/>
    <w:tmpl w:val="9D5437E2"/>
    <w:lvl w:ilvl="0" w:tplc="FFA283B0">
      <w:numFmt w:val="bullet"/>
      <w:lvlText w:val="-"/>
      <w:lvlJc w:val="left"/>
      <w:pPr>
        <w:ind w:left="473" w:hanging="360"/>
      </w:pPr>
      <w:rPr>
        <w:rFonts w:ascii="Arial" w:eastAsia="Times New Roman" w:hAnsi="Arial" w:cs="Arial" w:hint="default"/>
      </w:rPr>
    </w:lvl>
    <w:lvl w:ilvl="1" w:tplc="04070003" w:tentative="1">
      <w:start w:val="1"/>
      <w:numFmt w:val="bullet"/>
      <w:lvlText w:val="o"/>
      <w:lvlJc w:val="left"/>
      <w:pPr>
        <w:ind w:left="1193" w:hanging="360"/>
      </w:pPr>
      <w:rPr>
        <w:rFonts w:ascii="Courier New" w:hAnsi="Courier New" w:cs="Courier New" w:hint="default"/>
      </w:rPr>
    </w:lvl>
    <w:lvl w:ilvl="2" w:tplc="04070005" w:tentative="1">
      <w:start w:val="1"/>
      <w:numFmt w:val="bullet"/>
      <w:lvlText w:val=""/>
      <w:lvlJc w:val="left"/>
      <w:pPr>
        <w:ind w:left="1913" w:hanging="360"/>
      </w:pPr>
      <w:rPr>
        <w:rFonts w:ascii="Wingdings" w:hAnsi="Wingdings" w:hint="default"/>
      </w:rPr>
    </w:lvl>
    <w:lvl w:ilvl="3" w:tplc="04070001" w:tentative="1">
      <w:start w:val="1"/>
      <w:numFmt w:val="bullet"/>
      <w:lvlText w:val=""/>
      <w:lvlJc w:val="left"/>
      <w:pPr>
        <w:ind w:left="2633" w:hanging="360"/>
      </w:pPr>
      <w:rPr>
        <w:rFonts w:ascii="Symbol" w:hAnsi="Symbol" w:hint="default"/>
      </w:rPr>
    </w:lvl>
    <w:lvl w:ilvl="4" w:tplc="04070003" w:tentative="1">
      <w:start w:val="1"/>
      <w:numFmt w:val="bullet"/>
      <w:lvlText w:val="o"/>
      <w:lvlJc w:val="left"/>
      <w:pPr>
        <w:ind w:left="3353" w:hanging="360"/>
      </w:pPr>
      <w:rPr>
        <w:rFonts w:ascii="Courier New" w:hAnsi="Courier New" w:cs="Courier New" w:hint="default"/>
      </w:rPr>
    </w:lvl>
    <w:lvl w:ilvl="5" w:tplc="04070005" w:tentative="1">
      <w:start w:val="1"/>
      <w:numFmt w:val="bullet"/>
      <w:lvlText w:val=""/>
      <w:lvlJc w:val="left"/>
      <w:pPr>
        <w:ind w:left="4073" w:hanging="360"/>
      </w:pPr>
      <w:rPr>
        <w:rFonts w:ascii="Wingdings" w:hAnsi="Wingdings" w:hint="default"/>
      </w:rPr>
    </w:lvl>
    <w:lvl w:ilvl="6" w:tplc="04070001" w:tentative="1">
      <w:start w:val="1"/>
      <w:numFmt w:val="bullet"/>
      <w:lvlText w:val=""/>
      <w:lvlJc w:val="left"/>
      <w:pPr>
        <w:ind w:left="4793" w:hanging="360"/>
      </w:pPr>
      <w:rPr>
        <w:rFonts w:ascii="Symbol" w:hAnsi="Symbol" w:hint="default"/>
      </w:rPr>
    </w:lvl>
    <w:lvl w:ilvl="7" w:tplc="04070003" w:tentative="1">
      <w:start w:val="1"/>
      <w:numFmt w:val="bullet"/>
      <w:lvlText w:val="o"/>
      <w:lvlJc w:val="left"/>
      <w:pPr>
        <w:ind w:left="5513" w:hanging="360"/>
      </w:pPr>
      <w:rPr>
        <w:rFonts w:ascii="Courier New" w:hAnsi="Courier New" w:cs="Courier New" w:hint="default"/>
      </w:rPr>
    </w:lvl>
    <w:lvl w:ilvl="8" w:tplc="04070005" w:tentative="1">
      <w:start w:val="1"/>
      <w:numFmt w:val="bullet"/>
      <w:lvlText w:val=""/>
      <w:lvlJc w:val="left"/>
      <w:pPr>
        <w:ind w:left="6233" w:hanging="360"/>
      </w:pPr>
      <w:rPr>
        <w:rFonts w:ascii="Wingdings" w:hAnsi="Wingdings" w:hint="default"/>
      </w:rPr>
    </w:lvl>
  </w:abstractNum>
  <w:abstractNum w:abstractNumId="43" w15:restartNumberingAfterBreak="0">
    <w:nsid w:val="791F6F95"/>
    <w:multiLevelType w:val="hybridMultilevel"/>
    <w:tmpl w:val="79866B1A"/>
    <w:lvl w:ilvl="0" w:tplc="A21A4C82">
      <w:start w:val="7"/>
      <w:numFmt w:val="bullet"/>
      <w:lvlText w:val="-"/>
      <w:lvlJc w:val="left"/>
      <w:pPr>
        <w:ind w:left="473" w:hanging="360"/>
      </w:pPr>
      <w:rPr>
        <w:rFonts w:ascii="Arial" w:eastAsia="Times New Roman" w:hAnsi="Arial" w:cs="Arial" w:hint="default"/>
      </w:rPr>
    </w:lvl>
    <w:lvl w:ilvl="1" w:tplc="04070003" w:tentative="1">
      <w:start w:val="1"/>
      <w:numFmt w:val="bullet"/>
      <w:lvlText w:val="o"/>
      <w:lvlJc w:val="left"/>
      <w:pPr>
        <w:ind w:left="1193" w:hanging="360"/>
      </w:pPr>
      <w:rPr>
        <w:rFonts w:ascii="Courier New" w:hAnsi="Courier New" w:cs="Courier New" w:hint="default"/>
      </w:rPr>
    </w:lvl>
    <w:lvl w:ilvl="2" w:tplc="04070005" w:tentative="1">
      <w:start w:val="1"/>
      <w:numFmt w:val="bullet"/>
      <w:lvlText w:val=""/>
      <w:lvlJc w:val="left"/>
      <w:pPr>
        <w:ind w:left="1913" w:hanging="360"/>
      </w:pPr>
      <w:rPr>
        <w:rFonts w:ascii="Wingdings" w:hAnsi="Wingdings" w:hint="default"/>
      </w:rPr>
    </w:lvl>
    <w:lvl w:ilvl="3" w:tplc="04070001" w:tentative="1">
      <w:start w:val="1"/>
      <w:numFmt w:val="bullet"/>
      <w:lvlText w:val=""/>
      <w:lvlJc w:val="left"/>
      <w:pPr>
        <w:ind w:left="2633" w:hanging="360"/>
      </w:pPr>
      <w:rPr>
        <w:rFonts w:ascii="Symbol" w:hAnsi="Symbol" w:hint="default"/>
      </w:rPr>
    </w:lvl>
    <w:lvl w:ilvl="4" w:tplc="04070003" w:tentative="1">
      <w:start w:val="1"/>
      <w:numFmt w:val="bullet"/>
      <w:lvlText w:val="o"/>
      <w:lvlJc w:val="left"/>
      <w:pPr>
        <w:ind w:left="3353" w:hanging="360"/>
      </w:pPr>
      <w:rPr>
        <w:rFonts w:ascii="Courier New" w:hAnsi="Courier New" w:cs="Courier New" w:hint="default"/>
      </w:rPr>
    </w:lvl>
    <w:lvl w:ilvl="5" w:tplc="04070005" w:tentative="1">
      <w:start w:val="1"/>
      <w:numFmt w:val="bullet"/>
      <w:lvlText w:val=""/>
      <w:lvlJc w:val="left"/>
      <w:pPr>
        <w:ind w:left="4073" w:hanging="360"/>
      </w:pPr>
      <w:rPr>
        <w:rFonts w:ascii="Wingdings" w:hAnsi="Wingdings" w:hint="default"/>
      </w:rPr>
    </w:lvl>
    <w:lvl w:ilvl="6" w:tplc="04070001" w:tentative="1">
      <w:start w:val="1"/>
      <w:numFmt w:val="bullet"/>
      <w:lvlText w:val=""/>
      <w:lvlJc w:val="left"/>
      <w:pPr>
        <w:ind w:left="4793" w:hanging="360"/>
      </w:pPr>
      <w:rPr>
        <w:rFonts w:ascii="Symbol" w:hAnsi="Symbol" w:hint="default"/>
      </w:rPr>
    </w:lvl>
    <w:lvl w:ilvl="7" w:tplc="04070003" w:tentative="1">
      <w:start w:val="1"/>
      <w:numFmt w:val="bullet"/>
      <w:lvlText w:val="o"/>
      <w:lvlJc w:val="left"/>
      <w:pPr>
        <w:ind w:left="5513" w:hanging="360"/>
      </w:pPr>
      <w:rPr>
        <w:rFonts w:ascii="Courier New" w:hAnsi="Courier New" w:cs="Courier New" w:hint="default"/>
      </w:rPr>
    </w:lvl>
    <w:lvl w:ilvl="8" w:tplc="04070005" w:tentative="1">
      <w:start w:val="1"/>
      <w:numFmt w:val="bullet"/>
      <w:lvlText w:val=""/>
      <w:lvlJc w:val="left"/>
      <w:pPr>
        <w:ind w:left="6233" w:hanging="360"/>
      </w:pPr>
      <w:rPr>
        <w:rFonts w:ascii="Wingdings" w:hAnsi="Wingdings" w:hint="default"/>
      </w:rPr>
    </w:lvl>
  </w:abstractNum>
  <w:abstractNum w:abstractNumId="44" w15:restartNumberingAfterBreak="0">
    <w:nsid w:val="7BAC5880"/>
    <w:multiLevelType w:val="hybridMultilevel"/>
    <w:tmpl w:val="946A1898"/>
    <w:lvl w:ilvl="0" w:tplc="04070001">
      <w:start w:val="1"/>
      <w:numFmt w:val="bullet"/>
      <w:lvlText w:val=""/>
      <w:lvlJc w:val="left"/>
      <w:pPr>
        <w:ind w:left="833" w:hanging="360"/>
      </w:pPr>
      <w:rPr>
        <w:rFonts w:ascii="Symbol" w:hAnsi="Symbol" w:hint="default"/>
      </w:rPr>
    </w:lvl>
    <w:lvl w:ilvl="1" w:tplc="04070003" w:tentative="1">
      <w:start w:val="1"/>
      <w:numFmt w:val="bullet"/>
      <w:lvlText w:val="o"/>
      <w:lvlJc w:val="left"/>
      <w:pPr>
        <w:ind w:left="1553" w:hanging="360"/>
      </w:pPr>
      <w:rPr>
        <w:rFonts w:ascii="Courier New" w:hAnsi="Courier New" w:cs="Courier New" w:hint="default"/>
      </w:rPr>
    </w:lvl>
    <w:lvl w:ilvl="2" w:tplc="04070005" w:tentative="1">
      <w:start w:val="1"/>
      <w:numFmt w:val="bullet"/>
      <w:lvlText w:val=""/>
      <w:lvlJc w:val="left"/>
      <w:pPr>
        <w:ind w:left="2273" w:hanging="360"/>
      </w:pPr>
      <w:rPr>
        <w:rFonts w:ascii="Wingdings" w:hAnsi="Wingdings" w:hint="default"/>
      </w:rPr>
    </w:lvl>
    <w:lvl w:ilvl="3" w:tplc="04070001" w:tentative="1">
      <w:start w:val="1"/>
      <w:numFmt w:val="bullet"/>
      <w:lvlText w:val=""/>
      <w:lvlJc w:val="left"/>
      <w:pPr>
        <w:ind w:left="2993" w:hanging="360"/>
      </w:pPr>
      <w:rPr>
        <w:rFonts w:ascii="Symbol" w:hAnsi="Symbol" w:hint="default"/>
      </w:rPr>
    </w:lvl>
    <w:lvl w:ilvl="4" w:tplc="04070003" w:tentative="1">
      <w:start w:val="1"/>
      <w:numFmt w:val="bullet"/>
      <w:lvlText w:val="o"/>
      <w:lvlJc w:val="left"/>
      <w:pPr>
        <w:ind w:left="3713" w:hanging="360"/>
      </w:pPr>
      <w:rPr>
        <w:rFonts w:ascii="Courier New" w:hAnsi="Courier New" w:cs="Courier New" w:hint="default"/>
      </w:rPr>
    </w:lvl>
    <w:lvl w:ilvl="5" w:tplc="04070005" w:tentative="1">
      <w:start w:val="1"/>
      <w:numFmt w:val="bullet"/>
      <w:lvlText w:val=""/>
      <w:lvlJc w:val="left"/>
      <w:pPr>
        <w:ind w:left="4433" w:hanging="360"/>
      </w:pPr>
      <w:rPr>
        <w:rFonts w:ascii="Wingdings" w:hAnsi="Wingdings" w:hint="default"/>
      </w:rPr>
    </w:lvl>
    <w:lvl w:ilvl="6" w:tplc="04070001" w:tentative="1">
      <w:start w:val="1"/>
      <w:numFmt w:val="bullet"/>
      <w:lvlText w:val=""/>
      <w:lvlJc w:val="left"/>
      <w:pPr>
        <w:ind w:left="5153" w:hanging="360"/>
      </w:pPr>
      <w:rPr>
        <w:rFonts w:ascii="Symbol" w:hAnsi="Symbol" w:hint="default"/>
      </w:rPr>
    </w:lvl>
    <w:lvl w:ilvl="7" w:tplc="04070003" w:tentative="1">
      <w:start w:val="1"/>
      <w:numFmt w:val="bullet"/>
      <w:lvlText w:val="o"/>
      <w:lvlJc w:val="left"/>
      <w:pPr>
        <w:ind w:left="5873" w:hanging="360"/>
      </w:pPr>
      <w:rPr>
        <w:rFonts w:ascii="Courier New" w:hAnsi="Courier New" w:cs="Courier New" w:hint="default"/>
      </w:rPr>
    </w:lvl>
    <w:lvl w:ilvl="8" w:tplc="04070005" w:tentative="1">
      <w:start w:val="1"/>
      <w:numFmt w:val="bullet"/>
      <w:lvlText w:val=""/>
      <w:lvlJc w:val="left"/>
      <w:pPr>
        <w:ind w:left="6593" w:hanging="360"/>
      </w:pPr>
      <w:rPr>
        <w:rFonts w:ascii="Wingdings" w:hAnsi="Wingdings" w:hint="default"/>
      </w:rPr>
    </w:lvl>
  </w:abstractNum>
  <w:abstractNum w:abstractNumId="45" w15:restartNumberingAfterBreak="0">
    <w:nsid w:val="7DD35F48"/>
    <w:multiLevelType w:val="multilevel"/>
    <w:tmpl w:val="46A6A464"/>
    <w:styleLink w:val="NumbLstAppendix"/>
    <w:lvl w:ilvl="0">
      <w:start w:val="1"/>
      <w:numFmt w:val="decimal"/>
      <w:pStyle w:val="Appendix"/>
      <w:lvlText w:val="Appendix %1"/>
      <w:lvlJc w:val="left"/>
      <w:pPr>
        <w:tabs>
          <w:tab w:val="num" w:pos="1304"/>
        </w:tabs>
        <w:ind w:left="1304" w:hanging="1304"/>
      </w:pPr>
      <w:rPr>
        <w:rFonts w:hint="default"/>
        <w:caps w:val="0"/>
        <w:strike w:val="0"/>
        <w:dstrike w:val="0"/>
        <w:vanish w:val="0"/>
        <w:vertAlign w:val="baseline"/>
      </w:rPr>
    </w:lvl>
    <w:lvl w:ilvl="1">
      <w:start w:val="1"/>
      <w:numFmt w:val="none"/>
      <w:suff w:val="nothing"/>
      <w:lvlText w:val=""/>
      <w:lvlJc w:val="left"/>
      <w:pPr>
        <w:ind w:left="964" w:firstLine="0"/>
      </w:pPr>
      <w:rPr>
        <w:rFonts w:hint="default"/>
      </w:rPr>
    </w:lvl>
    <w:lvl w:ilvl="2">
      <w:start w:val="1"/>
      <w:numFmt w:val="none"/>
      <w:suff w:val="nothing"/>
      <w:lvlText w:val=""/>
      <w:lvlJc w:val="left"/>
      <w:pPr>
        <w:ind w:left="964" w:firstLine="0"/>
      </w:pPr>
      <w:rPr>
        <w:rFonts w:hint="default"/>
      </w:rPr>
    </w:lvl>
    <w:lvl w:ilvl="3">
      <w:start w:val="1"/>
      <w:numFmt w:val="none"/>
      <w:suff w:val="nothing"/>
      <w:lvlText w:val=""/>
      <w:lvlJc w:val="left"/>
      <w:pPr>
        <w:ind w:left="964" w:firstLine="0"/>
      </w:pPr>
      <w:rPr>
        <w:rFonts w:hint="default"/>
      </w:rPr>
    </w:lvl>
    <w:lvl w:ilvl="4">
      <w:start w:val="1"/>
      <w:numFmt w:val="none"/>
      <w:suff w:val="nothing"/>
      <w:lvlText w:val=""/>
      <w:lvlJc w:val="left"/>
      <w:pPr>
        <w:ind w:left="964" w:firstLine="0"/>
      </w:pPr>
      <w:rPr>
        <w:rFonts w:hint="default"/>
      </w:rPr>
    </w:lvl>
    <w:lvl w:ilvl="5">
      <w:start w:val="1"/>
      <w:numFmt w:val="none"/>
      <w:suff w:val="nothing"/>
      <w:lvlText w:val=""/>
      <w:lvlJc w:val="left"/>
      <w:pPr>
        <w:ind w:left="964" w:firstLine="0"/>
      </w:pPr>
      <w:rPr>
        <w:rFonts w:hint="default"/>
      </w:rPr>
    </w:lvl>
    <w:lvl w:ilvl="6">
      <w:start w:val="1"/>
      <w:numFmt w:val="none"/>
      <w:suff w:val="nothing"/>
      <w:lvlText w:val=""/>
      <w:lvlJc w:val="left"/>
      <w:pPr>
        <w:ind w:left="964" w:firstLine="0"/>
      </w:pPr>
      <w:rPr>
        <w:rFonts w:hint="default"/>
      </w:rPr>
    </w:lvl>
    <w:lvl w:ilvl="7">
      <w:start w:val="1"/>
      <w:numFmt w:val="none"/>
      <w:suff w:val="nothing"/>
      <w:lvlText w:val=""/>
      <w:lvlJc w:val="left"/>
      <w:pPr>
        <w:ind w:left="964" w:firstLine="0"/>
      </w:pPr>
      <w:rPr>
        <w:rFonts w:hint="default"/>
      </w:rPr>
    </w:lvl>
    <w:lvl w:ilvl="8">
      <w:start w:val="1"/>
      <w:numFmt w:val="none"/>
      <w:suff w:val="nothing"/>
      <w:lvlText w:val=""/>
      <w:lvlJc w:val="left"/>
      <w:pPr>
        <w:ind w:left="964" w:firstLine="0"/>
      </w:pPr>
      <w:rPr>
        <w:rFonts w:hint="default"/>
      </w:rPr>
    </w:lvl>
  </w:abstractNum>
  <w:num w:numId="1">
    <w:abstractNumId w:val="26"/>
  </w:num>
  <w:num w:numId="2">
    <w:abstractNumId w:val="3"/>
  </w:num>
  <w:num w:numId="3">
    <w:abstractNumId w:val="30"/>
  </w:num>
  <w:num w:numId="4">
    <w:abstractNumId w:val="1"/>
  </w:num>
  <w:num w:numId="5">
    <w:abstractNumId w:val="28"/>
  </w:num>
  <w:num w:numId="6">
    <w:abstractNumId w:val="19"/>
  </w:num>
  <w:num w:numId="7">
    <w:abstractNumId w:val="36"/>
  </w:num>
  <w:num w:numId="8">
    <w:abstractNumId w:val="18"/>
  </w:num>
  <w:num w:numId="9">
    <w:abstractNumId w:val="22"/>
  </w:num>
  <w:num w:numId="10">
    <w:abstractNumId w:val="9"/>
  </w:num>
  <w:num w:numId="11">
    <w:abstractNumId w:val="34"/>
  </w:num>
  <w:num w:numId="12">
    <w:abstractNumId w:val="7"/>
  </w:num>
  <w:num w:numId="13">
    <w:abstractNumId w:val="14"/>
  </w:num>
  <w:num w:numId="14">
    <w:abstractNumId w:val="13"/>
  </w:num>
  <w:num w:numId="15">
    <w:abstractNumId w:val="29"/>
  </w:num>
  <w:num w:numId="16">
    <w:abstractNumId w:val="21"/>
  </w:num>
  <w:num w:numId="17">
    <w:abstractNumId w:val="24"/>
  </w:num>
  <w:num w:numId="18">
    <w:abstractNumId w:val="43"/>
  </w:num>
  <w:num w:numId="19">
    <w:abstractNumId w:val="8"/>
  </w:num>
  <w:num w:numId="20">
    <w:abstractNumId w:val="40"/>
  </w:num>
  <w:num w:numId="21">
    <w:abstractNumId w:val="33"/>
  </w:num>
  <w:num w:numId="22">
    <w:abstractNumId w:val="27"/>
  </w:num>
  <w:num w:numId="23">
    <w:abstractNumId w:val="45"/>
  </w:num>
  <w:num w:numId="24">
    <w:abstractNumId w:val="42"/>
  </w:num>
  <w:num w:numId="25">
    <w:abstractNumId w:val="2"/>
  </w:num>
  <w:num w:numId="26">
    <w:abstractNumId w:val="31"/>
  </w:num>
  <w:num w:numId="27">
    <w:abstractNumId w:val="5"/>
  </w:num>
  <w:num w:numId="28">
    <w:abstractNumId w:val="15"/>
  </w:num>
  <w:num w:numId="29">
    <w:abstractNumId w:val="25"/>
  </w:num>
  <w:num w:numId="30">
    <w:abstractNumId w:val="6"/>
  </w:num>
  <w:num w:numId="31">
    <w:abstractNumId w:val="23"/>
  </w:num>
  <w:num w:numId="32">
    <w:abstractNumId w:val="10"/>
  </w:num>
  <w:num w:numId="33">
    <w:abstractNumId w:val="20"/>
  </w:num>
  <w:num w:numId="34">
    <w:abstractNumId w:val="12"/>
  </w:num>
  <w:num w:numId="35">
    <w:abstractNumId w:val="17"/>
  </w:num>
  <w:num w:numId="36">
    <w:abstractNumId w:val="39"/>
  </w:num>
  <w:num w:numId="37">
    <w:abstractNumId w:val="0"/>
  </w:num>
  <w:num w:numId="38">
    <w:abstractNumId w:val="35"/>
  </w:num>
  <w:num w:numId="39">
    <w:abstractNumId w:val="38"/>
  </w:num>
  <w:num w:numId="40">
    <w:abstractNumId w:val="41"/>
  </w:num>
  <w:num w:numId="41">
    <w:abstractNumId w:val="11"/>
  </w:num>
  <w:num w:numId="42">
    <w:abstractNumId w:val="4"/>
  </w:num>
  <w:num w:numId="43">
    <w:abstractNumId w:val="16"/>
  </w:num>
  <w:num w:numId="44">
    <w:abstractNumId w:val="44"/>
  </w:num>
  <w:num w:numId="45">
    <w:abstractNumId w:val="32"/>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trackRevisions/>
  <w:defaultTabStop w:val="720"/>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24D"/>
    <w:rsid w:val="000000E7"/>
    <w:rsid w:val="000001D2"/>
    <w:rsid w:val="0000188C"/>
    <w:rsid w:val="00001C32"/>
    <w:rsid w:val="00002322"/>
    <w:rsid w:val="0000340B"/>
    <w:rsid w:val="00005757"/>
    <w:rsid w:val="00006E7B"/>
    <w:rsid w:val="00012142"/>
    <w:rsid w:val="00012711"/>
    <w:rsid w:val="00012EA9"/>
    <w:rsid w:val="00012EC0"/>
    <w:rsid w:val="00013068"/>
    <w:rsid w:val="0001340B"/>
    <w:rsid w:val="00013BBC"/>
    <w:rsid w:val="0001407F"/>
    <w:rsid w:val="00015677"/>
    <w:rsid w:val="00016EB7"/>
    <w:rsid w:val="00017B54"/>
    <w:rsid w:val="00020356"/>
    <w:rsid w:val="00023359"/>
    <w:rsid w:val="0002389E"/>
    <w:rsid w:val="00024A32"/>
    <w:rsid w:val="00025BE3"/>
    <w:rsid w:val="00027500"/>
    <w:rsid w:val="00030012"/>
    <w:rsid w:val="00030B39"/>
    <w:rsid w:val="00035EF7"/>
    <w:rsid w:val="00035F75"/>
    <w:rsid w:val="000360FD"/>
    <w:rsid w:val="000361FB"/>
    <w:rsid w:val="00036B71"/>
    <w:rsid w:val="00037885"/>
    <w:rsid w:val="000405A5"/>
    <w:rsid w:val="0004098E"/>
    <w:rsid w:val="000418A7"/>
    <w:rsid w:val="00044CBF"/>
    <w:rsid w:val="00045A80"/>
    <w:rsid w:val="00045FE2"/>
    <w:rsid w:val="000469BF"/>
    <w:rsid w:val="00046EEB"/>
    <w:rsid w:val="000522F6"/>
    <w:rsid w:val="00052A87"/>
    <w:rsid w:val="00052E35"/>
    <w:rsid w:val="00053897"/>
    <w:rsid w:val="00054379"/>
    <w:rsid w:val="00054EAF"/>
    <w:rsid w:val="000562BE"/>
    <w:rsid w:val="000600C4"/>
    <w:rsid w:val="00060EB7"/>
    <w:rsid w:val="00063E5F"/>
    <w:rsid w:val="00064AB9"/>
    <w:rsid w:val="00065B84"/>
    <w:rsid w:val="00066EB5"/>
    <w:rsid w:val="000705B1"/>
    <w:rsid w:val="0007136C"/>
    <w:rsid w:val="00072191"/>
    <w:rsid w:val="00072378"/>
    <w:rsid w:val="00072E23"/>
    <w:rsid w:val="000740E9"/>
    <w:rsid w:val="00074822"/>
    <w:rsid w:val="00074B45"/>
    <w:rsid w:val="00075796"/>
    <w:rsid w:val="000759EC"/>
    <w:rsid w:val="00076EB8"/>
    <w:rsid w:val="00077020"/>
    <w:rsid w:val="0007738F"/>
    <w:rsid w:val="00077BAA"/>
    <w:rsid w:val="00080BF5"/>
    <w:rsid w:val="00082B51"/>
    <w:rsid w:val="00083EBD"/>
    <w:rsid w:val="000840B3"/>
    <w:rsid w:val="00085039"/>
    <w:rsid w:val="00085767"/>
    <w:rsid w:val="0008609A"/>
    <w:rsid w:val="00087C8F"/>
    <w:rsid w:val="00087F6F"/>
    <w:rsid w:val="0009032B"/>
    <w:rsid w:val="00090E52"/>
    <w:rsid w:val="00094137"/>
    <w:rsid w:val="00094508"/>
    <w:rsid w:val="00095BCE"/>
    <w:rsid w:val="00097E2E"/>
    <w:rsid w:val="000A06F6"/>
    <w:rsid w:val="000A2D75"/>
    <w:rsid w:val="000A3545"/>
    <w:rsid w:val="000A3D01"/>
    <w:rsid w:val="000A63E9"/>
    <w:rsid w:val="000B0519"/>
    <w:rsid w:val="000B0EF0"/>
    <w:rsid w:val="000B4833"/>
    <w:rsid w:val="000B5D10"/>
    <w:rsid w:val="000B69CB"/>
    <w:rsid w:val="000B6DA9"/>
    <w:rsid w:val="000B7483"/>
    <w:rsid w:val="000C1154"/>
    <w:rsid w:val="000C3961"/>
    <w:rsid w:val="000C4638"/>
    <w:rsid w:val="000C4E6D"/>
    <w:rsid w:val="000C5E9F"/>
    <w:rsid w:val="000D0D49"/>
    <w:rsid w:val="000D3511"/>
    <w:rsid w:val="000D4940"/>
    <w:rsid w:val="000D5009"/>
    <w:rsid w:val="000D50CB"/>
    <w:rsid w:val="000D66CE"/>
    <w:rsid w:val="000D6AD5"/>
    <w:rsid w:val="000D7B7C"/>
    <w:rsid w:val="000E4983"/>
    <w:rsid w:val="000E5DEA"/>
    <w:rsid w:val="000F458B"/>
    <w:rsid w:val="000F556E"/>
    <w:rsid w:val="000F573E"/>
    <w:rsid w:val="000F608E"/>
    <w:rsid w:val="000F7BAC"/>
    <w:rsid w:val="0010202B"/>
    <w:rsid w:val="00104804"/>
    <w:rsid w:val="001074FA"/>
    <w:rsid w:val="00107EC1"/>
    <w:rsid w:val="0011049C"/>
    <w:rsid w:val="001107AD"/>
    <w:rsid w:val="00112BAD"/>
    <w:rsid w:val="001131D2"/>
    <w:rsid w:val="00113A88"/>
    <w:rsid w:val="00113D6A"/>
    <w:rsid w:val="00113F03"/>
    <w:rsid w:val="001143BE"/>
    <w:rsid w:val="001159F6"/>
    <w:rsid w:val="00115B6F"/>
    <w:rsid w:val="00115BAE"/>
    <w:rsid w:val="00117624"/>
    <w:rsid w:val="00122115"/>
    <w:rsid w:val="00122CE5"/>
    <w:rsid w:val="00124E3A"/>
    <w:rsid w:val="0012567C"/>
    <w:rsid w:val="001279CE"/>
    <w:rsid w:val="0013067E"/>
    <w:rsid w:val="001315A7"/>
    <w:rsid w:val="00132046"/>
    <w:rsid w:val="001353EE"/>
    <w:rsid w:val="00136576"/>
    <w:rsid w:val="00136DB9"/>
    <w:rsid w:val="00137835"/>
    <w:rsid w:val="00140C46"/>
    <w:rsid w:val="00143076"/>
    <w:rsid w:val="0014369E"/>
    <w:rsid w:val="001509EA"/>
    <w:rsid w:val="00152432"/>
    <w:rsid w:val="00152902"/>
    <w:rsid w:val="00154207"/>
    <w:rsid w:val="0015460F"/>
    <w:rsid w:val="00156B19"/>
    <w:rsid w:val="00157540"/>
    <w:rsid w:val="001579DC"/>
    <w:rsid w:val="00157BA1"/>
    <w:rsid w:val="0016078B"/>
    <w:rsid w:val="001611E5"/>
    <w:rsid w:val="00161292"/>
    <w:rsid w:val="00162FB4"/>
    <w:rsid w:val="001632D6"/>
    <w:rsid w:val="001657F2"/>
    <w:rsid w:val="00165BFD"/>
    <w:rsid w:val="00165CD0"/>
    <w:rsid w:val="0016736F"/>
    <w:rsid w:val="001677E0"/>
    <w:rsid w:val="00170AD7"/>
    <w:rsid w:val="00170EB6"/>
    <w:rsid w:val="0017189C"/>
    <w:rsid w:val="001721D0"/>
    <w:rsid w:val="001725E2"/>
    <w:rsid w:val="0017313D"/>
    <w:rsid w:val="00173D0B"/>
    <w:rsid w:val="001759F9"/>
    <w:rsid w:val="00177728"/>
    <w:rsid w:val="001810FA"/>
    <w:rsid w:val="00181726"/>
    <w:rsid w:val="00181A03"/>
    <w:rsid w:val="0018284C"/>
    <w:rsid w:val="0018301C"/>
    <w:rsid w:val="00183286"/>
    <w:rsid w:val="001832FB"/>
    <w:rsid w:val="0018379E"/>
    <w:rsid w:val="00183F94"/>
    <w:rsid w:val="00184730"/>
    <w:rsid w:val="00185AAD"/>
    <w:rsid w:val="00185C34"/>
    <w:rsid w:val="00186881"/>
    <w:rsid w:val="0018701A"/>
    <w:rsid w:val="00187429"/>
    <w:rsid w:val="0019153E"/>
    <w:rsid w:val="0019332E"/>
    <w:rsid w:val="00194131"/>
    <w:rsid w:val="00194F95"/>
    <w:rsid w:val="001962AC"/>
    <w:rsid w:val="00196832"/>
    <w:rsid w:val="00197C69"/>
    <w:rsid w:val="001A0309"/>
    <w:rsid w:val="001A05AC"/>
    <w:rsid w:val="001A0860"/>
    <w:rsid w:val="001A1C64"/>
    <w:rsid w:val="001A30B1"/>
    <w:rsid w:val="001A42EA"/>
    <w:rsid w:val="001A6C25"/>
    <w:rsid w:val="001A7727"/>
    <w:rsid w:val="001B0077"/>
    <w:rsid w:val="001B095D"/>
    <w:rsid w:val="001B1485"/>
    <w:rsid w:val="001B15BD"/>
    <w:rsid w:val="001B2B1C"/>
    <w:rsid w:val="001B3E2B"/>
    <w:rsid w:val="001B4101"/>
    <w:rsid w:val="001B45CA"/>
    <w:rsid w:val="001B48B4"/>
    <w:rsid w:val="001B5084"/>
    <w:rsid w:val="001B5465"/>
    <w:rsid w:val="001B6006"/>
    <w:rsid w:val="001B7023"/>
    <w:rsid w:val="001B7144"/>
    <w:rsid w:val="001B7CE6"/>
    <w:rsid w:val="001B7DA5"/>
    <w:rsid w:val="001C01EF"/>
    <w:rsid w:val="001C0EBD"/>
    <w:rsid w:val="001C1394"/>
    <w:rsid w:val="001C1888"/>
    <w:rsid w:val="001C22B9"/>
    <w:rsid w:val="001C36F4"/>
    <w:rsid w:val="001C45CB"/>
    <w:rsid w:val="001C4FD1"/>
    <w:rsid w:val="001C595B"/>
    <w:rsid w:val="001C79AC"/>
    <w:rsid w:val="001C7C9E"/>
    <w:rsid w:val="001D0C35"/>
    <w:rsid w:val="001D0EC1"/>
    <w:rsid w:val="001D110C"/>
    <w:rsid w:val="001D1264"/>
    <w:rsid w:val="001D1297"/>
    <w:rsid w:val="001D2697"/>
    <w:rsid w:val="001D3AE5"/>
    <w:rsid w:val="001D413C"/>
    <w:rsid w:val="001D53EF"/>
    <w:rsid w:val="001D586A"/>
    <w:rsid w:val="001E0EF1"/>
    <w:rsid w:val="001E37A5"/>
    <w:rsid w:val="001E3C1B"/>
    <w:rsid w:val="001E5282"/>
    <w:rsid w:val="001E5C40"/>
    <w:rsid w:val="001E5E58"/>
    <w:rsid w:val="001E6A11"/>
    <w:rsid w:val="001F1383"/>
    <w:rsid w:val="001F14B4"/>
    <w:rsid w:val="001F1DA1"/>
    <w:rsid w:val="001F3EE1"/>
    <w:rsid w:val="001F4227"/>
    <w:rsid w:val="001F43D9"/>
    <w:rsid w:val="001F4AE1"/>
    <w:rsid w:val="001F59AB"/>
    <w:rsid w:val="001F5C0E"/>
    <w:rsid w:val="001F6EF6"/>
    <w:rsid w:val="001F6FE2"/>
    <w:rsid w:val="001F790D"/>
    <w:rsid w:val="00200418"/>
    <w:rsid w:val="00200CFD"/>
    <w:rsid w:val="002010D6"/>
    <w:rsid w:val="00201F36"/>
    <w:rsid w:val="00202A44"/>
    <w:rsid w:val="00203121"/>
    <w:rsid w:val="002041A9"/>
    <w:rsid w:val="002053B5"/>
    <w:rsid w:val="00205660"/>
    <w:rsid w:val="0020771B"/>
    <w:rsid w:val="00210408"/>
    <w:rsid w:val="00212330"/>
    <w:rsid w:val="00213D08"/>
    <w:rsid w:val="00216954"/>
    <w:rsid w:val="00216E93"/>
    <w:rsid w:val="00217298"/>
    <w:rsid w:val="00217614"/>
    <w:rsid w:val="002179B7"/>
    <w:rsid w:val="0022177D"/>
    <w:rsid w:val="00221A15"/>
    <w:rsid w:val="00222369"/>
    <w:rsid w:val="002226A1"/>
    <w:rsid w:val="00223792"/>
    <w:rsid w:val="00224872"/>
    <w:rsid w:val="00224D7D"/>
    <w:rsid w:val="00224EAE"/>
    <w:rsid w:val="00225032"/>
    <w:rsid w:val="00225AEB"/>
    <w:rsid w:val="00225BAB"/>
    <w:rsid w:val="00226804"/>
    <w:rsid w:val="002317E5"/>
    <w:rsid w:val="00232306"/>
    <w:rsid w:val="00232641"/>
    <w:rsid w:val="00232FC8"/>
    <w:rsid w:val="0023373C"/>
    <w:rsid w:val="00234985"/>
    <w:rsid w:val="002351F1"/>
    <w:rsid w:val="002355C3"/>
    <w:rsid w:val="00236156"/>
    <w:rsid w:val="002417C7"/>
    <w:rsid w:val="00242478"/>
    <w:rsid w:val="002429F1"/>
    <w:rsid w:val="00242DDE"/>
    <w:rsid w:val="00242E11"/>
    <w:rsid w:val="0024333B"/>
    <w:rsid w:val="0024397C"/>
    <w:rsid w:val="00244797"/>
    <w:rsid w:val="002453A9"/>
    <w:rsid w:val="002465A6"/>
    <w:rsid w:val="00246D31"/>
    <w:rsid w:val="00247855"/>
    <w:rsid w:val="002525B7"/>
    <w:rsid w:val="002527D0"/>
    <w:rsid w:val="00255490"/>
    <w:rsid w:val="00255933"/>
    <w:rsid w:val="002603C4"/>
    <w:rsid w:val="00261049"/>
    <w:rsid w:val="002612BB"/>
    <w:rsid w:val="002625B5"/>
    <w:rsid w:val="002634A1"/>
    <w:rsid w:val="00264153"/>
    <w:rsid w:val="0026425B"/>
    <w:rsid w:val="00264A7A"/>
    <w:rsid w:val="00265085"/>
    <w:rsid w:val="002655C4"/>
    <w:rsid w:val="00267F6B"/>
    <w:rsid w:val="00270F10"/>
    <w:rsid w:val="00272754"/>
    <w:rsid w:val="0027330C"/>
    <w:rsid w:val="00274460"/>
    <w:rsid w:val="00274893"/>
    <w:rsid w:val="00276DB9"/>
    <w:rsid w:val="00277508"/>
    <w:rsid w:val="00277BE9"/>
    <w:rsid w:val="002803B7"/>
    <w:rsid w:val="002811CB"/>
    <w:rsid w:val="00281906"/>
    <w:rsid w:val="002819FA"/>
    <w:rsid w:val="00282F4E"/>
    <w:rsid w:val="002839D5"/>
    <w:rsid w:val="00283C31"/>
    <w:rsid w:val="00284E72"/>
    <w:rsid w:val="00285621"/>
    <w:rsid w:val="00285EE4"/>
    <w:rsid w:val="00285F71"/>
    <w:rsid w:val="0029081F"/>
    <w:rsid w:val="00291FFD"/>
    <w:rsid w:val="002924BC"/>
    <w:rsid w:val="00292C19"/>
    <w:rsid w:val="00292D57"/>
    <w:rsid w:val="00293EBE"/>
    <w:rsid w:val="00294A9F"/>
    <w:rsid w:val="00295F5B"/>
    <w:rsid w:val="0029615E"/>
    <w:rsid w:val="002974AE"/>
    <w:rsid w:val="002A041A"/>
    <w:rsid w:val="002A3262"/>
    <w:rsid w:val="002A4A94"/>
    <w:rsid w:val="002B0A76"/>
    <w:rsid w:val="002B0E97"/>
    <w:rsid w:val="002B276C"/>
    <w:rsid w:val="002B4636"/>
    <w:rsid w:val="002B62AA"/>
    <w:rsid w:val="002B66B7"/>
    <w:rsid w:val="002B66E8"/>
    <w:rsid w:val="002B7367"/>
    <w:rsid w:val="002B7A5E"/>
    <w:rsid w:val="002C3144"/>
    <w:rsid w:val="002C37E4"/>
    <w:rsid w:val="002C3ED2"/>
    <w:rsid w:val="002C46B3"/>
    <w:rsid w:val="002C546A"/>
    <w:rsid w:val="002C5FD0"/>
    <w:rsid w:val="002C6417"/>
    <w:rsid w:val="002C64E5"/>
    <w:rsid w:val="002D0BDC"/>
    <w:rsid w:val="002D0FE8"/>
    <w:rsid w:val="002D37D9"/>
    <w:rsid w:val="002D415C"/>
    <w:rsid w:val="002D4322"/>
    <w:rsid w:val="002D564E"/>
    <w:rsid w:val="002D56EC"/>
    <w:rsid w:val="002D6C64"/>
    <w:rsid w:val="002E05C0"/>
    <w:rsid w:val="002E0B1B"/>
    <w:rsid w:val="002E2DFE"/>
    <w:rsid w:val="002E37FC"/>
    <w:rsid w:val="002E463A"/>
    <w:rsid w:val="002E500A"/>
    <w:rsid w:val="002E5F0E"/>
    <w:rsid w:val="002E6B07"/>
    <w:rsid w:val="002E7F03"/>
    <w:rsid w:val="002F0D5E"/>
    <w:rsid w:val="002F3170"/>
    <w:rsid w:val="002F494A"/>
    <w:rsid w:val="002F4DD5"/>
    <w:rsid w:val="002F51BC"/>
    <w:rsid w:val="002F56F8"/>
    <w:rsid w:val="002F5EE6"/>
    <w:rsid w:val="002F664A"/>
    <w:rsid w:val="002F6B1C"/>
    <w:rsid w:val="00300408"/>
    <w:rsid w:val="0030283B"/>
    <w:rsid w:val="00302D39"/>
    <w:rsid w:val="00303B59"/>
    <w:rsid w:val="003111CF"/>
    <w:rsid w:val="00313C25"/>
    <w:rsid w:val="00314E52"/>
    <w:rsid w:val="0031585D"/>
    <w:rsid w:val="0032053D"/>
    <w:rsid w:val="0032124A"/>
    <w:rsid w:val="00321D5B"/>
    <w:rsid w:val="00322078"/>
    <w:rsid w:val="00322178"/>
    <w:rsid w:val="00322B77"/>
    <w:rsid w:val="0032303E"/>
    <w:rsid w:val="00326230"/>
    <w:rsid w:val="00327D94"/>
    <w:rsid w:val="003303D5"/>
    <w:rsid w:val="003303FA"/>
    <w:rsid w:val="00332453"/>
    <w:rsid w:val="003331E2"/>
    <w:rsid w:val="00333534"/>
    <w:rsid w:val="003335E6"/>
    <w:rsid w:val="003359DA"/>
    <w:rsid w:val="003373C8"/>
    <w:rsid w:val="0034198A"/>
    <w:rsid w:val="00342E06"/>
    <w:rsid w:val="00342E69"/>
    <w:rsid w:val="00343A0A"/>
    <w:rsid w:val="003446F3"/>
    <w:rsid w:val="0034603D"/>
    <w:rsid w:val="00346C79"/>
    <w:rsid w:val="003509D4"/>
    <w:rsid w:val="00350F9D"/>
    <w:rsid w:val="003536F6"/>
    <w:rsid w:val="0035603D"/>
    <w:rsid w:val="0036254C"/>
    <w:rsid w:val="003625BF"/>
    <w:rsid w:val="003635B9"/>
    <w:rsid w:val="00363EE2"/>
    <w:rsid w:val="00364655"/>
    <w:rsid w:val="00366B2C"/>
    <w:rsid w:val="00367E46"/>
    <w:rsid w:val="00371EE3"/>
    <w:rsid w:val="00372E0F"/>
    <w:rsid w:val="00373010"/>
    <w:rsid w:val="00377FAB"/>
    <w:rsid w:val="00380112"/>
    <w:rsid w:val="00383B79"/>
    <w:rsid w:val="0038427C"/>
    <w:rsid w:val="0038456B"/>
    <w:rsid w:val="00390637"/>
    <w:rsid w:val="0039067E"/>
    <w:rsid w:val="00392885"/>
    <w:rsid w:val="0039339F"/>
    <w:rsid w:val="00393E65"/>
    <w:rsid w:val="00394521"/>
    <w:rsid w:val="00394595"/>
    <w:rsid w:val="003946B3"/>
    <w:rsid w:val="003948B7"/>
    <w:rsid w:val="00394B90"/>
    <w:rsid w:val="0039620E"/>
    <w:rsid w:val="00396A93"/>
    <w:rsid w:val="00396A95"/>
    <w:rsid w:val="003A0364"/>
    <w:rsid w:val="003A0E3E"/>
    <w:rsid w:val="003A10D0"/>
    <w:rsid w:val="003A467D"/>
    <w:rsid w:val="003A55CC"/>
    <w:rsid w:val="003A5746"/>
    <w:rsid w:val="003A5901"/>
    <w:rsid w:val="003A6964"/>
    <w:rsid w:val="003B060B"/>
    <w:rsid w:val="003B0BA0"/>
    <w:rsid w:val="003B2688"/>
    <w:rsid w:val="003B2950"/>
    <w:rsid w:val="003B2A0F"/>
    <w:rsid w:val="003B2DCC"/>
    <w:rsid w:val="003B3A0F"/>
    <w:rsid w:val="003B3A4A"/>
    <w:rsid w:val="003B3F8A"/>
    <w:rsid w:val="003B491C"/>
    <w:rsid w:val="003B4D77"/>
    <w:rsid w:val="003B551F"/>
    <w:rsid w:val="003B68C0"/>
    <w:rsid w:val="003B71C2"/>
    <w:rsid w:val="003B71EC"/>
    <w:rsid w:val="003C0926"/>
    <w:rsid w:val="003C1766"/>
    <w:rsid w:val="003C2192"/>
    <w:rsid w:val="003C2CA0"/>
    <w:rsid w:val="003C4DEA"/>
    <w:rsid w:val="003C5A83"/>
    <w:rsid w:val="003C6C28"/>
    <w:rsid w:val="003C7960"/>
    <w:rsid w:val="003D103C"/>
    <w:rsid w:val="003D26F9"/>
    <w:rsid w:val="003D3DF6"/>
    <w:rsid w:val="003D563A"/>
    <w:rsid w:val="003D5F99"/>
    <w:rsid w:val="003E333B"/>
    <w:rsid w:val="003E4545"/>
    <w:rsid w:val="003E4C55"/>
    <w:rsid w:val="003E629B"/>
    <w:rsid w:val="003F140F"/>
    <w:rsid w:val="003F174A"/>
    <w:rsid w:val="003F20B4"/>
    <w:rsid w:val="003F25AD"/>
    <w:rsid w:val="003F2FA8"/>
    <w:rsid w:val="003F33AF"/>
    <w:rsid w:val="003F675A"/>
    <w:rsid w:val="003F6C3E"/>
    <w:rsid w:val="003F6D34"/>
    <w:rsid w:val="003F6E52"/>
    <w:rsid w:val="00400066"/>
    <w:rsid w:val="00400745"/>
    <w:rsid w:val="00400ACD"/>
    <w:rsid w:val="0040192A"/>
    <w:rsid w:val="00401E1B"/>
    <w:rsid w:val="00402D4B"/>
    <w:rsid w:val="00403003"/>
    <w:rsid w:val="004046EC"/>
    <w:rsid w:val="00405090"/>
    <w:rsid w:val="00405775"/>
    <w:rsid w:val="0040594E"/>
    <w:rsid w:val="00406262"/>
    <w:rsid w:val="004063E0"/>
    <w:rsid w:val="0040715C"/>
    <w:rsid w:val="00410090"/>
    <w:rsid w:val="00410BA1"/>
    <w:rsid w:val="00410E2C"/>
    <w:rsid w:val="00410F23"/>
    <w:rsid w:val="0041190B"/>
    <w:rsid w:val="0041285E"/>
    <w:rsid w:val="00413991"/>
    <w:rsid w:val="00413BEE"/>
    <w:rsid w:val="00413DDE"/>
    <w:rsid w:val="00414E31"/>
    <w:rsid w:val="00414F0C"/>
    <w:rsid w:val="00420B09"/>
    <w:rsid w:val="00422AEB"/>
    <w:rsid w:val="004243DF"/>
    <w:rsid w:val="0042613D"/>
    <w:rsid w:val="00426243"/>
    <w:rsid w:val="0042651B"/>
    <w:rsid w:val="0042683D"/>
    <w:rsid w:val="00426B40"/>
    <w:rsid w:val="00426EB5"/>
    <w:rsid w:val="00431622"/>
    <w:rsid w:val="00431EF2"/>
    <w:rsid w:val="0043303C"/>
    <w:rsid w:val="00436326"/>
    <w:rsid w:val="0043707B"/>
    <w:rsid w:val="00444DBE"/>
    <w:rsid w:val="0044517B"/>
    <w:rsid w:val="00445C2B"/>
    <w:rsid w:val="00445E9C"/>
    <w:rsid w:val="004460C3"/>
    <w:rsid w:val="00446887"/>
    <w:rsid w:val="00447173"/>
    <w:rsid w:val="00447EE1"/>
    <w:rsid w:val="00453822"/>
    <w:rsid w:val="00453D3C"/>
    <w:rsid w:val="0045452A"/>
    <w:rsid w:val="00454838"/>
    <w:rsid w:val="00455697"/>
    <w:rsid w:val="004565E4"/>
    <w:rsid w:val="00457940"/>
    <w:rsid w:val="00457B60"/>
    <w:rsid w:val="00460095"/>
    <w:rsid w:val="0046064B"/>
    <w:rsid w:val="004613E7"/>
    <w:rsid w:val="00461AD7"/>
    <w:rsid w:val="00461D95"/>
    <w:rsid w:val="00464479"/>
    <w:rsid w:val="00464A92"/>
    <w:rsid w:val="0046511F"/>
    <w:rsid w:val="004677C3"/>
    <w:rsid w:val="00467A63"/>
    <w:rsid w:val="00467B94"/>
    <w:rsid w:val="00471463"/>
    <w:rsid w:val="004714D3"/>
    <w:rsid w:val="004725EB"/>
    <w:rsid w:val="0047347F"/>
    <w:rsid w:val="00474093"/>
    <w:rsid w:val="00474A29"/>
    <w:rsid w:val="00476040"/>
    <w:rsid w:val="00477B25"/>
    <w:rsid w:val="00480C5F"/>
    <w:rsid w:val="00481AEE"/>
    <w:rsid w:val="00481C9F"/>
    <w:rsid w:val="00481D19"/>
    <w:rsid w:val="004821F6"/>
    <w:rsid w:val="00482E16"/>
    <w:rsid w:val="0048340E"/>
    <w:rsid w:val="00485635"/>
    <w:rsid w:val="00487010"/>
    <w:rsid w:val="00487832"/>
    <w:rsid w:val="00491126"/>
    <w:rsid w:val="00491B7B"/>
    <w:rsid w:val="004930AE"/>
    <w:rsid w:val="00493353"/>
    <w:rsid w:val="00494525"/>
    <w:rsid w:val="004954EF"/>
    <w:rsid w:val="00495510"/>
    <w:rsid w:val="004959B3"/>
    <w:rsid w:val="00495C20"/>
    <w:rsid w:val="00495D74"/>
    <w:rsid w:val="00495EA4"/>
    <w:rsid w:val="004966A3"/>
    <w:rsid w:val="00497940"/>
    <w:rsid w:val="004A0368"/>
    <w:rsid w:val="004A11A9"/>
    <w:rsid w:val="004A1F71"/>
    <w:rsid w:val="004A48DA"/>
    <w:rsid w:val="004A72E6"/>
    <w:rsid w:val="004A793A"/>
    <w:rsid w:val="004B0F05"/>
    <w:rsid w:val="004B14C4"/>
    <w:rsid w:val="004B20F0"/>
    <w:rsid w:val="004B2436"/>
    <w:rsid w:val="004B26C1"/>
    <w:rsid w:val="004B2762"/>
    <w:rsid w:val="004B420B"/>
    <w:rsid w:val="004B52BF"/>
    <w:rsid w:val="004B73A9"/>
    <w:rsid w:val="004B7B5F"/>
    <w:rsid w:val="004C0F41"/>
    <w:rsid w:val="004C1929"/>
    <w:rsid w:val="004C4350"/>
    <w:rsid w:val="004C5C10"/>
    <w:rsid w:val="004D01A0"/>
    <w:rsid w:val="004D0A52"/>
    <w:rsid w:val="004D238F"/>
    <w:rsid w:val="004D279D"/>
    <w:rsid w:val="004D40E5"/>
    <w:rsid w:val="004D6BBA"/>
    <w:rsid w:val="004E0E59"/>
    <w:rsid w:val="004E15CD"/>
    <w:rsid w:val="004E2569"/>
    <w:rsid w:val="004E3E22"/>
    <w:rsid w:val="004E5581"/>
    <w:rsid w:val="004E5866"/>
    <w:rsid w:val="004E5D08"/>
    <w:rsid w:val="004E75D2"/>
    <w:rsid w:val="004E7B10"/>
    <w:rsid w:val="004F1CF8"/>
    <w:rsid w:val="004F1E91"/>
    <w:rsid w:val="004F3913"/>
    <w:rsid w:val="004F6E36"/>
    <w:rsid w:val="004F7393"/>
    <w:rsid w:val="00501C58"/>
    <w:rsid w:val="00501F28"/>
    <w:rsid w:val="00502C4F"/>
    <w:rsid w:val="00503630"/>
    <w:rsid w:val="00503777"/>
    <w:rsid w:val="005038FF"/>
    <w:rsid w:val="00503BD3"/>
    <w:rsid w:val="00504E07"/>
    <w:rsid w:val="0050531D"/>
    <w:rsid w:val="00505A57"/>
    <w:rsid w:val="00507212"/>
    <w:rsid w:val="0050776C"/>
    <w:rsid w:val="0051027A"/>
    <w:rsid w:val="005116F0"/>
    <w:rsid w:val="00512A7D"/>
    <w:rsid w:val="00512B8D"/>
    <w:rsid w:val="00512D75"/>
    <w:rsid w:val="00513081"/>
    <w:rsid w:val="005135CA"/>
    <w:rsid w:val="00513D12"/>
    <w:rsid w:val="00515E59"/>
    <w:rsid w:val="00516291"/>
    <w:rsid w:val="005212CA"/>
    <w:rsid w:val="0052169F"/>
    <w:rsid w:val="00521BCE"/>
    <w:rsid w:val="00525EB7"/>
    <w:rsid w:val="00525F68"/>
    <w:rsid w:val="00526D78"/>
    <w:rsid w:val="00530124"/>
    <w:rsid w:val="00530B20"/>
    <w:rsid w:val="00530C2B"/>
    <w:rsid w:val="005324C6"/>
    <w:rsid w:val="005349B1"/>
    <w:rsid w:val="00534F64"/>
    <w:rsid w:val="00536D7F"/>
    <w:rsid w:val="005373E1"/>
    <w:rsid w:val="005403B6"/>
    <w:rsid w:val="00540BAC"/>
    <w:rsid w:val="0054165B"/>
    <w:rsid w:val="00541AB7"/>
    <w:rsid w:val="00543223"/>
    <w:rsid w:val="00544FF0"/>
    <w:rsid w:val="005462A2"/>
    <w:rsid w:val="00546FA4"/>
    <w:rsid w:val="00547AA8"/>
    <w:rsid w:val="00551E81"/>
    <w:rsid w:val="00552A5C"/>
    <w:rsid w:val="00552EDE"/>
    <w:rsid w:val="00552F75"/>
    <w:rsid w:val="00554BDF"/>
    <w:rsid w:val="00555B6E"/>
    <w:rsid w:val="0055723A"/>
    <w:rsid w:val="005619D5"/>
    <w:rsid w:val="005630E4"/>
    <w:rsid w:val="00564542"/>
    <w:rsid w:val="00564BC8"/>
    <w:rsid w:val="00565D15"/>
    <w:rsid w:val="00566650"/>
    <w:rsid w:val="00566F84"/>
    <w:rsid w:val="0056743E"/>
    <w:rsid w:val="00567C50"/>
    <w:rsid w:val="0057039B"/>
    <w:rsid w:val="005712C2"/>
    <w:rsid w:val="00574847"/>
    <w:rsid w:val="00575D04"/>
    <w:rsid w:val="00577592"/>
    <w:rsid w:val="0057787F"/>
    <w:rsid w:val="00580531"/>
    <w:rsid w:val="005810C4"/>
    <w:rsid w:val="00582A19"/>
    <w:rsid w:val="005832EA"/>
    <w:rsid w:val="005848E3"/>
    <w:rsid w:val="00584E44"/>
    <w:rsid w:val="005851B6"/>
    <w:rsid w:val="00585D1A"/>
    <w:rsid w:val="005860A5"/>
    <w:rsid w:val="005861BA"/>
    <w:rsid w:val="00586280"/>
    <w:rsid w:val="005864D1"/>
    <w:rsid w:val="005907E5"/>
    <w:rsid w:val="00591705"/>
    <w:rsid w:val="00591CD3"/>
    <w:rsid w:val="0059368D"/>
    <w:rsid w:val="005937C3"/>
    <w:rsid w:val="00593DC6"/>
    <w:rsid w:val="00593EBA"/>
    <w:rsid w:val="005947E2"/>
    <w:rsid w:val="00594CF9"/>
    <w:rsid w:val="005955B1"/>
    <w:rsid w:val="005964F8"/>
    <w:rsid w:val="005979A2"/>
    <w:rsid w:val="005A0D55"/>
    <w:rsid w:val="005A1398"/>
    <w:rsid w:val="005A1924"/>
    <w:rsid w:val="005A21D1"/>
    <w:rsid w:val="005A38A4"/>
    <w:rsid w:val="005A3EBD"/>
    <w:rsid w:val="005A5916"/>
    <w:rsid w:val="005A5E08"/>
    <w:rsid w:val="005A693D"/>
    <w:rsid w:val="005A6D6A"/>
    <w:rsid w:val="005A7EA0"/>
    <w:rsid w:val="005B0D5A"/>
    <w:rsid w:val="005B0F37"/>
    <w:rsid w:val="005B1197"/>
    <w:rsid w:val="005B1BEA"/>
    <w:rsid w:val="005B1F3C"/>
    <w:rsid w:val="005B2808"/>
    <w:rsid w:val="005B35F3"/>
    <w:rsid w:val="005B49A5"/>
    <w:rsid w:val="005B7188"/>
    <w:rsid w:val="005C1444"/>
    <w:rsid w:val="005C17EC"/>
    <w:rsid w:val="005C2E32"/>
    <w:rsid w:val="005C566A"/>
    <w:rsid w:val="005C57C1"/>
    <w:rsid w:val="005C57D2"/>
    <w:rsid w:val="005C614A"/>
    <w:rsid w:val="005C6161"/>
    <w:rsid w:val="005D13C2"/>
    <w:rsid w:val="005D54F4"/>
    <w:rsid w:val="005D5B9C"/>
    <w:rsid w:val="005D5F75"/>
    <w:rsid w:val="005D6558"/>
    <w:rsid w:val="005D6CC2"/>
    <w:rsid w:val="005D7F3A"/>
    <w:rsid w:val="005E0069"/>
    <w:rsid w:val="005E08F0"/>
    <w:rsid w:val="005E1496"/>
    <w:rsid w:val="005E1E78"/>
    <w:rsid w:val="005E2D06"/>
    <w:rsid w:val="005E4038"/>
    <w:rsid w:val="005E5C10"/>
    <w:rsid w:val="005E6B7D"/>
    <w:rsid w:val="005F023C"/>
    <w:rsid w:val="005F10A6"/>
    <w:rsid w:val="005F1143"/>
    <w:rsid w:val="005F145F"/>
    <w:rsid w:val="005F1774"/>
    <w:rsid w:val="005F3846"/>
    <w:rsid w:val="005F4D75"/>
    <w:rsid w:val="005F6F51"/>
    <w:rsid w:val="005F7AA4"/>
    <w:rsid w:val="005F7CCA"/>
    <w:rsid w:val="006043F1"/>
    <w:rsid w:val="006057EF"/>
    <w:rsid w:val="00607036"/>
    <w:rsid w:val="006071D9"/>
    <w:rsid w:val="006071EB"/>
    <w:rsid w:val="00610D74"/>
    <w:rsid w:val="00613EB5"/>
    <w:rsid w:val="0061470C"/>
    <w:rsid w:val="006156AC"/>
    <w:rsid w:val="00615A91"/>
    <w:rsid w:val="006160C6"/>
    <w:rsid w:val="00616D03"/>
    <w:rsid w:val="00616DE3"/>
    <w:rsid w:val="0061751A"/>
    <w:rsid w:val="00620586"/>
    <w:rsid w:val="00620E44"/>
    <w:rsid w:val="00620FAA"/>
    <w:rsid w:val="006220FE"/>
    <w:rsid w:val="00622115"/>
    <w:rsid w:val="0062216D"/>
    <w:rsid w:val="00622B9D"/>
    <w:rsid w:val="006265D2"/>
    <w:rsid w:val="00627F98"/>
    <w:rsid w:val="00630D4C"/>
    <w:rsid w:val="00632D6A"/>
    <w:rsid w:val="006339A7"/>
    <w:rsid w:val="006352A4"/>
    <w:rsid w:val="00636513"/>
    <w:rsid w:val="00636856"/>
    <w:rsid w:val="00636962"/>
    <w:rsid w:val="006400B1"/>
    <w:rsid w:val="006406EB"/>
    <w:rsid w:val="00640DEA"/>
    <w:rsid w:val="0064211C"/>
    <w:rsid w:val="006428A9"/>
    <w:rsid w:val="006431D5"/>
    <w:rsid w:val="00643990"/>
    <w:rsid w:val="006444F3"/>
    <w:rsid w:val="00644734"/>
    <w:rsid w:val="00647B92"/>
    <w:rsid w:val="006500C5"/>
    <w:rsid w:val="006503A2"/>
    <w:rsid w:val="006507E0"/>
    <w:rsid w:val="00651660"/>
    <w:rsid w:val="0065184A"/>
    <w:rsid w:val="00651A9F"/>
    <w:rsid w:val="00653600"/>
    <w:rsid w:val="00654517"/>
    <w:rsid w:val="00654565"/>
    <w:rsid w:val="00655D54"/>
    <w:rsid w:val="00663502"/>
    <w:rsid w:val="00663DA5"/>
    <w:rsid w:val="00663EE5"/>
    <w:rsid w:val="00664610"/>
    <w:rsid w:val="006655A4"/>
    <w:rsid w:val="0066574B"/>
    <w:rsid w:val="00672145"/>
    <w:rsid w:val="006729CA"/>
    <w:rsid w:val="00674D26"/>
    <w:rsid w:val="00674DB6"/>
    <w:rsid w:val="006751D6"/>
    <w:rsid w:val="00675553"/>
    <w:rsid w:val="006755FD"/>
    <w:rsid w:val="006778B5"/>
    <w:rsid w:val="006779B0"/>
    <w:rsid w:val="0068130B"/>
    <w:rsid w:val="00681E74"/>
    <w:rsid w:val="00682DCD"/>
    <w:rsid w:val="00683B99"/>
    <w:rsid w:val="00685952"/>
    <w:rsid w:val="00685A21"/>
    <w:rsid w:val="0068772A"/>
    <w:rsid w:val="00687F2C"/>
    <w:rsid w:val="006909E0"/>
    <w:rsid w:val="00693804"/>
    <w:rsid w:val="0069380D"/>
    <w:rsid w:val="006943E7"/>
    <w:rsid w:val="00694FF8"/>
    <w:rsid w:val="006970C3"/>
    <w:rsid w:val="00697BF2"/>
    <w:rsid w:val="006A0E79"/>
    <w:rsid w:val="006A2F70"/>
    <w:rsid w:val="006A37FE"/>
    <w:rsid w:val="006A5AD0"/>
    <w:rsid w:val="006A5E6F"/>
    <w:rsid w:val="006A6185"/>
    <w:rsid w:val="006A66C2"/>
    <w:rsid w:val="006A67E7"/>
    <w:rsid w:val="006B12F2"/>
    <w:rsid w:val="006B2818"/>
    <w:rsid w:val="006B2B26"/>
    <w:rsid w:val="006B2D1E"/>
    <w:rsid w:val="006B3D68"/>
    <w:rsid w:val="006B732E"/>
    <w:rsid w:val="006B775A"/>
    <w:rsid w:val="006B789C"/>
    <w:rsid w:val="006C03C2"/>
    <w:rsid w:val="006C33E0"/>
    <w:rsid w:val="006C385E"/>
    <w:rsid w:val="006C4045"/>
    <w:rsid w:val="006C4723"/>
    <w:rsid w:val="006C59D0"/>
    <w:rsid w:val="006C7B52"/>
    <w:rsid w:val="006D04A3"/>
    <w:rsid w:val="006D08D1"/>
    <w:rsid w:val="006D0FB5"/>
    <w:rsid w:val="006D179D"/>
    <w:rsid w:val="006D2320"/>
    <w:rsid w:val="006D389E"/>
    <w:rsid w:val="006D4E87"/>
    <w:rsid w:val="006D5273"/>
    <w:rsid w:val="006D5302"/>
    <w:rsid w:val="006D5BB2"/>
    <w:rsid w:val="006D5BD1"/>
    <w:rsid w:val="006D6ECE"/>
    <w:rsid w:val="006D7E96"/>
    <w:rsid w:val="006E0B73"/>
    <w:rsid w:val="006E0D9A"/>
    <w:rsid w:val="006E1044"/>
    <w:rsid w:val="006E2CC9"/>
    <w:rsid w:val="006E3EE7"/>
    <w:rsid w:val="006E4C01"/>
    <w:rsid w:val="006E5108"/>
    <w:rsid w:val="006E6AD1"/>
    <w:rsid w:val="006E6E38"/>
    <w:rsid w:val="006E77A3"/>
    <w:rsid w:val="006E788D"/>
    <w:rsid w:val="006E7BC6"/>
    <w:rsid w:val="006E7BCD"/>
    <w:rsid w:val="006F1005"/>
    <w:rsid w:val="006F119E"/>
    <w:rsid w:val="006F1271"/>
    <w:rsid w:val="006F1D54"/>
    <w:rsid w:val="006F1ED8"/>
    <w:rsid w:val="006F22F5"/>
    <w:rsid w:val="006F3289"/>
    <w:rsid w:val="006F3BE8"/>
    <w:rsid w:val="006F63C9"/>
    <w:rsid w:val="006F640C"/>
    <w:rsid w:val="00700989"/>
    <w:rsid w:val="00701D9E"/>
    <w:rsid w:val="00702DEE"/>
    <w:rsid w:val="007038FA"/>
    <w:rsid w:val="00703FE7"/>
    <w:rsid w:val="00704681"/>
    <w:rsid w:val="00706D80"/>
    <w:rsid w:val="007074E0"/>
    <w:rsid w:val="00711796"/>
    <w:rsid w:val="007126BC"/>
    <w:rsid w:val="00715495"/>
    <w:rsid w:val="0071743B"/>
    <w:rsid w:val="00722470"/>
    <w:rsid w:val="0072295D"/>
    <w:rsid w:val="00723729"/>
    <w:rsid w:val="00723882"/>
    <w:rsid w:val="007257AB"/>
    <w:rsid w:val="007260CD"/>
    <w:rsid w:val="007270C3"/>
    <w:rsid w:val="0073070E"/>
    <w:rsid w:val="00730AAF"/>
    <w:rsid w:val="00730C23"/>
    <w:rsid w:val="00732BE1"/>
    <w:rsid w:val="007335B9"/>
    <w:rsid w:val="0073576F"/>
    <w:rsid w:val="0074067B"/>
    <w:rsid w:val="007422AA"/>
    <w:rsid w:val="0074239F"/>
    <w:rsid w:val="0074328F"/>
    <w:rsid w:val="00743395"/>
    <w:rsid w:val="00744E71"/>
    <w:rsid w:val="0074607C"/>
    <w:rsid w:val="0074632C"/>
    <w:rsid w:val="007465C2"/>
    <w:rsid w:val="00752377"/>
    <w:rsid w:val="00753356"/>
    <w:rsid w:val="00753A0C"/>
    <w:rsid w:val="00754542"/>
    <w:rsid w:val="0075486E"/>
    <w:rsid w:val="00754E7D"/>
    <w:rsid w:val="007553C0"/>
    <w:rsid w:val="007553D7"/>
    <w:rsid w:val="007554B5"/>
    <w:rsid w:val="0075607A"/>
    <w:rsid w:val="0075760D"/>
    <w:rsid w:val="00757AB0"/>
    <w:rsid w:val="00761203"/>
    <w:rsid w:val="00762629"/>
    <w:rsid w:val="00762855"/>
    <w:rsid w:val="007631E0"/>
    <w:rsid w:val="00763628"/>
    <w:rsid w:val="007639EF"/>
    <w:rsid w:val="00763CE7"/>
    <w:rsid w:val="00764B48"/>
    <w:rsid w:val="0076528D"/>
    <w:rsid w:val="007654DD"/>
    <w:rsid w:val="007666C1"/>
    <w:rsid w:val="00766A35"/>
    <w:rsid w:val="00766C6D"/>
    <w:rsid w:val="00770A50"/>
    <w:rsid w:val="007710D6"/>
    <w:rsid w:val="0077504C"/>
    <w:rsid w:val="00775885"/>
    <w:rsid w:val="0077624C"/>
    <w:rsid w:val="00776890"/>
    <w:rsid w:val="0077799D"/>
    <w:rsid w:val="007812E6"/>
    <w:rsid w:val="007815DC"/>
    <w:rsid w:val="00782143"/>
    <w:rsid w:val="007834E7"/>
    <w:rsid w:val="007849C1"/>
    <w:rsid w:val="00785CC1"/>
    <w:rsid w:val="007871C8"/>
    <w:rsid w:val="00787836"/>
    <w:rsid w:val="0079074B"/>
    <w:rsid w:val="0079117D"/>
    <w:rsid w:val="00791F70"/>
    <w:rsid w:val="007925BC"/>
    <w:rsid w:val="0079270E"/>
    <w:rsid w:val="00792CD7"/>
    <w:rsid w:val="00792CE2"/>
    <w:rsid w:val="007944D1"/>
    <w:rsid w:val="00795378"/>
    <w:rsid w:val="00796BAD"/>
    <w:rsid w:val="00796E10"/>
    <w:rsid w:val="007973E3"/>
    <w:rsid w:val="007A09BF"/>
    <w:rsid w:val="007A1329"/>
    <w:rsid w:val="007A1597"/>
    <w:rsid w:val="007A2807"/>
    <w:rsid w:val="007A2EC0"/>
    <w:rsid w:val="007A361B"/>
    <w:rsid w:val="007A3F54"/>
    <w:rsid w:val="007A5919"/>
    <w:rsid w:val="007A5B84"/>
    <w:rsid w:val="007A5F2E"/>
    <w:rsid w:val="007A6451"/>
    <w:rsid w:val="007A6BA2"/>
    <w:rsid w:val="007A7857"/>
    <w:rsid w:val="007A7A4C"/>
    <w:rsid w:val="007A7E3A"/>
    <w:rsid w:val="007B4712"/>
    <w:rsid w:val="007B49D5"/>
    <w:rsid w:val="007B5532"/>
    <w:rsid w:val="007B5C2E"/>
    <w:rsid w:val="007B5D6F"/>
    <w:rsid w:val="007B6546"/>
    <w:rsid w:val="007C0959"/>
    <w:rsid w:val="007C0C86"/>
    <w:rsid w:val="007C1E3A"/>
    <w:rsid w:val="007C25E4"/>
    <w:rsid w:val="007C3130"/>
    <w:rsid w:val="007C3A45"/>
    <w:rsid w:val="007C3FA6"/>
    <w:rsid w:val="007C49B4"/>
    <w:rsid w:val="007C4E61"/>
    <w:rsid w:val="007C6363"/>
    <w:rsid w:val="007C70DF"/>
    <w:rsid w:val="007C737D"/>
    <w:rsid w:val="007D09D5"/>
    <w:rsid w:val="007D0F10"/>
    <w:rsid w:val="007D1455"/>
    <w:rsid w:val="007D1C3C"/>
    <w:rsid w:val="007D331D"/>
    <w:rsid w:val="007D40C7"/>
    <w:rsid w:val="007D5A18"/>
    <w:rsid w:val="007D6745"/>
    <w:rsid w:val="007D6AB8"/>
    <w:rsid w:val="007D72A7"/>
    <w:rsid w:val="007D7C35"/>
    <w:rsid w:val="007E028A"/>
    <w:rsid w:val="007E0D73"/>
    <w:rsid w:val="007E1F80"/>
    <w:rsid w:val="007E3BF5"/>
    <w:rsid w:val="007E6426"/>
    <w:rsid w:val="007E6519"/>
    <w:rsid w:val="007E6968"/>
    <w:rsid w:val="007F1936"/>
    <w:rsid w:val="007F2E70"/>
    <w:rsid w:val="007F45C3"/>
    <w:rsid w:val="007F57FE"/>
    <w:rsid w:val="007F6083"/>
    <w:rsid w:val="007F6B75"/>
    <w:rsid w:val="007F6C2F"/>
    <w:rsid w:val="007F7B63"/>
    <w:rsid w:val="00800708"/>
    <w:rsid w:val="008011D1"/>
    <w:rsid w:val="00801840"/>
    <w:rsid w:val="0080243F"/>
    <w:rsid w:val="0080295A"/>
    <w:rsid w:val="008031E7"/>
    <w:rsid w:val="008034AA"/>
    <w:rsid w:val="008035EE"/>
    <w:rsid w:val="008045D0"/>
    <w:rsid w:val="00804A0F"/>
    <w:rsid w:val="0080726A"/>
    <w:rsid w:val="00807AC2"/>
    <w:rsid w:val="00810D44"/>
    <w:rsid w:val="008110BC"/>
    <w:rsid w:val="008127A4"/>
    <w:rsid w:val="00813C26"/>
    <w:rsid w:val="00813C8B"/>
    <w:rsid w:val="00813D32"/>
    <w:rsid w:val="00814591"/>
    <w:rsid w:val="00814A85"/>
    <w:rsid w:val="00815821"/>
    <w:rsid w:val="0081648B"/>
    <w:rsid w:val="00816505"/>
    <w:rsid w:val="00817E64"/>
    <w:rsid w:val="008201E4"/>
    <w:rsid w:val="00822C0A"/>
    <w:rsid w:val="008230D2"/>
    <w:rsid w:val="0082411B"/>
    <w:rsid w:val="00825362"/>
    <w:rsid w:val="008254C3"/>
    <w:rsid w:val="00827324"/>
    <w:rsid w:val="00827500"/>
    <w:rsid w:val="008275F4"/>
    <w:rsid w:val="008277D2"/>
    <w:rsid w:val="00827EEB"/>
    <w:rsid w:val="00830D13"/>
    <w:rsid w:val="00832094"/>
    <w:rsid w:val="008322BB"/>
    <w:rsid w:val="00832F19"/>
    <w:rsid w:val="0083375A"/>
    <w:rsid w:val="0083392A"/>
    <w:rsid w:val="00833EA7"/>
    <w:rsid w:val="0083701B"/>
    <w:rsid w:val="0084275C"/>
    <w:rsid w:val="00842766"/>
    <w:rsid w:val="00844A0C"/>
    <w:rsid w:val="008454D6"/>
    <w:rsid w:val="00845E30"/>
    <w:rsid w:val="00850BD7"/>
    <w:rsid w:val="00852716"/>
    <w:rsid w:val="008537D6"/>
    <w:rsid w:val="0085634D"/>
    <w:rsid w:val="008565D7"/>
    <w:rsid w:val="00856B58"/>
    <w:rsid w:val="00860BCB"/>
    <w:rsid w:val="00861740"/>
    <w:rsid w:val="008627E5"/>
    <w:rsid w:val="0086302E"/>
    <w:rsid w:val="00863312"/>
    <w:rsid w:val="0086386D"/>
    <w:rsid w:val="00864CBF"/>
    <w:rsid w:val="00865012"/>
    <w:rsid w:val="00865205"/>
    <w:rsid w:val="0086615B"/>
    <w:rsid w:val="00867D2B"/>
    <w:rsid w:val="0087078D"/>
    <w:rsid w:val="00870C37"/>
    <w:rsid w:val="0087154D"/>
    <w:rsid w:val="00871790"/>
    <w:rsid w:val="00873D48"/>
    <w:rsid w:val="00875214"/>
    <w:rsid w:val="00875F41"/>
    <w:rsid w:val="00876257"/>
    <w:rsid w:val="008768FB"/>
    <w:rsid w:val="0087798F"/>
    <w:rsid w:val="00880756"/>
    <w:rsid w:val="0088350F"/>
    <w:rsid w:val="008837E5"/>
    <w:rsid w:val="00884E2B"/>
    <w:rsid w:val="00885423"/>
    <w:rsid w:val="0088579C"/>
    <w:rsid w:val="00885E03"/>
    <w:rsid w:val="0089010C"/>
    <w:rsid w:val="00891F85"/>
    <w:rsid w:val="00893B41"/>
    <w:rsid w:val="00893CD7"/>
    <w:rsid w:val="00894312"/>
    <w:rsid w:val="00895C7F"/>
    <w:rsid w:val="008A0AA6"/>
    <w:rsid w:val="008A164A"/>
    <w:rsid w:val="008A2611"/>
    <w:rsid w:val="008A3F17"/>
    <w:rsid w:val="008A5BA3"/>
    <w:rsid w:val="008A70A5"/>
    <w:rsid w:val="008B07C5"/>
    <w:rsid w:val="008B0D07"/>
    <w:rsid w:val="008B1DF8"/>
    <w:rsid w:val="008B2602"/>
    <w:rsid w:val="008B305C"/>
    <w:rsid w:val="008B30C8"/>
    <w:rsid w:val="008B52B4"/>
    <w:rsid w:val="008B55D8"/>
    <w:rsid w:val="008B5DDD"/>
    <w:rsid w:val="008B6774"/>
    <w:rsid w:val="008B7206"/>
    <w:rsid w:val="008C0D95"/>
    <w:rsid w:val="008C0ED7"/>
    <w:rsid w:val="008C1C4F"/>
    <w:rsid w:val="008C3BFA"/>
    <w:rsid w:val="008C47FE"/>
    <w:rsid w:val="008C56D8"/>
    <w:rsid w:val="008C5864"/>
    <w:rsid w:val="008C6607"/>
    <w:rsid w:val="008C72D3"/>
    <w:rsid w:val="008D065C"/>
    <w:rsid w:val="008D1FD9"/>
    <w:rsid w:val="008D2630"/>
    <w:rsid w:val="008D2861"/>
    <w:rsid w:val="008D2A85"/>
    <w:rsid w:val="008D3CC4"/>
    <w:rsid w:val="008D46EC"/>
    <w:rsid w:val="008D5CC4"/>
    <w:rsid w:val="008D702C"/>
    <w:rsid w:val="008D75D6"/>
    <w:rsid w:val="008E04C4"/>
    <w:rsid w:val="008E1BAF"/>
    <w:rsid w:val="008E3F6D"/>
    <w:rsid w:val="008E3FAB"/>
    <w:rsid w:val="008E5C3A"/>
    <w:rsid w:val="008E5FD0"/>
    <w:rsid w:val="008F3777"/>
    <w:rsid w:val="008F3F7D"/>
    <w:rsid w:val="008F4417"/>
    <w:rsid w:val="008F4655"/>
    <w:rsid w:val="008F719F"/>
    <w:rsid w:val="008F7317"/>
    <w:rsid w:val="008F7B3C"/>
    <w:rsid w:val="008F7E00"/>
    <w:rsid w:val="0090054F"/>
    <w:rsid w:val="00902405"/>
    <w:rsid w:val="00902AED"/>
    <w:rsid w:val="00902F4C"/>
    <w:rsid w:val="00903B3B"/>
    <w:rsid w:val="0090506B"/>
    <w:rsid w:val="009060EE"/>
    <w:rsid w:val="00906E08"/>
    <w:rsid w:val="00907217"/>
    <w:rsid w:val="009078E1"/>
    <w:rsid w:val="00907AF0"/>
    <w:rsid w:val="00907E66"/>
    <w:rsid w:val="00907EFA"/>
    <w:rsid w:val="0091032B"/>
    <w:rsid w:val="00911C0C"/>
    <w:rsid w:val="00912F5C"/>
    <w:rsid w:val="009136DF"/>
    <w:rsid w:val="00914CE1"/>
    <w:rsid w:val="00914FAC"/>
    <w:rsid w:val="00915283"/>
    <w:rsid w:val="00916A51"/>
    <w:rsid w:val="00916E0B"/>
    <w:rsid w:val="0091724D"/>
    <w:rsid w:val="00917466"/>
    <w:rsid w:val="009179C5"/>
    <w:rsid w:val="00917D70"/>
    <w:rsid w:val="00917F4E"/>
    <w:rsid w:val="00920AA6"/>
    <w:rsid w:val="00922194"/>
    <w:rsid w:val="009234A2"/>
    <w:rsid w:val="00924FFF"/>
    <w:rsid w:val="00925FD7"/>
    <w:rsid w:val="00931014"/>
    <w:rsid w:val="00931671"/>
    <w:rsid w:val="00931BE7"/>
    <w:rsid w:val="009324D1"/>
    <w:rsid w:val="009340E0"/>
    <w:rsid w:val="009343CF"/>
    <w:rsid w:val="00935A0D"/>
    <w:rsid w:val="00935E18"/>
    <w:rsid w:val="0093604B"/>
    <w:rsid w:val="0094002A"/>
    <w:rsid w:val="00942EAF"/>
    <w:rsid w:val="009441EB"/>
    <w:rsid w:val="00944842"/>
    <w:rsid w:val="00946BFF"/>
    <w:rsid w:val="00947295"/>
    <w:rsid w:val="009509CC"/>
    <w:rsid w:val="0095189A"/>
    <w:rsid w:val="00951BD5"/>
    <w:rsid w:val="00953772"/>
    <w:rsid w:val="009562D3"/>
    <w:rsid w:val="00956AC9"/>
    <w:rsid w:val="0096074F"/>
    <w:rsid w:val="00961123"/>
    <w:rsid w:val="00961274"/>
    <w:rsid w:val="009632B4"/>
    <w:rsid w:val="00965105"/>
    <w:rsid w:val="00965790"/>
    <w:rsid w:val="00965991"/>
    <w:rsid w:val="00966DA7"/>
    <w:rsid w:val="009701D1"/>
    <w:rsid w:val="00970242"/>
    <w:rsid w:val="00972E51"/>
    <w:rsid w:val="00974B60"/>
    <w:rsid w:val="009753CF"/>
    <w:rsid w:val="00976380"/>
    <w:rsid w:val="00976DF5"/>
    <w:rsid w:val="00977247"/>
    <w:rsid w:val="0097760B"/>
    <w:rsid w:val="00980D19"/>
    <w:rsid w:val="00981571"/>
    <w:rsid w:val="009821E0"/>
    <w:rsid w:val="0098377F"/>
    <w:rsid w:val="0098406E"/>
    <w:rsid w:val="00986761"/>
    <w:rsid w:val="009873F8"/>
    <w:rsid w:val="00987640"/>
    <w:rsid w:val="009878C9"/>
    <w:rsid w:val="00990575"/>
    <w:rsid w:val="00991473"/>
    <w:rsid w:val="00991491"/>
    <w:rsid w:val="00992D85"/>
    <w:rsid w:val="00993287"/>
    <w:rsid w:val="00993FA4"/>
    <w:rsid w:val="009948F9"/>
    <w:rsid w:val="009964A0"/>
    <w:rsid w:val="009967CA"/>
    <w:rsid w:val="00997275"/>
    <w:rsid w:val="009A3D74"/>
    <w:rsid w:val="009A3FE4"/>
    <w:rsid w:val="009A42DE"/>
    <w:rsid w:val="009A4B4E"/>
    <w:rsid w:val="009A5987"/>
    <w:rsid w:val="009A6045"/>
    <w:rsid w:val="009A612D"/>
    <w:rsid w:val="009A7D04"/>
    <w:rsid w:val="009B189E"/>
    <w:rsid w:val="009B2971"/>
    <w:rsid w:val="009B2ADF"/>
    <w:rsid w:val="009B4F9A"/>
    <w:rsid w:val="009B5366"/>
    <w:rsid w:val="009B7006"/>
    <w:rsid w:val="009B7ECD"/>
    <w:rsid w:val="009C09EC"/>
    <w:rsid w:val="009C1501"/>
    <w:rsid w:val="009C2098"/>
    <w:rsid w:val="009C2410"/>
    <w:rsid w:val="009C3A48"/>
    <w:rsid w:val="009C3C3C"/>
    <w:rsid w:val="009C45E0"/>
    <w:rsid w:val="009C53D0"/>
    <w:rsid w:val="009C56F9"/>
    <w:rsid w:val="009C653F"/>
    <w:rsid w:val="009C6628"/>
    <w:rsid w:val="009C730B"/>
    <w:rsid w:val="009D0D8B"/>
    <w:rsid w:val="009D1217"/>
    <w:rsid w:val="009D2419"/>
    <w:rsid w:val="009D29FE"/>
    <w:rsid w:val="009D3E23"/>
    <w:rsid w:val="009D3F7B"/>
    <w:rsid w:val="009D6773"/>
    <w:rsid w:val="009D6E07"/>
    <w:rsid w:val="009E0CBA"/>
    <w:rsid w:val="009E1A72"/>
    <w:rsid w:val="009E4DAE"/>
    <w:rsid w:val="009E4E7D"/>
    <w:rsid w:val="009E503B"/>
    <w:rsid w:val="009E5069"/>
    <w:rsid w:val="009E64E5"/>
    <w:rsid w:val="009E71B4"/>
    <w:rsid w:val="009F02E4"/>
    <w:rsid w:val="009F3E0A"/>
    <w:rsid w:val="009F4B4C"/>
    <w:rsid w:val="009F5A0E"/>
    <w:rsid w:val="009F650E"/>
    <w:rsid w:val="009F73FD"/>
    <w:rsid w:val="00A00AF5"/>
    <w:rsid w:val="00A01FAD"/>
    <w:rsid w:val="00A03CB2"/>
    <w:rsid w:val="00A061AC"/>
    <w:rsid w:val="00A0733D"/>
    <w:rsid w:val="00A103D9"/>
    <w:rsid w:val="00A10E45"/>
    <w:rsid w:val="00A10F35"/>
    <w:rsid w:val="00A113D5"/>
    <w:rsid w:val="00A12AE0"/>
    <w:rsid w:val="00A12D32"/>
    <w:rsid w:val="00A131B0"/>
    <w:rsid w:val="00A136D4"/>
    <w:rsid w:val="00A13B82"/>
    <w:rsid w:val="00A1450A"/>
    <w:rsid w:val="00A15AB8"/>
    <w:rsid w:val="00A17831"/>
    <w:rsid w:val="00A202CD"/>
    <w:rsid w:val="00A234CA"/>
    <w:rsid w:val="00A24584"/>
    <w:rsid w:val="00A266C4"/>
    <w:rsid w:val="00A276C3"/>
    <w:rsid w:val="00A27CC9"/>
    <w:rsid w:val="00A317E5"/>
    <w:rsid w:val="00A31AFB"/>
    <w:rsid w:val="00A31E9C"/>
    <w:rsid w:val="00A3364D"/>
    <w:rsid w:val="00A356C6"/>
    <w:rsid w:val="00A35BD3"/>
    <w:rsid w:val="00A37508"/>
    <w:rsid w:val="00A379E2"/>
    <w:rsid w:val="00A408A2"/>
    <w:rsid w:val="00A41F65"/>
    <w:rsid w:val="00A4390A"/>
    <w:rsid w:val="00A44097"/>
    <w:rsid w:val="00A4509D"/>
    <w:rsid w:val="00A453DB"/>
    <w:rsid w:val="00A45C81"/>
    <w:rsid w:val="00A460B1"/>
    <w:rsid w:val="00A47794"/>
    <w:rsid w:val="00A50954"/>
    <w:rsid w:val="00A5159B"/>
    <w:rsid w:val="00A519A2"/>
    <w:rsid w:val="00A51B43"/>
    <w:rsid w:val="00A53048"/>
    <w:rsid w:val="00A544EC"/>
    <w:rsid w:val="00A554F6"/>
    <w:rsid w:val="00A55D30"/>
    <w:rsid w:val="00A576F8"/>
    <w:rsid w:val="00A57E40"/>
    <w:rsid w:val="00A6098B"/>
    <w:rsid w:val="00A614C6"/>
    <w:rsid w:val="00A6154F"/>
    <w:rsid w:val="00A620A7"/>
    <w:rsid w:val="00A63D88"/>
    <w:rsid w:val="00A650CC"/>
    <w:rsid w:val="00A650E7"/>
    <w:rsid w:val="00A6719C"/>
    <w:rsid w:val="00A703F8"/>
    <w:rsid w:val="00A721DA"/>
    <w:rsid w:val="00A72B12"/>
    <w:rsid w:val="00A73491"/>
    <w:rsid w:val="00A756BA"/>
    <w:rsid w:val="00A76F2B"/>
    <w:rsid w:val="00A77056"/>
    <w:rsid w:val="00A77EB6"/>
    <w:rsid w:val="00A8050F"/>
    <w:rsid w:val="00A80BEA"/>
    <w:rsid w:val="00A80C33"/>
    <w:rsid w:val="00A823A7"/>
    <w:rsid w:val="00A910C0"/>
    <w:rsid w:val="00A91216"/>
    <w:rsid w:val="00A91249"/>
    <w:rsid w:val="00A91D0A"/>
    <w:rsid w:val="00A92862"/>
    <w:rsid w:val="00A93E73"/>
    <w:rsid w:val="00A94F05"/>
    <w:rsid w:val="00A975CC"/>
    <w:rsid w:val="00A97C4C"/>
    <w:rsid w:val="00AA09D5"/>
    <w:rsid w:val="00AA1023"/>
    <w:rsid w:val="00AA1CD4"/>
    <w:rsid w:val="00AA225C"/>
    <w:rsid w:val="00AA2C1D"/>
    <w:rsid w:val="00AA3B3E"/>
    <w:rsid w:val="00AA47A3"/>
    <w:rsid w:val="00AA4B22"/>
    <w:rsid w:val="00AA4DF0"/>
    <w:rsid w:val="00AA64DA"/>
    <w:rsid w:val="00AA7139"/>
    <w:rsid w:val="00AA7177"/>
    <w:rsid w:val="00AA7BC3"/>
    <w:rsid w:val="00AB1784"/>
    <w:rsid w:val="00AB22FD"/>
    <w:rsid w:val="00AB2724"/>
    <w:rsid w:val="00AB2C6A"/>
    <w:rsid w:val="00AB2E43"/>
    <w:rsid w:val="00AB300A"/>
    <w:rsid w:val="00AB5C78"/>
    <w:rsid w:val="00AB6B7A"/>
    <w:rsid w:val="00AB7E80"/>
    <w:rsid w:val="00AC0F0D"/>
    <w:rsid w:val="00AC3F96"/>
    <w:rsid w:val="00AC5C05"/>
    <w:rsid w:val="00AC645E"/>
    <w:rsid w:val="00AC68CD"/>
    <w:rsid w:val="00AD03EB"/>
    <w:rsid w:val="00AD12FA"/>
    <w:rsid w:val="00AD14F9"/>
    <w:rsid w:val="00AD3963"/>
    <w:rsid w:val="00AD4013"/>
    <w:rsid w:val="00AD6AEA"/>
    <w:rsid w:val="00AE0B55"/>
    <w:rsid w:val="00AE16A9"/>
    <w:rsid w:val="00AE1A1E"/>
    <w:rsid w:val="00AE2237"/>
    <w:rsid w:val="00AE2EA5"/>
    <w:rsid w:val="00AE2FB3"/>
    <w:rsid w:val="00AE3829"/>
    <w:rsid w:val="00AE68C9"/>
    <w:rsid w:val="00AF0C17"/>
    <w:rsid w:val="00AF1786"/>
    <w:rsid w:val="00AF2619"/>
    <w:rsid w:val="00AF33C8"/>
    <w:rsid w:val="00AF356C"/>
    <w:rsid w:val="00AF3F58"/>
    <w:rsid w:val="00AF4BD8"/>
    <w:rsid w:val="00AF4EE1"/>
    <w:rsid w:val="00AF6A12"/>
    <w:rsid w:val="00AF7164"/>
    <w:rsid w:val="00AF7386"/>
    <w:rsid w:val="00AF7AF5"/>
    <w:rsid w:val="00AF7DB5"/>
    <w:rsid w:val="00B002F5"/>
    <w:rsid w:val="00B00959"/>
    <w:rsid w:val="00B00A8E"/>
    <w:rsid w:val="00B02CD3"/>
    <w:rsid w:val="00B051AB"/>
    <w:rsid w:val="00B05355"/>
    <w:rsid w:val="00B055AF"/>
    <w:rsid w:val="00B057E7"/>
    <w:rsid w:val="00B1199F"/>
    <w:rsid w:val="00B1422D"/>
    <w:rsid w:val="00B14414"/>
    <w:rsid w:val="00B14DAE"/>
    <w:rsid w:val="00B1534A"/>
    <w:rsid w:val="00B20241"/>
    <w:rsid w:val="00B214EE"/>
    <w:rsid w:val="00B224BF"/>
    <w:rsid w:val="00B229B5"/>
    <w:rsid w:val="00B22A25"/>
    <w:rsid w:val="00B238C1"/>
    <w:rsid w:val="00B24D97"/>
    <w:rsid w:val="00B250FD"/>
    <w:rsid w:val="00B25DDF"/>
    <w:rsid w:val="00B27110"/>
    <w:rsid w:val="00B27A29"/>
    <w:rsid w:val="00B31928"/>
    <w:rsid w:val="00B33A58"/>
    <w:rsid w:val="00B34234"/>
    <w:rsid w:val="00B34339"/>
    <w:rsid w:val="00B36B01"/>
    <w:rsid w:val="00B36C13"/>
    <w:rsid w:val="00B36E1A"/>
    <w:rsid w:val="00B3716F"/>
    <w:rsid w:val="00B37596"/>
    <w:rsid w:val="00B379AE"/>
    <w:rsid w:val="00B37A70"/>
    <w:rsid w:val="00B40781"/>
    <w:rsid w:val="00B40A21"/>
    <w:rsid w:val="00B417D8"/>
    <w:rsid w:val="00B41F7C"/>
    <w:rsid w:val="00B4345B"/>
    <w:rsid w:val="00B43604"/>
    <w:rsid w:val="00B43DF7"/>
    <w:rsid w:val="00B440A2"/>
    <w:rsid w:val="00B44189"/>
    <w:rsid w:val="00B443AB"/>
    <w:rsid w:val="00B46094"/>
    <w:rsid w:val="00B47D77"/>
    <w:rsid w:val="00B50AB7"/>
    <w:rsid w:val="00B54ECE"/>
    <w:rsid w:val="00B5596D"/>
    <w:rsid w:val="00B57152"/>
    <w:rsid w:val="00B571B4"/>
    <w:rsid w:val="00B57628"/>
    <w:rsid w:val="00B605E1"/>
    <w:rsid w:val="00B6138D"/>
    <w:rsid w:val="00B637F9"/>
    <w:rsid w:val="00B63E6A"/>
    <w:rsid w:val="00B64D27"/>
    <w:rsid w:val="00B660E1"/>
    <w:rsid w:val="00B7167B"/>
    <w:rsid w:val="00B718AB"/>
    <w:rsid w:val="00B734D6"/>
    <w:rsid w:val="00B73818"/>
    <w:rsid w:val="00B73AEA"/>
    <w:rsid w:val="00B74D60"/>
    <w:rsid w:val="00B75AC5"/>
    <w:rsid w:val="00B75F0A"/>
    <w:rsid w:val="00B763C4"/>
    <w:rsid w:val="00B77EE7"/>
    <w:rsid w:val="00B8081F"/>
    <w:rsid w:val="00B812C1"/>
    <w:rsid w:val="00B8424D"/>
    <w:rsid w:val="00B84A62"/>
    <w:rsid w:val="00B84BFC"/>
    <w:rsid w:val="00B84D96"/>
    <w:rsid w:val="00B8683A"/>
    <w:rsid w:val="00B87416"/>
    <w:rsid w:val="00B8742D"/>
    <w:rsid w:val="00B91FDB"/>
    <w:rsid w:val="00B9217D"/>
    <w:rsid w:val="00B92946"/>
    <w:rsid w:val="00B944E3"/>
    <w:rsid w:val="00B95669"/>
    <w:rsid w:val="00B96D38"/>
    <w:rsid w:val="00BA03AB"/>
    <w:rsid w:val="00BA0B98"/>
    <w:rsid w:val="00BA1412"/>
    <w:rsid w:val="00BA1F8C"/>
    <w:rsid w:val="00BA203D"/>
    <w:rsid w:val="00BA451F"/>
    <w:rsid w:val="00BA453D"/>
    <w:rsid w:val="00BA58F3"/>
    <w:rsid w:val="00BA59B9"/>
    <w:rsid w:val="00BA62CD"/>
    <w:rsid w:val="00BA7417"/>
    <w:rsid w:val="00BA7F18"/>
    <w:rsid w:val="00BB53A8"/>
    <w:rsid w:val="00BB5970"/>
    <w:rsid w:val="00BB670A"/>
    <w:rsid w:val="00BB683A"/>
    <w:rsid w:val="00BB7454"/>
    <w:rsid w:val="00BB7951"/>
    <w:rsid w:val="00BC035B"/>
    <w:rsid w:val="00BC1498"/>
    <w:rsid w:val="00BC3767"/>
    <w:rsid w:val="00BC39A9"/>
    <w:rsid w:val="00BC4D97"/>
    <w:rsid w:val="00BC5A4C"/>
    <w:rsid w:val="00BC7029"/>
    <w:rsid w:val="00BD090C"/>
    <w:rsid w:val="00BD0A52"/>
    <w:rsid w:val="00BD1A32"/>
    <w:rsid w:val="00BD73AF"/>
    <w:rsid w:val="00BD7916"/>
    <w:rsid w:val="00BD7D3F"/>
    <w:rsid w:val="00BE0B30"/>
    <w:rsid w:val="00BE1409"/>
    <w:rsid w:val="00BE1781"/>
    <w:rsid w:val="00BE1C7E"/>
    <w:rsid w:val="00BE1F45"/>
    <w:rsid w:val="00BE27C1"/>
    <w:rsid w:val="00BE292F"/>
    <w:rsid w:val="00BE2A6D"/>
    <w:rsid w:val="00BE3AA2"/>
    <w:rsid w:val="00BE3BB0"/>
    <w:rsid w:val="00BE4623"/>
    <w:rsid w:val="00BE48F3"/>
    <w:rsid w:val="00BE4A0C"/>
    <w:rsid w:val="00BE55D5"/>
    <w:rsid w:val="00BE57B4"/>
    <w:rsid w:val="00BE5D39"/>
    <w:rsid w:val="00BE7B02"/>
    <w:rsid w:val="00BF1BD0"/>
    <w:rsid w:val="00BF2578"/>
    <w:rsid w:val="00BF33D9"/>
    <w:rsid w:val="00BF4624"/>
    <w:rsid w:val="00BF4AE9"/>
    <w:rsid w:val="00BF5798"/>
    <w:rsid w:val="00BF6EAD"/>
    <w:rsid w:val="00C03656"/>
    <w:rsid w:val="00C04599"/>
    <w:rsid w:val="00C04B15"/>
    <w:rsid w:val="00C04FF5"/>
    <w:rsid w:val="00C052C9"/>
    <w:rsid w:val="00C05442"/>
    <w:rsid w:val="00C07556"/>
    <w:rsid w:val="00C076D0"/>
    <w:rsid w:val="00C07C5A"/>
    <w:rsid w:val="00C07E46"/>
    <w:rsid w:val="00C128AD"/>
    <w:rsid w:val="00C12BA7"/>
    <w:rsid w:val="00C1420B"/>
    <w:rsid w:val="00C14335"/>
    <w:rsid w:val="00C14428"/>
    <w:rsid w:val="00C16FC4"/>
    <w:rsid w:val="00C2051C"/>
    <w:rsid w:val="00C21B89"/>
    <w:rsid w:val="00C221CB"/>
    <w:rsid w:val="00C25B18"/>
    <w:rsid w:val="00C25E54"/>
    <w:rsid w:val="00C265E5"/>
    <w:rsid w:val="00C27B7A"/>
    <w:rsid w:val="00C300E4"/>
    <w:rsid w:val="00C30D53"/>
    <w:rsid w:val="00C31A95"/>
    <w:rsid w:val="00C33B8E"/>
    <w:rsid w:val="00C35899"/>
    <w:rsid w:val="00C35C7C"/>
    <w:rsid w:val="00C3673D"/>
    <w:rsid w:val="00C3767E"/>
    <w:rsid w:val="00C41A36"/>
    <w:rsid w:val="00C435E9"/>
    <w:rsid w:val="00C4393E"/>
    <w:rsid w:val="00C439DB"/>
    <w:rsid w:val="00C43FCC"/>
    <w:rsid w:val="00C4529D"/>
    <w:rsid w:val="00C45F98"/>
    <w:rsid w:val="00C46355"/>
    <w:rsid w:val="00C464B8"/>
    <w:rsid w:val="00C5300B"/>
    <w:rsid w:val="00C537CA"/>
    <w:rsid w:val="00C53BA1"/>
    <w:rsid w:val="00C53EA3"/>
    <w:rsid w:val="00C57399"/>
    <w:rsid w:val="00C57AF1"/>
    <w:rsid w:val="00C60FD6"/>
    <w:rsid w:val="00C613DD"/>
    <w:rsid w:val="00C616BC"/>
    <w:rsid w:val="00C6178A"/>
    <w:rsid w:val="00C61796"/>
    <w:rsid w:val="00C61998"/>
    <w:rsid w:val="00C63016"/>
    <w:rsid w:val="00C63B05"/>
    <w:rsid w:val="00C64A26"/>
    <w:rsid w:val="00C66628"/>
    <w:rsid w:val="00C70999"/>
    <w:rsid w:val="00C7101E"/>
    <w:rsid w:val="00C718FB"/>
    <w:rsid w:val="00C7190D"/>
    <w:rsid w:val="00C72620"/>
    <w:rsid w:val="00C72958"/>
    <w:rsid w:val="00C744A7"/>
    <w:rsid w:val="00C77BDA"/>
    <w:rsid w:val="00C77E25"/>
    <w:rsid w:val="00C801D9"/>
    <w:rsid w:val="00C81C1A"/>
    <w:rsid w:val="00C841B7"/>
    <w:rsid w:val="00C853B3"/>
    <w:rsid w:val="00C85613"/>
    <w:rsid w:val="00C86C40"/>
    <w:rsid w:val="00C870CD"/>
    <w:rsid w:val="00C874C6"/>
    <w:rsid w:val="00C8785A"/>
    <w:rsid w:val="00C907F3"/>
    <w:rsid w:val="00C91527"/>
    <w:rsid w:val="00C916AD"/>
    <w:rsid w:val="00C9666D"/>
    <w:rsid w:val="00C967E3"/>
    <w:rsid w:val="00CA0084"/>
    <w:rsid w:val="00CA138A"/>
    <w:rsid w:val="00CA329E"/>
    <w:rsid w:val="00CA52EE"/>
    <w:rsid w:val="00CA5F9A"/>
    <w:rsid w:val="00CB0DE5"/>
    <w:rsid w:val="00CB1779"/>
    <w:rsid w:val="00CB1BEC"/>
    <w:rsid w:val="00CB1CE7"/>
    <w:rsid w:val="00CB24E9"/>
    <w:rsid w:val="00CB2D62"/>
    <w:rsid w:val="00CB47B4"/>
    <w:rsid w:val="00CB49AF"/>
    <w:rsid w:val="00CB6260"/>
    <w:rsid w:val="00CB6E9E"/>
    <w:rsid w:val="00CB753E"/>
    <w:rsid w:val="00CB7A58"/>
    <w:rsid w:val="00CC1701"/>
    <w:rsid w:val="00CC2219"/>
    <w:rsid w:val="00CC50AA"/>
    <w:rsid w:val="00CC5657"/>
    <w:rsid w:val="00CC57D3"/>
    <w:rsid w:val="00CD03FE"/>
    <w:rsid w:val="00CD1013"/>
    <w:rsid w:val="00CD4CC1"/>
    <w:rsid w:val="00CD777E"/>
    <w:rsid w:val="00CE1233"/>
    <w:rsid w:val="00CE12D5"/>
    <w:rsid w:val="00CE1CBB"/>
    <w:rsid w:val="00CE1D82"/>
    <w:rsid w:val="00CE1EB2"/>
    <w:rsid w:val="00CE3347"/>
    <w:rsid w:val="00CE37DF"/>
    <w:rsid w:val="00CE5530"/>
    <w:rsid w:val="00CE5D08"/>
    <w:rsid w:val="00CE61D0"/>
    <w:rsid w:val="00CE6E9D"/>
    <w:rsid w:val="00CE7551"/>
    <w:rsid w:val="00CF09C8"/>
    <w:rsid w:val="00CF0F8A"/>
    <w:rsid w:val="00CF24C9"/>
    <w:rsid w:val="00CF46F8"/>
    <w:rsid w:val="00D011A4"/>
    <w:rsid w:val="00D019CD"/>
    <w:rsid w:val="00D03357"/>
    <w:rsid w:val="00D04628"/>
    <w:rsid w:val="00D04FD7"/>
    <w:rsid w:val="00D0528F"/>
    <w:rsid w:val="00D0539A"/>
    <w:rsid w:val="00D058D4"/>
    <w:rsid w:val="00D07109"/>
    <w:rsid w:val="00D105B0"/>
    <w:rsid w:val="00D107E2"/>
    <w:rsid w:val="00D10A62"/>
    <w:rsid w:val="00D10D3C"/>
    <w:rsid w:val="00D11A43"/>
    <w:rsid w:val="00D11E05"/>
    <w:rsid w:val="00D12197"/>
    <w:rsid w:val="00D124B6"/>
    <w:rsid w:val="00D125A6"/>
    <w:rsid w:val="00D13EA4"/>
    <w:rsid w:val="00D14992"/>
    <w:rsid w:val="00D14CE5"/>
    <w:rsid w:val="00D14D55"/>
    <w:rsid w:val="00D167BD"/>
    <w:rsid w:val="00D168C4"/>
    <w:rsid w:val="00D16FAD"/>
    <w:rsid w:val="00D24CF8"/>
    <w:rsid w:val="00D24E7B"/>
    <w:rsid w:val="00D25D1A"/>
    <w:rsid w:val="00D27E0D"/>
    <w:rsid w:val="00D27E3E"/>
    <w:rsid w:val="00D31837"/>
    <w:rsid w:val="00D3262A"/>
    <w:rsid w:val="00D32A03"/>
    <w:rsid w:val="00D33AE3"/>
    <w:rsid w:val="00D34010"/>
    <w:rsid w:val="00D34411"/>
    <w:rsid w:val="00D36C8E"/>
    <w:rsid w:val="00D3741A"/>
    <w:rsid w:val="00D405C3"/>
    <w:rsid w:val="00D420F7"/>
    <w:rsid w:val="00D43E4E"/>
    <w:rsid w:val="00D44982"/>
    <w:rsid w:val="00D44C1E"/>
    <w:rsid w:val="00D455B3"/>
    <w:rsid w:val="00D45B26"/>
    <w:rsid w:val="00D53BC0"/>
    <w:rsid w:val="00D53FE5"/>
    <w:rsid w:val="00D5593F"/>
    <w:rsid w:val="00D563B4"/>
    <w:rsid w:val="00D56BB6"/>
    <w:rsid w:val="00D56C87"/>
    <w:rsid w:val="00D5792D"/>
    <w:rsid w:val="00D60154"/>
    <w:rsid w:val="00D60696"/>
    <w:rsid w:val="00D61E48"/>
    <w:rsid w:val="00D627CD"/>
    <w:rsid w:val="00D66C3B"/>
    <w:rsid w:val="00D71AF7"/>
    <w:rsid w:val="00D71E0D"/>
    <w:rsid w:val="00D72321"/>
    <w:rsid w:val="00D7389A"/>
    <w:rsid w:val="00D752CA"/>
    <w:rsid w:val="00D758D9"/>
    <w:rsid w:val="00D75D5C"/>
    <w:rsid w:val="00D763E4"/>
    <w:rsid w:val="00D77907"/>
    <w:rsid w:val="00D80171"/>
    <w:rsid w:val="00D805FC"/>
    <w:rsid w:val="00D80DF5"/>
    <w:rsid w:val="00D81376"/>
    <w:rsid w:val="00D82378"/>
    <w:rsid w:val="00D83AA6"/>
    <w:rsid w:val="00D83F30"/>
    <w:rsid w:val="00D85085"/>
    <w:rsid w:val="00D858A8"/>
    <w:rsid w:val="00D92D50"/>
    <w:rsid w:val="00D92F5D"/>
    <w:rsid w:val="00D93500"/>
    <w:rsid w:val="00D94461"/>
    <w:rsid w:val="00D9518D"/>
    <w:rsid w:val="00DA018B"/>
    <w:rsid w:val="00DA185B"/>
    <w:rsid w:val="00DA20DD"/>
    <w:rsid w:val="00DA269C"/>
    <w:rsid w:val="00DA30F1"/>
    <w:rsid w:val="00DA4CE8"/>
    <w:rsid w:val="00DA5D70"/>
    <w:rsid w:val="00DA646A"/>
    <w:rsid w:val="00DA6BC9"/>
    <w:rsid w:val="00DA6DF7"/>
    <w:rsid w:val="00DA7458"/>
    <w:rsid w:val="00DB0ACE"/>
    <w:rsid w:val="00DB2702"/>
    <w:rsid w:val="00DB341D"/>
    <w:rsid w:val="00DB5F81"/>
    <w:rsid w:val="00DB7965"/>
    <w:rsid w:val="00DB7E18"/>
    <w:rsid w:val="00DB7E61"/>
    <w:rsid w:val="00DC12F5"/>
    <w:rsid w:val="00DC2457"/>
    <w:rsid w:val="00DC34C6"/>
    <w:rsid w:val="00DC4AEE"/>
    <w:rsid w:val="00DC5166"/>
    <w:rsid w:val="00DC55CC"/>
    <w:rsid w:val="00DD0196"/>
    <w:rsid w:val="00DD090C"/>
    <w:rsid w:val="00DD090F"/>
    <w:rsid w:val="00DD0E86"/>
    <w:rsid w:val="00DD1439"/>
    <w:rsid w:val="00DD1619"/>
    <w:rsid w:val="00DD1975"/>
    <w:rsid w:val="00DD2E6A"/>
    <w:rsid w:val="00DD2F16"/>
    <w:rsid w:val="00DD35C6"/>
    <w:rsid w:val="00DD5216"/>
    <w:rsid w:val="00DD5712"/>
    <w:rsid w:val="00DD591F"/>
    <w:rsid w:val="00DD67EA"/>
    <w:rsid w:val="00DD7D7B"/>
    <w:rsid w:val="00DE279B"/>
    <w:rsid w:val="00DE29BA"/>
    <w:rsid w:val="00DE3190"/>
    <w:rsid w:val="00DE387F"/>
    <w:rsid w:val="00DE3C6A"/>
    <w:rsid w:val="00DE66FA"/>
    <w:rsid w:val="00DE704E"/>
    <w:rsid w:val="00DF07F8"/>
    <w:rsid w:val="00DF189E"/>
    <w:rsid w:val="00DF28C1"/>
    <w:rsid w:val="00DF348A"/>
    <w:rsid w:val="00DF3A07"/>
    <w:rsid w:val="00DF4D36"/>
    <w:rsid w:val="00DF60F0"/>
    <w:rsid w:val="00DF65DC"/>
    <w:rsid w:val="00DF6D71"/>
    <w:rsid w:val="00DF6FE2"/>
    <w:rsid w:val="00DF7383"/>
    <w:rsid w:val="00E010EE"/>
    <w:rsid w:val="00E01810"/>
    <w:rsid w:val="00E02234"/>
    <w:rsid w:val="00E025EF"/>
    <w:rsid w:val="00E03427"/>
    <w:rsid w:val="00E03E5A"/>
    <w:rsid w:val="00E04390"/>
    <w:rsid w:val="00E04B13"/>
    <w:rsid w:val="00E04D83"/>
    <w:rsid w:val="00E04F77"/>
    <w:rsid w:val="00E05936"/>
    <w:rsid w:val="00E062EB"/>
    <w:rsid w:val="00E0690A"/>
    <w:rsid w:val="00E07418"/>
    <w:rsid w:val="00E07A02"/>
    <w:rsid w:val="00E1006B"/>
    <w:rsid w:val="00E11EE5"/>
    <w:rsid w:val="00E1334B"/>
    <w:rsid w:val="00E13644"/>
    <w:rsid w:val="00E13B22"/>
    <w:rsid w:val="00E147D9"/>
    <w:rsid w:val="00E1484B"/>
    <w:rsid w:val="00E1495D"/>
    <w:rsid w:val="00E160AC"/>
    <w:rsid w:val="00E16166"/>
    <w:rsid w:val="00E17B28"/>
    <w:rsid w:val="00E20B92"/>
    <w:rsid w:val="00E2500D"/>
    <w:rsid w:val="00E25A5B"/>
    <w:rsid w:val="00E25CE7"/>
    <w:rsid w:val="00E26DAE"/>
    <w:rsid w:val="00E27163"/>
    <w:rsid w:val="00E300D5"/>
    <w:rsid w:val="00E302D8"/>
    <w:rsid w:val="00E30702"/>
    <w:rsid w:val="00E34861"/>
    <w:rsid w:val="00E361A1"/>
    <w:rsid w:val="00E3730C"/>
    <w:rsid w:val="00E409EF"/>
    <w:rsid w:val="00E409F6"/>
    <w:rsid w:val="00E41F79"/>
    <w:rsid w:val="00E4210B"/>
    <w:rsid w:val="00E42658"/>
    <w:rsid w:val="00E42D32"/>
    <w:rsid w:val="00E42D3B"/>
    <w:rsid w:val="00E44941"/>
    <w:rsid w:val="00E44D88"/>
    <w:rsid w:val="00E45E91"/>
    <w:rsid w:val="00E468F3"/>
    <w:rsid w:val="00E47911"/>
    <w:rsid w:val="00E501AA"/>
    <w:rsid w:val="00E51080"/>
    <w:rsid w:val="00E521AB"/>
    <w:rsid w:val="00E52D36"/>
    <w:rsid w:val="00E5562D"/>
    <w:rsid w:val="00E57720"/>
    <w:rsid w:val="00E5797D"/>
    <w:rsid w:val="00E607C2"/>
    <w:rsid w:val="00E610E5"/>
    <w:rsid w:val="00E633CB"/>
    <w:rsid w:val="00E63412"/>
    <w:rsid w:val="00E640FA"/>
    <w:rsid w:val="00E6447E"/>
    <w:rsid w:val="00E66BD7"/>
    <w:rsid w:val="00E67AE7"/>
    <w:rsid w:val="00E703DC"/>
    <w:rsid w:val="00E70C94"/>
    <w:rsid w:val="00E71200"/>
    <w:rsid w:val="00E71AF9"/>
    <w:rsid w:val="00E71E9F"/>
    <w:rsid w:val="00E72000"/>
    <w:rsid w:val="00E72A69"/>
    <w:rsid w:val="00E73BBC"/>
    <w:rsid w:val="00E80972"/>
    <w:rsid w:val="00E81186"/>
    <w:rsid w:val="00E81444"/>
    <w:rsid w:val="00E814A5"/>
    <w:rsid w:val="00E8188B"/>
    <w:rsid w:val="00E81A1D"/>
    <w:rsid w:val="00E821E6"/>
    <w:rsid w:val="00E82975"/>
    <w:rsid w:val="00E83110"/>
    <w:rsid w:val="00E86480"/>
    <w:rsid w:val="00E86504"/>
    <w:rsid w:val="00E86695"/>
    <w:rsid w:val="00E86EEB"/>
    <w:rsid w:val="00E901B9"/>
    <w:rsid w:val="00E909A7"/>
    <w:rsid w:val="00E90BFE"/>
    <w:rsid w:val="00E930DD"/>
    <w:rsid w:val="00E930F2"/>
    <w:rsid w:val="00E95361"/>
    <w:rsid w:val="00E9606E"/>
    <w:rsid w:val="00E9779D"/>
    <w:rsid w:val="00EA02C7"/>
    <w:rsid w:val="00EA183D"/>
    <w:rsid w:val="00EA1A5F"/>
    <w:rsid w:val="00EA1C3A"/>
    <w:rsid w:val="00EA21F4"/>
    <w:rsid w:val="00EA4757"/>
    <w:rsid w:val="00EA482A"/>
    <w:rsid w:val="00EA6690"/>
    <w:rsid w:val="00EA6870"/>
    <w:rsid w:val="00EA75E6"/>
    <w:rsid w:val="00EA7CF9"/>
    <w:rsid w:val="00EB046C"/>
    <w:rsid w:val="00EB4B80"/>
    <w:rsid w:val="00EB525F"/>
    <w:rsid w:val="00EB7590"/>
    <w:rsid w:val="00EC0C51"/>
    <w:rsid w:val="00EC10C1"/>
    <w:rsid w:val="00EC1560"/>
    <w:rsid w:val="00EC2148"/>
    <w:rsid w:val="00EC256C"/>
    <w:rsid w:val="00EC26C9"/>
    <w:rsid w:val="00EC3750"/>
    <w:rsid w:val="00EC3C74"/>
    <w:rsid w:val="00EC3C80"/>
    <w:rsid w:val="00EC3EF2"/>
    <w:rsid w:val="00EC4158"/>
    <w:rsid w:val="00EC41FE"/>
    <w:rsid w:val="00EC4453"/>
    <w:rsid w:val="00EC4A4F"/>
    <w:rsid w:val="00EC55CD"/>
    <w:rsid w:val="00ED03A1"/>
    <w:rsid w:val="00ED075C"/>
    <w:rsid w:val="00ED336F"/>
    <w:rsid w:val="00ED4921"/>
    <w:rsid w:val="00ED4F72"/>
    <w:rsid w:val="00ED51BE"/>
    <w:rsid w:val="00ED734E"/>
    <w:rsid w:val="00ED7B71"/>
    <w:rsid w:val="00EE01C6"/>
    <w:rsid w:val="00EE0870"/>
    <w:rsid w:val="00EE0A06"/>
    <w:rsid w:val="00EE0C65"/>
    <w:rsid w:val="00EE1EE9"/>
    <w:rsid w:val="00EE1F76"/>
    <w:rsid w:val="00EE392C"/>
    <w:rsid w:val="00EE4299"/>
    <w:rsid w:val="00EE5D26"/>
    <w:rsid w:val="00EE6658"/>
    <w:rsid w:val="00EE70A9"/>
    <w:rsid w:val="00EF09EC"/>
    <w:rsid w:val="00EF132C"/>
    <w:rsid w:val="00EF2529"/>
    <w:rsid w:val="00EF396D"/>
    <w:rsid w:val="00EF4DB4"/>
    <w:rsid w:val="00EF64CD"/>
    <w:rsid w:val="00EF6603"/>
    <w:rsid w:val="00EF71FC"/>
    <w:rsid w:val="00F00E79"/>
    <w:rsid w:val="00F01341"/>
    <w:rsid w:val="00F01DEA"/>
    <w:rsid w:val="00F037D2"/>
    <w:rsid w:val="00F03872"/>
    <w:rsid w:val="00F03CD1"/>
    <w:rsid w:val="00F04022"/>
    <w:rsid w:val="00F052FB"/>
    <w:rsid w:val="00F0648F"/>
    <w:rsid w:val="00F065AF"/>
    <w:rsid w:val="00F11730"/>
    <w:rsid w:val="00F12265"/>
    <w:rsid w:val="00F12690"/>
    <w:rsid w:val="00F12A40"/>
    <w:rsid w:val="00F12B60"/>
    <w:rsid w:val="00F12F6E"/>
    <w:rsid w:val="00F15681"/>
    <w:rsid w:val="00F1674B"/>
    <w:rsid w:val="00F17224"/>
    <w:rsid w:val="00F17EE5"/>
    <w:rsid w:val="00F20578"/>
    <w:rsid w:val="00F2065B"/>
    <w:rsid w:val="00F20F8B"/>
    <w:rsid w:val="00F212A9"/>
    <w:rsid w:val="00F214B3"/>
    <w:rsid w:val="00F2177B"/>
    <w:rsid w:val="00F229F4"/>
    <w:rsid w:val="00F2425F"/>
    <w:rsid w:val="00F250E2"/>
    <w:rsid w:val="00F2536F"/>
    <w:rsid w:val="00F254FC"/>
    <w:rsid w:val="00F258FB"/>
    <w:rsid w:val="00F25EEF"/>
    <w:rsid w:val="00F273D9"/>
    <w:rsid w:val="00F27511"/>
    <w:rsid w:val="00F31A03"/>
    <w:rsid w:val="00F31CBC"/>
    <w:rsid w:val="00F31DAD"/>
    <w:rsid w:val="00F32151"/>
    <w:rsid w:val="00F32428"/>
    <w:rsid w:val="00F335B7"/>
    <w:rsid w:val="00F3585E"/>
    <w:rsid w:val="00F35A65"/>
    <w:rsid w:val="00F3639F"/>
    <w:rsid w:val="00F36DE0"/>
    <w:rsid w:val="00F40101"/>
    <w:rsid w:val="00F40CF4"/>
    <w:rsid w:val="00F41726"/>
    <w:rsid w:val="00F4183C"/>
    <w:rsid w:val="00F4195E"/>
    <w:rsid w:val="00F41FD6"/>
    <w:rsid w:val="00F438A7"/>
    <w:rsid w:val="00F43915"/>
    <w:rsid w:val="00F440C8"/>
    <w:rsid w:val="00F44149"/>
    <w:rsid w:val="00F44CAC"/>
    <w:rsid w:val="00F45676"/>
    <w:rsid w:val="00F45AA0"/>
    <w:rsid w:val="00F46C98"/>
    <w:rsid w:val="00F479FD"/>
    <w:rsid w:val="00F47C74"/>
    <w:rsid w:val="00F50968"/>
    <w:rsid w:val="00F50DF2"/>
    <w:rsid w:val="00F5126B"/>
    <w:rsid w:val="00F54276"/>
    <w:rsid w:val="00F55E6A"/>
    <w:rsid w:val="00F604F3"/>
    <w:rsid w:val="00F614C1"/>
    <w:rsid w:val="00F63644"/>
    <w:rsid w:val="00F639FF"/>
    <w:rsid w:val="00F64DF6"/>
    <w:rsid w:val="00F650D3"/>
    <w:rsid w:val="00F65235"/>
    <w:rsid w:val="00F65237"/>
    <w:rsid w:val="00F656F3"/>
    <w:rsid w:val="00F711FE"/>
    <w:rsid w:val="00F72A54"/>
    <w:rsid w:val="00F73618"/>
    <w:rsid w:val="00F7386E"/>
    <w:rsid w:val="00F738DE"/>
    <w:rsid w:val="00F73BEF"/>
    <w:rsid w:val="00F74970"/>
    <w:rsid w:val="00F769F9"/>
    <w:rsid w:val="00F76DE9"/>
    <w:rsid w:val="00F80DF7"/>
    <w:rsid w:val="00F8391E"/>
    <w:rsid w:val="00F84BEE"/>
    <w:rsid w:val="00F85F18"/>
    <w:rsid w:val="00F860A9"/>
    <w:rsid w:val="00F91B36"/>
    <w:rsid w:val="00F94277"/>
    <w:rsid w:val="00F94A4D"/>
    <w:rsid w:val="00F94FDB"/>
    <w:rsid w:val="00F972D0"/>
    <w:rsid w:val="00F975B7"/>
    <w:rsid w:val="00F97CB7"/>
    <w:rsid w:val="00F97FBF"/>
    <w:rsid w:val="00FA10B0"/>
    <w:rsid w:val="00FA1479"/>
    <w:rsid w:val="00FA149E"/>
    <w:rsid w:val="00FA21ED"/>
    <w:rsid w:val="00FA3B7A"/>
    <w:rsid w:val="00FA4143"/>
    <w:rsid w:val="00FA618C"/>
    <w:rsid w:val="00FA782A"/>
    <w:rsid w:val="00FA7E9E"/>
    <w:rsid w:val="00FB18DC"/>
    <w:rsid w:val="00FB2601"/>
    <w:rsid w:val="00FB33EC"/>
    <w:rsid w:val="00FB429E"/>
    <w:rsid w:val="00FC0D6F"/>
    <w:rsid w:val="00FC112F"/>
    <w:rsid w:val="00FC1713"/>
    <w:rsid w:val="00FC1AA5"/>
    <w:rsid w:val="00FC3058"/>
    <w:rsid w:val="00FC36B9"/>
    <w:rsid w:val="00FC51AB"/>
    <w:rsid w:val="00FC5331"/>
    <w:rsid w:val="00FC6452"/>
    <w:rsid w:val="00FC6E26"/>
    <w:rsid w:val="00FC6F72"/>
    <w:rsid w:val="00FD0761"/>
    <w:rsid w:val="00FD368E"/>
    <w:rsid w:val="00FD4E7C"/>
    <w:rsid w:val="00FD53C1"/>
    <w:rsid w:val="00FD6231"/>
    <w:rsid w:val="00FD6514"/>
    <w:rsid w:val="00FD6531"/>
    <w:rsid w:val="00FD688B"/>
    <w:rsid w:val="00FD7607"/>
    <w:rsid w:val="00FE062F"/>
    <w:rsid w:val="00FE0F1E"/>
    <w:rsid w:val="00FE0F44"/>
    <w:rsid w:val="00FE254E"/>
    <w:rsid w:val="00FE2E36"/>
    <w:rsid w:val="00FE3D1A"/>
    <w:rsid w:val="00FE44DC"/>
    <w:rsid w:val="00FE6167"/>
    <w:rsid w:val="00FE63E9"/>
    <w:rsid w:val="00FF03DE"/>
    <w:rsid w:val="00FF1EE4"/>
    <w:rsid w:val="00FF3D0C"/>
    <w:rsid w:val="00FF4414"/>
    <w:rsid w:val="00FF564B"/>
    <w:rsid w:val="011AC1EA"/>
    <w:rsid w:val="0171E39A"/>
    <w:rsid w:val="018EEFD9"/>
    <w:rsid w:val="04087BF3"/>
    <w:rsid w:val="0430A492"/>
    <w:rsid w:val="04B5D128"/>
    <w:rsid w:val="0606DFD8"/>
    <w:rsid w:val="0688F746"/>
    <w:rsid w:val="06E390D3"/>
    <w:rsid w:val="07ACA052"/>
    <w:rsid w:val="07DEB494"/>
    <w:rsid w:val="0B1F57CC"/>
    <w:rsid w:val="0CB0AEF7"/>
    <w:rsid w:val="0D5D3D85"/>
    <w:rsid w:val="0E4C0415"/>
    <w:rsid w:val="0E9A508F"/>
    <w:rsid w:val="0F626375"/>
    <w:rsid w:val="100CFAB5"/>
    <w:rsid w:val="10271887"/>
    <w:rsid w:val="10B8BF2E"/>
    <w:rsid w:val="11F16E17"/>
    <w:rsid w:val="11F2A833"/>
    <w:rsid w:val="1390C2C1"/>
    <w:rsid w:val="145AE6DB"/>
    <w:rsid w:val="14699FFC"/>
    <w:rsid w:val="156E5F10"/>
    <w:rsid w:val="1819F6C0"/>
    <w:rsid w:val="1995B1A3"/>
    <w:rsid w:val="1A7CE65B"/>
    <w:rsid w:val="1BEF62CD"/>
    <w:rsid w:val="1CAF192F"/>
    <w:rsid w:val="1D770C98"/>
    <w:rsid w:val="1DCAC17F"/>
    <w:rsid w:val="1DD01CE7"/>
    <w:rsid w:val="1DD9B107"/>
    <w:rsid w:val="1E657865"/>
    <w:rsid w:val="1E85DA81"/>
    <w:rsid w:val="1FDC9DDD"/>
    <w:rsid w:val="203CE176"/>
    <w:rsid w:val="20BEA6BB"/>
    <w:rsid w:val="21A47E9D"/>
    <w:rsid w:val="21E51C33"/>
    <w:rsid w:val="21FF442D"/>
    <w:rsid w:val="23207B81"/>
    <w:rsid w:val="2328F617"/>
    <w:rsid w:val="2331B658"/>
    <w:rsid w:val="2352D1BB"/>
    <w:rsid w:val="239F56E2"/>
    <w:rsid w:val="245E7525"/>
    <w:rsid w:val="2480DC47"/>
    <w:rsid w:val="2540F776"/>
    <w:rsid w:val="25D81DF3"/>
    <w:rsid w:val="263796C5"/>
    <w:rsid w:val="28584206"/>
    <w:rsid w:val="2A10CDC3"/>
    <w:rsid w:val="2A3F4C0E"/>
    <w:rsid w:val="2B541502"/>
    <w:rsid w:val="2CA14593"/>
    <w:rsid w:val="2CE502FA"/>
    <w:rsid w:val="2DB5363C"/>
    <w:rsid w:val="2EF16596"/>
    <w:rsid w:val="2F6C85C0"/>
    <w:rsid w:val="379BC776"/>
    <w:rsid w:val="3807B612"/>
    <w:rsid w:val="383516F8"/>
    <w:rsid w:val="3A0537A7"/>
    <w:rsid w:val="3A47F059"/>
    <w:rsid w:val="3DD14F1C"/>
    <w:rsid w:val="40A4ECF0"/>
    <w:rsid w:val="40D03BCA"/>
    <w:rsid w:val="4187C0A7"/>
    <w:rsid w:val="41F49F07"/>
    <w:rsid w:val="420A8BA7"/>
    <w:rsid w:val="432E83FB"/>
    <w:rsid w:val="43A27951"/>
    <w:rsid w:val="4416DFE4"/>
    <w:rsid w:val="44524936"/>
    <w:rsid w:val="47EC6C52"/>
    <w:rsid w:val="49251ED1"/>
    <w:rsid w:val="498897F8"/>
    <w:rsid w:val="4AE16B34"/>
    <w:rsid w:val="4B1CF6A0"/>
    <w:rsid w:val="4C7AF03E"/>
    <w:rsid w:val="4CE238AE"/>
    <w:rsid w:val="4D9A7838"/>
    <w:rsid w:val="501D17EB"/>
    <w:rsid w:val="5028E095"/>
    <w:rsid w:val="50FD48DA"/>
    <w:rsid w:val="52098432"/>
    <w:rsid w:val="52755AEC"/>
    <w:rsid w:val="53217355"/>
    <w:rsid w:val="53958E41"/>
    <w:rsid w:val="559CC9BA"/>
    <w:rsid w:val="5897C27A"/>
    <w:rsid w:val="58AC08BB"/>
    <w:rsid w:val="5918B3C8"/>
    <w:rsid w:val="59D9B7BD"/>
    <w:rsid w:val="5A4872F2"/>
    <w:rsid w:val="5AA9F511"/>
    <w:rsid w:val="5B21B33D"/>
    <w:rsid w:val="5BF90979"/>
    <w:rsid w:val="5C366C57"/>
    <w:rsid w:val="5DB9305E"/>
    <w:rsid w:val="5DFF30E9"/>
    <w:rsid w:val="5EC510A1"/>
    <w:rsid w:val="60B2E4D8"/>
    <w:rsid w:val="61A786CA"/>
    <w:rsid w:val="61E5467E"/>
    <w:rsid w:val="62B6EACD"/>
    <w:rsid w:val="6417F2F2"/>
    <w:rsid w:val="64A39C09"/>
    <w:rsid w:val="65321309"/>
    <w:rsid w:val="66ED5AF7"/>
    <w:rsid w:val="67C9641B"/>
    <w:rsid w:val="69781D5B"/>
    <w:rsid w:val="6A321753"/>
    <w:rsid w:val="6AF9B453"/>
    <w:rsid w:val="6C6F264F"/>
    <w:rsid w:val="6D4FA045"/>
    <w:rsid w:val="6D63DAC9"/>
    <w:rsid w:val="6ED051A0"/>
    <w:rsid w:val="6F0D823E"/>
    <w:rsid w:val="6F40E6FF"/>
    <w:rsid w:val="71606061"/>
    <w:rsid w:val="72938BC4"/>
    <w:rsid w:val="72FF2B85"/>
    <w:rsid w:val="7362BDD1"/>
    <w:rsid w:val="7815EFB9"/>
    <w:rsid w:val="78FA66A2"/>
    <w:rsid w:val="79E1733E"/>
    <w:rsid w:val="7B75F8E1"/>
    <w:rsid w:val="7B9F8F07"/>
    <w:rsid w:val="7CDA35F2"/>
    <w:rsid w:val="7D020208"/>
    <w:rsid w:val="7DCE50E5"/>
    <w:rsid w:val="7E180229"/>
    <w:rsid w:val="7F1A25EF"/>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14A504"/>
  <w15:chartTrackingRefBased/>
  <w15:docId w15:val="{A90B887D-921D-4556-B1F2-77DD67CD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840B3"/>
    <w:pPr>
      <w:spacing w:after="120" w:line="24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D1A32"/>
    <w:pPr>
      <w:keepNext/>
      <w:keepLines/>
      <w:numPr>
        <w:numId w:val="22"/>
      </w:numPr>
      <w:spacing w:before="240"/>
      <w:outlineLvl w:val="0"/>
    </w:pPr>
    <w:rPr>
      <w:rFonts w:ascii="Arial" w:eastAsiaTheme="majorEastAsia" w:hAnsi="Arial" w:cstheme="majorBidi"/>
      <w:b/>
      <w:caps/>
      <w:color w:val="000000" w:themeColor="text1"/>
      <w:sz w:val="28"/>
      <w:szCs w:val="32"/>
    </w:rPr>
  </w:style>
  <w:style w:type="paragraph" w:styleId="Heading2">
    <w:name w:val="heading 2"/>
    <w:basedOn w:val="Normal"/>
    <w:next w:val="Normal"/>
    <w:link w:val="Heading2Char"/>
    <w:uiPriority w:val="9"/>
    <w:unhideWhenUsed/>
    <w:qFormat/>
    <w:rsid w:val="00294A9F"/>
    <w:pPr>
      <w:keepNext/>
      <w:keepLines/>
      <w:numPr>
        <w:ilvl w:val="1"/>
        <w:numId w:val="22"/>
      </w:numPr>
      <w:spacing w:before="240"/>
      <w:ind w:left="578" w:hanging="578"/>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FD368E"/>
    <w:pPr>
      <w:keepNext/>
      <w:keepLines/>
      <w:numPr>
        <w:ilvl w:val="2"/>
        <w:numId w:val="22"/>
      </w:numPr>
      <w:spacing w:before="240"/>
      <w:outlineLvl w:val="2"/>
    </w:pPr>
    <w:rPr>
      <w:rFonts w:ascii="Arial" w:eastAsiaTheme="majorEastAsia" w:hAnsi="Arial" w:cstheme="majorBidi"/>
      <w:b/>
      <w:color w:val="000000" w:themeColor="text1"/>
      <w:sz w:val="22"/>
    </w:rPr>
  </w:style>
  <w:style w:type="paragraph" w:styleId="Heading4">
    <w:name w:val="heading 4"/>
    <w:basedOn w:val="Normal"/>
    <w:next w:val="Normal"/>
    <w:link w:val="Heading4Char"/>
    <w:uiPriority w:val="9"/>
    <w:unhideWhenUsed/>
    <w:qFormat/>
    <w:rsid w:val="00BD1A32"/>
    <w:pPr>
      <w:keepNext/>
      <w:keepLines/>
      <w:numPr>
        <w:ilvl w:val="3"/>
        <w:numId w:val="22"/>
      </w:numPr>
      <w:spacing w:before="40" w:after="0"/>
      <w:outlineLvl w:val="3"/>
    </w:pPr>
    <w:rPr>
      <w:rFonts w:ascii="Arial" w:eastAsiaTheme="majorEastAsia" w:hAnsi="Arial" w:cstheme="majorBidi"/>
      <w:b/>
      <w:i/>
      <w:iCs/>
      <w:color w:val="000000" w:themeColor="text1"/>
      <w:sz w:val="22"/>
    </w:rPr>
  </w:style>
  <w:style w:type="paragraph" w:styleId="Heading5">
    <w:name w:val="heading 5"/>
    <w:basedOn w:val="Normal"/>
    <w:next w:val="Normal"/>
    <w:link w:val="Heading5Char"/>
    <w:uiPriority w:val="9"/>
    <w:unhideWhenUsed/>
    <w:qFormat/>
    <w:rsid w:val="00BD1A32"/>
    <w:pPr>
      <w:keepNext/>
      <w:keepLines/>
      <w:numPr>
        <w:ilvl w:val="4"/>
        <w:numId w:val="22"/>
      </w:numPr>
      <w:spacing w:before="40" w:after="0"/>
      <w:outlineLvl w:val="4"/>
    </w:pPr>
    <w:rPr>
      <w:rFonts w:ascii="Arial" w:eastAsiaTheme="majorEastAsia" w:hAnsi="Arial" w:cstheme="majorBidi"/>
      <w:b/>
      <w:color w:val="000000" w:themeColor="text1"/>
      <w:sz w:val="22"/>
    </w:rPr>
  </w:style>
  <w:style w:type="paragraph" w:styleId="Heading6">
    <w:name w:val="heading 6"/>
    <w:basedOn w:val="Normal"/>
    <w:next w:val="Normal"/>
    <w:link w:val="Heading6Char"/>
    <w:uiPriority w:val="9"/>
    <w:semiHidden/>
    <w:unhideWhenUsed/>
    <w:qFormat/>
    <w:rsid w:val="00706D80"/>
    <w:pPr>
      <w:keepNext/>
      <w:keepLines/>
      <w:numPr>
        <w:ilvl w:val="5"/>
        <w:numId w:val="2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6D80"/>
    <w:pPr>
      <w:keepNext/>
      <w:keepLines/>
      <w:numPr>
        <w:ilvl w:val="6"/>
        <w:numId w:val="2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6D80"/>
    <w:pPr>
      <w:keepNext/>
      <w:keepLines/>
      <w:numPr>
        <w:ilvl w:val="7"/>
        <w:numId w:val="2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6D80"/>
    <w:pPr>
      <w:keepNext/>
      <w:keepLines/>
      <w:numPr>
        <w:ilvl w:val="8"/>
        <w:numId w:val="2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2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9701D1"/>
    <w:pPr>
      <w:ind w:left="720"/>
      <w:contextualSpacing/>
    </w:pPr>
  </w:style>
  <w:style w:type="paragraph" w:styleId="Header">
    <w:name w:val="header"/>
    <w:basedOn w:val="Normal"/>
    <w:link w:val="HeaderChar"/>
    <w:uiPriority w:val="99"/>
    <w:unhideWhenUsed/>
    <w:rsid w:val="00A576F8"/>
    <w:pPr>
      <w:tabs>
        <w:tab w:val="center" w:pos="4703"/>
        <w:tab w:val="right" w:pos="9406"/>
      </w:tabs>
      <w:spacing w:after="0"/>
    </w:pPr>
  </w:style>
  <w:style w:type="character" w:customStyle="1" w:styleId="HeaderChar">
    <w:name w:val="Header Char"/>
    <w:basedOn w:val="DefaultParagraphFont"/>
    <w:link w:val="Header"/>
    <w:uiPriority w:val="99"/>
    <w:rsid w:val="00A576F8"/>
  </w:style>
  <w:style w:type="paragraph" w:styleId="Footer">
    <w:name w:val="footer"/>
    <w:basedOn w:val="Normal"/>
    <w:link w:val="FooterChar"/>
    <w:uiPriority w:val="99"/>
    <w:unhideWhenUsed/>
    <w:rsid w:val="00A576F8"/>
    <w:pPr>
      <w:tabs>
        <w:tab w:val="center" w:pos="4703"/>
        <w:tab w:val="right" w:pos="9406"/>
      </w:tabs>
      <w:spacing w:after="0"/>
    </w:pPr>
  </w:style>
  <w:style w:type="character" w:customStyle="1" w:styleId="FooterChar">
    <w:name w:val="Footer Char"/>
    <w:basedOn w:val="DefaultParagraphFont"/>
    <w:link w:val="Footer"/>
    <w:uiPriority w:val="99"/>
    <w:rsid w:val="00A576F8"/>
  </w:style>
  <w:style w:type="paragraph" w:styleId="BalloonText">
    <w:name w:val="Balloon Text"/>
    <w:basedOn w:val="Normal"/>
    <w:link w:val="BalloonTextChar"/>
    <w:uiPriority w:val="99"/>
    <w:semiHidden/>
    <w:unhideWhenUsed/>
    <w:rsid w:val="00C128A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8AD"/>
    <w:rPr>
      <w:rFonts w:ascii="Segoe UI" w:hAnsi="Segoe UI" w:cs="Segoe UI"/>
      <w:sz w:val="18"/>
      <w:szCs w:val="18"/>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BD1A32"/>
    <w:rPr>
      <w:rFonts w:ascii="Arial" w:eastAsiaTheme="majorEastAsia" w:hAnsi="Arial" w:cstheme="majorBidi"/>
      <w:b/>
      <w:caps/>
      <w:color w:val="000000" w:themeColor="text1"/>
      <w:sz w:val="28"/>
      <w:szCs w:val="32"/>
      <w:lang w:eastAsia="en-GB"/>
    </w:rPr>
  </w:style>
  <w:style w:type="paragraph" w:styleId="Title">
    <w:name w:val="Title"/>
    <w:basedOn w:val="Normal"/>
    <w:next w:val="Normal"/>
    <w:link w:val="TitleChar"/>
    <w:uiPriority w:val="19"/>
    <w:qFormat/>
    <w:rsid w:val="000840B3"/>
    <w:pPr>
      <w:spacing w:before="240"/>
      <w:contextualSpacing/>
      <w:jc w:val="center"/>
    </w:pPr>
    <w:rPr>
      <w:rFonts w:ascii="Times New Roman Bold" w:eastAsiaTheme="majorEastAsia" w:hAnsi="Times New Roman Bold" w:cstheme="majorBidi"/>
      <w:b/>
      <w:caps/>
      <w:spacing w:val="5"/>
      <w:kern w:val="28"/>
      <w:szCs w:val="52"/>
    </w:rPr>
  </w:style>
  <w:style w:type="character" w:customStyle="1" w:styleId="TitleChar">
    <w:name w:val="Title Char"/>
    <w:basedOn w:val="DefaultParagraphFont"/>
    <w:link w:val="Title"/>
    <w:uiPriority w:val="19"/>
    <w:rsid w:val="000840B3"/>
    <w:rPr>
      <w:rFonts w:ascii="Times New Roman Bold" w:eastAsiaTheme="majorEastAsia" w:hAnsi="Times New Roman Bold" w:cstheme="majorBidi"/>
      <w:b/>
      <w:caps/>
      <w:spacing w:val="5"/>
      <w:kern w:val="28"/>
      <w:sz w:val="24"/>
      <w:szCs w:val="52"/>
      <w:lang w:eastAsia="en-GB"/>
    </w:rPr>
  </w:style>
  <w:style w:type="paragraph" w:customStyle="1" w:styleId="NormalIndent2">
    <w:name w:val="NormalIndent2"/>
    <w:basedOn w:val="Normal"/>
    <w:uiPriority w:val="1"/>
    <w:qFormat/>
    <w:rsid w:val="000840B3"/>
    <w:pPr>
      <w:ind w:left="680"/>
    </w:pPr>
  </w:style>
  <w:style w:type="paragraph" w:customStyle="1" w:styleId="Table10Text">
    <w:name w:val="Table10Text"/>
    <w:basedOn w:val="Normal"/>
    <w:uiPriority w:val="6"/>
    <w:qFormat/>
    <w:rsid w:val="00EA482A"/>
    <w:pPr>
      <w:spacing w:after="0"/>
      <w:jc w:val="left"/>
    </w:pPr>
    <w:rPr>
      <w:sz w:val="20"/>
    </w:rPr>
  </w:style>
  <w:style w:type="paragraph" w:customStyle="1" w:styleId="Table10Heading">
    <w:name w:val="Table10Heading"/>
    <w:basedOn w:val="Table10Text"/>
    <w:uiPriority w:val="6"/>
    <w:qFormat/>
    <w:rsid w:val="00EA482A"/>
    <w:pPr>
      <w:jc w:val="center"/>
    </w:pPr>
    <w:rPr>
      <w:rFonts w:ascii="Times New Roman Bold" w:hAnsi="Times New Roman Bold"/>
      <w:b/>
    </w:rPr>
  </w:style>
  <w:style w:type="table" w:customStyle="1" w:styleId="TableGrid1">
    <w:name w:val="Table Grid1"/>
    <w:basedOn w:val="TableNormal"/>
    <w:next w:val="TableGrid"/>
    <w:rsid w:val="00C16FC4"/>
    <w:pPr>
      <w:spacing w:after="12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94A9F"/>
    <w:rPr>
      <w:rFonts w:ascii="Arial" w:eastAsiaTheme="majorEastAsia" w:hAnsi="Arial" w:cstheme="majorBidi"/>
      <w:b/>
      <w:color w:val="000000" w:themeColor="text1"/>
      <w:sz w:val="24"/>
      <w:szCs w:val="26"/>
      <w:lang w:eastAsia="en-GB"/>
    </w:rPr>
  </w:style>
  <w:style w:type="character" w:customStyle="1" w:styleId="Heading3Char">
    <w:name w:val="Heading 3 Char"/>
    <w:basedOn w:val="DefaultParagraphFont"/>
    <w:link w:val="Heading3"/>
    <w:uiPriority w:val="9"/>
    <w:rsid w:val="00FD368E"/>
    <w:rPr>
      <w:rFonts w:ascii="Arial" w:eastAsiaTheme="majorEastAsia" w:hAnsi="Arial" w:cstheme="majorBidi"/>
      <w:b/>
      <w:color w:val="000000" w:themeColor="text1"/>
      <w:szCs w:val="24"/>
      <w:lang w:eastAsia="en-GB"/>
    </w:rPr>
  </w:style>
  <w:style w:type="character" w:styleId="Hyperlink">
    <w:name w:val="Hyperlink"/>
    <w:basedOn w:val="DefaultParagraphFont"/>
    <w:uiPriority w:val="99"/>
    <w:rsid w:val="00A93E73"/>
    <w:rPr>
      <w:color w:val="0563C1" w:themeColor="hyperlink"/>
      <w:u w:val="single"/>
    </w:rPr>
  </w:style>
  <w:style w:type="character" w:customStyle="1" w:styleId="Heading4Char">
    <w:name w:val="Heading 4 Char"/>
    <w:basedOn w:val="DefaultParagraphFont"/>
    <w:link w:val="Heading4"/>
    <w:uiPriority w:val="9"/>
    <w:rsid w:val="00BD1A32"/>
    <w:rPr>
      <w:rFonts w:ascii="Arial" w:eastAsiaTheme="majorEastAsia" w:hAnsi="Arial" w:cstheme="majorBidi"/>
      <w:b/>
      <w:i/>
      <w:iCs/>
      <w:color w:val="000000" w:themeColor="text1"/>
      <w:szCs w:val="24"/>
      <w:lang w:eastAsia="en-GB"/>
    </w:rPr>
  </w:style>
  <w:style w:type="character" w:customStyle="1" w:styleId="Heading5Char">
    <w:name w:val="Heading 5 Char"/>
    <w:basedOn w:val="DefaultParagraphFont"/>
    <w:link w:val="Heading5"/>
    <w:uiPriority w:val="9"/>
    <w:rsid w:val="00BD1A32"/>
    <w:rPr>
      <w:rFonts w:ascii="Arial" w:eastAsiaTheme="majorEastAsia" w:hAnsi="Arial" w:cstheme="majorBidi"/>
      <w:b/>
      <w:color w:val="000000" w:themeColor="text1"/>
      <w:szCs w:val="24"/>
      <w:lang w:eastAsia="en-GB"/>
    </w:rPr>
  </w:style>
  <w:style w:type="paragraph" w:styleId="CommentSubject">
    <w:name w:val="annotation subject"/>
    <w:basedOn w:val="CommentText"/>
    <w:next w:val="CommentText"/>
    <w:link w:val="CommentSubjectChar"/>
    <w:uiPriority w:val="99"/>
    <w:semiHidden/>
    <w:unhideWhenUsed/>
    <w:rsid w:val="00F40101"/>
    <w:rPr>
      <w:b/>
      <w:bCs/>
    </w:rPr>
  </w:style>
  <w:style w:type="character" w:customStyle="1" w:styleId="CommentSubjectChar">
    <w:name w:val="Comment Subject Char"/>
    <w:basedOn w:val="CommentTextChar"/>
    <w:link w:val="CommentSubject"/>
    <w:uiPriority w:val="99"/>
    <w:semiHidden/>
    <w:rsid w:val="00F40101"/>
    <w:rPr>
      <w:rFonts w:ascii="Times New Roman" w:eastAsia="Times New Roman" w:hAnsi="Times New Roman" w:cs="Times New Roman"/>
      <w:b/>
      <w:bCs/>
      <w:sz w:val="20"/>
      <w:szCs w:val="20"/>
      <w:lang w:eastAsia="en-GB"/>
    </w:rPr>
  </w:style>
  <w:style w:type="paragraph" w:styleId="Caption">
    <w:name w:val="caption"/>
    <w:basedOn w:val="Normal"/>
    <w:next w:val="Normal"/>
    <w:uiPriority w:val="35"/>
    <w:unhideWhenUsed/>
    <w:qFormat/>
    <w:rsid w:val="00E04390"/>
    <w:pPr>
      <w:spacing w:after="200"/>
    </w:pPr>
    <w:rPr>
      <w:i/>
      <w:iCs/>
      <w:color w:val="44546A" w:themeColor="text2"/>
      <w:sz w:val="18"/>
      <w:szCs w:val="18"/>
    </w:rPr>
  </w:style>
  <w:style w:type="paragraph" w:styleId="TOC3">
    <w:name w:val="toc 3"/>
    <w:basedOn w:val="Normal"/>
    <w:next w:val="Normal"/>
    <w:autoRedefine/>
    <w:uiPriority w:val="39"/>
    <w:rsid w:val="00685952"/>
    <w:pPr>
      <w:tabs>
        <w:tab w:val="right" w:leader="dot" w:pos="9344"/>
      </w:tabs>
      <w:spacing w:after="0"/>
    </w:pPr>
    <w:rPr>
      <w:rFonts w:ascii="Arial" w:hAnsi="Arial"/>
      <w:color w:val="000000" w:themeColor="text1"/>
      <w:sz w:val="22"/>
    </w:rPr>
  </w:style>
  <w:style w:type="table" w:customStyle="1" w:styleId="Tabellenraster1">
    <w:name w:val="Tabellenraster1"/>
    <w:basedOn w:val="TableNormal"/>
    <w:next w:val="TableGrid"/>
    <w:uiPriority w:val="59"/>
    <w:rsid w:val="005E0069"/>
    <w:pPr>
      <w:spacing w:after="0" w:line="240" w:lineRule="auto"/>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36C8E"/>
    <w:pPr>
      <w:spacing w:after="0" w:line="240" w:lineRule="auto"/>
      <w:jc w:val="both"/>
    </w:pPr>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uiPriority w:val="9"/>
    <w:semiHidden/>
    <w:rsid w:val="00706D80"/>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706D80"/>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706D80"/>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706D80"/>
    <w:rPr>
      <w:rFonts w:asciiTheme="majorHAnsi" w:eastAsiaTheme="majorEastAsia" w:hAnsiTheme="majorHAnsi" w:cstheme="majorBidi"/>
      <w:i/>
      <w:iCs/>
      <w:color w:val="272727" w:themeColor="text1" w:themeTint="D8"/>
      <w:sz w:val="21"/>
      <w:szCs w:val="21"/>
      <w:lang w:eastAsia="en-GB"/>
    </w:rPr>
  </w:style>
  <w:style w:type="paragraph" w:styleId="TOC6">
    <w:name w:val="toc 6"/>
    <w:basedOn w:val="Normal"/>
    <w:next w:val="Normal"/>
    <w:autoRedefine/>
    <w:uiPriority w:val="39"/>
    <w:unhideWhenUsed/>
    <w:rsid w:val="00DF4D36"/>
    <w:pPr>
      <w:spacing w:after="100" w:line="259" w:lineRule="auto"/>
      <w:ind w:left="1100"/>
      <w:jc w:val="left"/>
    </w:pPr>
    <w:rPr>
      <w:rFonts w:asciiTheme="minorHAnsi" w:eastAsiaTheme="minorEastAsia" w:hAnsiTheme="minorHAnsi" w:cstheme="minorBidi"/>
      <w:sz w:val="22"/>
      <w:szCs w:val="22"/>
      <w:lang w:val="de-DE" w:eastAsia="de-DE"/>
    </w:rPr>
  </w:style>
  <w:style w:type="paragraph" w:styleId="TOC1">
    <w:name w:val="toc 1"/>
    <w:basedOn w:val="Normal"/>
    <w:next w:val="Normal"/>
    <w:autoRedefine/>
    <w:uiPriority w:val="39"/>
    <w:unhideWhenUsed/>
    <w:rsid w:val="00502C4F"/>
    <w:pPr>
      <w:tabs>
        <w:tab w:val="left" w:pos="720"/>
        <w:tab w:val="right" w:leader="dot" w:pos="9062"/>
      </w:tabs>
      <w:spacing w:after="100"/>
    </w:pPr>
    <w:rPr>
      <w:rFonts w:ascii="Arial" w:hAnsi="Arial"/>
      <w:b/>
      <w:caps/>
    </w:rPr>
  </w:style>
  <w:style w:type="paragraph" w:styleId="TOC2">
    <w:name w:val="toc 2"/>
    <w:basedOn w:val="Normal"/>
    <w:next w:val="Normal"/>
    <w:autoRedefine/>
    <w:uiPriority w:val="39"/>
    <w:unhideWhenUsed/>
    <w:rsid w:val="00685952"/>
    <w:pPr>
      <w:spacing w:after="100"/>
      <w:ind w:left="240"/>
    </w:pPr>
    <w:rPr>
      <w:rFonts w:ascii="Arial" w:hAnsi="Arial"/>
      <w:b/>
      <w:sz w:val="22"/>
    </w:rPr>
  </w:style>
  <w:style w:type="paragraph" w:styleId="TOC4">
    <w:name w:val="toc 4"/>
    <w:basedOn w:val="Normal"/>
    <w:next w:val="Normal"/>
    <w:autoRedefine/>
    <w:uiPriority w:val="39"/>
    <w:unhideWhenUsed/>
    <w:rsid w:val="00DF4D36"/>
    <w:pPr>
      <w:spacing w:after="100"/>
      <w:ind w:left="720"/>
    </w:pPr>
    <w:rPr>
      <w:rFonts w:ascii="Arial" w:hAnsi="Arial"/>
    </w:rPr>
  </w:style>
  <w:style w:type="paragraph" w:styleId="TOC5">
    <w:name w:val="toc 5"/>
    <w:basedOn w:val="Normal"/>
    <w:next w:val="Normal"/>
    <w:autoRedefine/>
    <w:uiPriority w:val="39"/>
    <w:unhideWhenUsed/>
    <w:rsid w:val="00DF4D36"/>
    <w:pPr>
      <w:spacing w:after="100"/>
      <w:ind w:left="960"/>
    </w:pPr>
  </w:style>
  <w:style w:type="paragraph" w:styleId="TOC7">
    <w:name w:val="toc 7"/>
    <w:basedOn w:val="Normal"/>
    <w:next w:val="Normal"/>
    <w:autoRedefine/>
    <w:uiPriority w:val="39"/>
    <w:unhideWhenUsed/>
    <w:rsid w:val="00DF4D36"/>
    <w:pPr>
      <w:spacing w:after="100" w:line="259" w:lineRule="auto"/>
      <w:ind w:left="1320"/>
      <w:jc w:val="left"/>
    </w:pPr>
    <w:rPr>
      <w:rFonts w:asciiTheme="minorHAnsi" w:eastAsiaTheme="minorEastAsia" w:hAnsiTheme="minorHAnsi" w:cstheme="minorBidi"/>
      <w:sz w:val="22"/>
      <w:szCs w:val="22"/>
      <w:lang w:val="de-DE" w:eastAsia="de-DE"/>
    </w:rPr>
  </w:style>
  <w:style w:type="paragraph" w:styleId="TOC8">
    <w:name w:val="toc 8"/>
    <w:basedOn w:val="Normal"/>
    <w:next w:val="Normal"/>
    <w:autoRedefine/>
    <w:uiPriority w:val="39"/>
    <w:unhideWhenUsed/>
    <w:rsid w:val="00DF4D36"/>
    <w:pPr>
      <w:spacing w:after="100" w:line="259" w:lineRule="auto"/>
      <w:ind w:left="1540"/>
      <w:jc w:val="left"/>
    </w:pPr>
    <w:rPr>
      <w:rFonts w:asciiTheme="minorHAnsi" w:eastAsiaTheme="minorEastAsia" w:hAnsiTheme="minorHAnsi" w:cstheme="minorBidi"/>
      <w:sz w:val="22"/>
      <w:szCs w:val="22"/>
      <w:lang w:val="de-DE" w:eastAsia="de-DE"/>
    </w:rPr>
  </w:style>
  <w:style w:type="paragraph" w:styleId="TOC9">
    <w:name w:val="toc 9"/>
    <w:basedOn w:val="Normal"/>
    <w:next w:val="Normal"/>
    <w:autoRedefine/>
    <w:uiPriority w:val="39"/>
    <w:unhideWhenUsed/>
    <w:rsid w:val="00DF4D36"/>
    <w:pPr>
      <w:spacing w:after="100" w:line="259" w:lineRule="auto"/>
      <w:ind w:left="1760"/>
      <w:jc w:val="left"/>
    </w:pPr>
    <w:rPr>
      <w:rFonts w:asciiTheme="minorHAnsi" w:eastAsiaTheme="minorEastAsia" w:hAnsiTheme="minorHAnsi" w:cstheme="minorBidi"/>
      <w:sz w:val="22"/>
      <w:szCs w:val="22"/>
      <w:lang w:val="de-DE" w:eastAsia="de-DE"/>
    </w:rPr>
  </w:style>
  <w:style w:type="character" w:styleId="UnresolvedMention">
    <w:name w:val="Unresolved Mention"/>
    <w:basedOn w:val="DefaultParagraphFont"/>
    <w:uiPriority w:val="99"/>
    <w:semiHidden/>
    <w:unhideWhenUsed/>
    <w:rsid w:val="00DF4D36"/>
    <w:rPr>
      <w:color w:val="605E5C"/>
      <w:shd w:val="clear" w:color="auto" w:fill="E1DFDD"/>
    </w:rPr>
  </w:style>
  <w:style w:type="paragraph" w:styleId="TOCHeading">
    <w:name w:val="TOC Heading"/>
    <w:basedOn w:val="Heading1"/>
    <w:next w:val="Normal"/>
    <w:uiPriority w:val="39"/>
    <w:unhideWhenUsed/>
    <w:qFormat/>
    <w:rsid w:val="00685952"/>
    <w:pPr>
      <w:numPr>
        <w:numId w:val="0"/>
      </w:numPr>
      <w:spacing w:after="0" w:line="259" w:lineRule="auto"/>
      <w:jc w:val="left"/>
      <w:outlineLvl w:val="9"/>
    </w:pPr>
    <w:rPr>
      <w:rFonts w:asciiTheme="majorHAnsi" w:hAnsiTheme="majorHAnsi"/>
      <w:b w:val="0"/>
      <w:caps w:val="0"/>
      <w:color w:val="2F5496" w:themeColor="accent1" w:themeShade="BF"/>
      <w:sz w:val="32"/>
      <w:lang w:val="de-DE" w:eastAsia="de-DE"/>
    </w:rPr>
  </w:style>
  <w:style w:type="paragraph" w:styleId="Bibliography">
    <w:name w:val="Bibliography"/>
    <w:basedOn w:val="Normal"/>
    <w:next w:val="Normal"/>
    <w:uiPriority w:val="37"/>
    <w:unhideWhenUsed/>
    <w:rsid w:val="005D5F75"/>
    <w:pPr>
      <w:spacing w:after="0"/>
      <w:ind w:left="720" w:hanging="720"/>
    </w:pPr>
  </w:style>
  <w:style w:type="paragraph" w:styleId="TableofFigures">
    <w:name w:val="table of figures"/>
    <w:basedOn w:val="Normal"/>
    <w:next w:val="Normal"/>
    <w:uiPriority w:val="99"/>
    <w:unhideWhenUsed/>
    <w:rsid w:val="006D7E96"/>
    <w:pPr>
      <w:spacing w:after="0"/>
    </w:pPr>
    <w:rPr>
      <w:rFonts w:ascii="Arial" w:hAnsi="Arial"/>
      <w:sz w:val="22"/>
    </w:rPr>
  </w:style>
  <w:style w:type="paragraph" w:customStyle="1" w:styleId="Appendix">
    <w:name w:val="Appendix"/>
    <w:basedOn w:val="Normal"/>
    <w:next w:val="Normal"/>
    <w:uiPriority w:val="8"/>
    <w:qFormat/>
    <w:rsid w:val="00D27E0D"/>
    <w:pPr>
      <w:keepNext/>
      <w:numPr>
        <w:numId w:val="23"/>
      </w:numPr>
      <w:spacing w:before="240"/>
      <w:jc w:val="left"/>
      <w:outlineLvl w:val="4"/>
    </w:pPr>
    <w:rPr>
      <w:rFonts w:ascii="Arial" w:hAnsi="Arial"/>
      <w:b/>
    </w:rPr>
  </w:style>
  <w:style w:type="numbering" w:customStyle="1" w:styleId="NumbLstAppendix">
    <w:name w:val="NumbLstAppendix"/>
    <w:uiPriority w:val="99"/>
    <w:rsid w:val="009948F9"/>
    <w:pPr>
      <w:numPr>
        <w:numId w:val="23"/>
      </w:numPr>
    </w:pPr>
  </w:style>
  <w:style w:type="paragraph" w:styleId="FootnoteText">
    <w:name w:val="footnote text"/>
    <w:basedOn w:val="Normal"/>
    <w:link w:val="FootnoteTextChar"/>
    <w:uiPriority w:val="99"/>
    <w:semiHidden/>
    <w:unhideWhenUsed/>
    <w:rsid w:val="001A1C64"/>
    <w:pPr>
      <w:spacing w:after="0"/>
    </w:pPr>
    <w:rPr>
      <w:sz w:val="20"/>
      <w:szCs w:val="20"/>
    </w:rPr>
  </w:style>
  <w:style w:type="character" w:customStyle="1" w:styleId="FootnoteTextChar">
    <w:name w:val="Footnote Text Char"/>
    <w:basedOn w:val="DefaultParagraphFont"/>
    <w:link w:val="FootnoteText"/>
    <w:uiPriority w:val="99"/>
    <w:semiHidden/>
    <w:rsid w:val="001A1C6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unhideWhenUsed/>
    <w:rsid w:val="001A1C64"/>
    <w:rPr>
      <w:vertAlign w:val="superscript"/>
    </w:rPr>
  </w:style>
  <w:style w:type="character" w:styleId="EndnoteReference">
    <w:name w:val="endnote reference"/>
    <w:basedOn w:val="DefaultParagraphFont"/>
    <w:uiPriority w:val="99"/>
    <w:semiHidden/>
    <w:unhideWhenUsed/>
    <w:rsid w:val="004046EC"/>
    <w:rPr>
      <w:vertAlign w:val="superscript"/>
    </w:rPr>
  </w:style>
  <w:style w:type="paragraph" w:styleId="Revision">
    <w:name w:val="Revision"/>
    <w:hidden/>
    <w:uiPriority w:val="99"/>
    <w:semiHidden/>
    <w:rsid w:val="00B40781"/>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718088">
      <w:bodyDiv w:val="1"/>
      <w:marLeft w:val="0"/>
      <w:marRight w:val="0"/>
      <w:marTop w:val="0"/>
      <w:marBottom w:val="0"/>
      <w:divBdr>
        <w:top w:val="none" w:sz="0" w:space="0" w:color="auto"/>
        <w:left w:val="none" w:sz="0" w:space="0" w:color="auto"/>
        <w:bottom w:val="none" w:sz="0" w:space="0" w:color="auto"/>
        <w:right w:val="none" w:sz="0" w:space="0" w:color="auto"/>
      </w:divBdr>
    </w:div>
    <w:div w:id="1589541543">
      <w:bodyDiv w:val="1"/>
      <w:marLeft w:val="0"/>
      <w:marRight w:val="0"/>
      <w:marTop w:val="0"/>
      <w:marBottom w:val="0"/>
      <w:divBdr>
        <w:top w:val="none" w:sz="0" w:space="0" w:color="auto"/>
        <w:left w:val="none" w:sz="0" w:space="0" w:color="auto"/>
        <w:bottom w:val="none" w:sz="0" w:space="0" w:color="auto"/>
        <w:right w:val="none" w:sz="0" w:space="0" w:color="auto"/>
      </w:divBdr>
    </w:div>
    <w:div w:id="161764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jaz\PentixaPharm%20GmbH\Interne%20Organisation%20-%20Dokumente\Vorlagen\Word-Dateien\Vorlage_Protokoll.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Kommentar xmlns="171e47f2-5f1d-4315-9119-b92dd97e96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8E5B5F3924D7B249AEAEC21EADD469AC" ma:contentTypeVersion="13" ma:contentTypeDescription="Ein neues Dokument erstellen." ma:contentTypeScope="" ma:versionID="73a6042c11d3a54a424ef16ec2c43cbe">
  <xsd:schema xmlns:xsd="http://www.w3.org/2001/XMLSchema" xmlns:xs="http://www.w3.org/2001/XMLSchema" xmlns:p="http://schemas.microsoft.com/office/2006/metadata/properties" xmlns:ns2="171e47f2-5f1d-4315-9119-b92dd97e9656" xmlns:ns3="7b1cded0-0cdb-48f7-b55f-f13b872d1fa2" targetNamespace="http://schemas.microsoft.com/office/2006/metadata/properties" ma:root="true" ma:fieldsID="9bb7f1cb3360a287df748b23b2b5a576" ns2:_="" ns3:_="">
    <xsd:import namespace="171e47f2-5f1d-4315-9119-b92dd97e9656"/>
    <xsd:import namespace="7b1cded0-0cdb-48f7-b55f-f13b872d1f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Kommenta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1e47f2-5f1d-4315-9119-b92dd97e96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Kommentar" ma:index="18" nillable="true" ma:displayName="Kommentar" ma:format="Dropdown" ma:internalName="Kommentar">
      <xsd:simpleType>
        <xsd:restriction base="dms:Text">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1cded0-0cdb-48f7-b55f-f13b872d1fa2"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519873-3F99-4B5A-BB6D-A53E7920CC54}">
  <ds:schemaRefs>
    <ds:schemaRef ds:uri="http://schemas.microsoft.com/office/2006/metadata/properties"/>
    <ds:schemaRef ds:uri="http://schemas.microsoft.com/office/infopath/2007/PartnerControls"/>
    <ds:schemaRef ds:uri="171e47f2-5f1d-4315-9119-b92dd97e9656"/>
  </ds:schemaRefs>
</ds:datastoreItem>
</file>

<file path=customXml/itemProps2.xml><?xml version="1.0" encoding="utf-8"?>
<ds:datastoreItem xmlns:ds="http://schemas.openxmlformats.org/officeDocument/2006/customXml" ds:itemID="{68C5E8A8-70E1-41CA-B990-573951150F10}">
  <ds:schemaRefs>
    <ds:schemaRef ds:uri="http://schemas.microsoft.com/sharepoint/v3/contenttype/forms"/>
  </ds:schemaRefs>
</ds:datastoreItem>
</file>

<file path=customXml/itemProps3.xml><?xml version="1.0" encoding="utf-8"?>
<ds:datastoreItem xmlns:ds="http://schemas.openxmlformats.org/officeDocument/2006/customXml" ds:itemID="{B30979ED-933F-4815-8B71-13D7B8989B3B}">
  <ds:schemaRefs>
    <ds:schemaRef ds:uri="http://schemas.openxmlformats.org/officeDocument/2006/bibliography"/>
  </ds:schemaRefs>
</ds:datastoreItem>
</file>

<file path=customXml/itemProps4.xml><?xml version="1.0" encoding="utf-8"?>
<ds:datastoreItem xmlns:ds="http://schemas.openxmlformats.org/officeDocument/2006/customXml" ds:itemID="{FBAB9A71-9341-4129-8039-0B81FF46C1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1e47f2-5f1d-4315-9119-b92dd97e9656"/>
    <ds:schemaRef ds:uri="7b1cded0-0cdb-48f7-b55f-f13b872d1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Vorlage_Protokoll</Template>
  <TotalTime>1</TotalTime>
  <Pages>7</Pages>
  <Words>2217</Words>
  <Characters>12637</Characters>
  <Application>Microsoft Office Word</Application>
  <DocSecurity>0</DocSecurity>
  <Lines>105</Lines>
  <Paragraphs>29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14825</CharactersWithSpaces>
  <SharedDoc>false</SharedDoc>
  <HLinks>
    <vt:vector size="738" baseType="variant">
      <vt:variant>
        <vt:i4>1507373</vt:i4>
      </vt:variant>
      <vt:variant>
        <vt:i4>1104</vt:i4>
      </vt:variant>
      <vt:variant>
        <vt:i4>0</vt:i4>
      </vt:variant>
      <vt:variant>
        <vt:i4>5</vt:i4>
      </vt:variant>
      <vt:variant>
        <vt:lpwstr>mailto:drugsafety@pivotalcr.com</vt:lpwstr>
      </vt:variant>
      <vt:variant>
        <vt:lpwstr/>
      </vt:variant>
      <vt:variant>
        <vt:i4>2949245</vt:i4>
      </vt:variant>
      <vt:variant>
        <vt:i4>729</vt:i4>
      </vt:variant>
      <vt:variant>
        <vt:i4>0</vt:i4>
      </vt:variant>
      <vt:variant>
        <vt:i4>5</vt:i4>
      </vt:variant>
      <vt:variant>
        <vt:lpwstr>https://en.wikipedia.org/wiki/Gene</vt:lpwstr>
      </vt:variant>
      <vt:variant>
        <vt:lpwstr/>
      </vt:variant>
      <vt:variant>
        <vt:i4>4325390</vt:i4>
      </vt:variant>
      <vt:variant>
        <vt:i4>726</vt:i4>
      </vt:variant>
      <vt:variant>
        <vt:i4>0</vt:i4>
      </vt:variant>
      <vt:variant>
        <vt:i4>5</vt:i4>
      </vt:variant>
      <vt:variant>
        <vt:lpwstr>https://en.wikipedia.org/wiki/Protein</vt:lpwstr>
      </vt:variant>
      <vt:variant>
        <vt:lpwstr/>
      </vt:variant>
      <vt:variant>
        <vt:i4>1572925</vt:i4>
      </vt:variant>
      <vt:variant>
        <vt:i4>719</vt:i4>
      </vt:variant>
      <vt:variant>
        <vt:i4>0</vt:i4>
      </vt:variant>
      <vt:variant>
        <vt:i4>5</vt:i4>
      </vt:variant>
      <vt:variant>
        <vt:lpwstr/>
      </vt:variant>
      <vt:variant>
        <vt:lpwstr>_Toc77930239</vt:lpwstr>
      </vt:variant>
      <vt:variant>
        <vt:i4>1638461</vt:i4>
      </vt:variant>
      <vt:variant>
        <vt:i4>713</vt:i4>
      </vt:variant>
      <vt:variant>
        <vt:i4>0</vt:i4>
      </vt:variant>
      <vt:variant>
        <vt:i4>5</vt:i4>
      </vt:variant>
      <vt:variant>
        <vt:lpwstr/>
      </vt:variant>
      <vt:variant>
        <vt:lpwstr>_Toc77930238</vt:lpwstr>
      </vt:variant>
      <vt:variant>
        <vt:i4>2031679</vt:i4>
      </vt:variant>
      <vt:variant>
        <vt:i4>704</vt:i4>
      </vt:variant>
      <vt:variant>
        <vt:i4>0</vt:i4>
      </vt:variant>
      <vt:variant>
        <vt:i4>5</vt:i4>
      </vt:variant>
      <vt:variant>
        <vt:lpwstr/>
      </vt:variant>
      <vt:variant>
        <vt:lpwstr>_Toc77505788</vt:lpwstr>
      </vt:variant>
      <vt:variant>
        <vt:i4>1048639</vt:i4>
      </vt:variant>
      <vt:variant>
        <vt:i4>698</vt:i4>
      </vt:variant>
      <vt:variant>
        <vt:i4>0</vt:i4>
      </vt:variant>
      <vt:variant>
        <vt:i4>5</vt:i4>
      </vt:variant>
      <vt:variant>
        <vt:lpwstr/>
      </vt:variant>
      <vt:variant>
        <vt:lpwstr>_Toc77505787</vt:lpwstr>
      </vt:variant>
      <vt:variant>
        <vt:i4>1441855</vt:i4>
      </vt:variant>
      <vt:variant>
        <vt:i4>689</vt:i4>
      </vt:variant>
      <vt:variant>
        <vt:i4>0</vt:i4>
      </vt:variant>
      <vt:variant>
        <vt:i4>5</vt:i4>
      </vt:variant>
      <vt:variant>
        <vt:lpwstr/>
      </vt:variant>
      <vt:variant>
        <vt:lpwstr>_Toc77930613</vt:lpwstr>
      </vt:variant>
      <vt:variant>
        <vt:i4>1507391</vt:i4>
      </vt:variant>
      <vt:variant>
        <vt:i4>683</vt:i4>
      </vt:variant>
      <vt:variant>
        <vt:i4>0</vt:i4>
      </vt:variant>
      <vt:variant>
        <vt:i4>5</vt:i4>
      </vt:variant>
      <vt:variant>
        <vt:lpwstr/>
      </vt:variant>
      <vt:variant>
        <vt:lpwstr>_Toc77930612</vt:lpwstr>
      </vt:variant>
      <vt:variant>
        <vt:i4>1310783</vt:i4>
      </vt:variant>
      <vt:variant>
        <vt:i4>677</vt:i4>
      </vt:variant>
      <vt:variant>
        <vt:i4>0</vt:i4>
      </vt:variant>
      <vt:variant>
        <vt:i4>5</vt:i4>
      </vt:variant>
      <vt:variant>
        <vt:lpwstr/>
      </vt:variant>
      <vt:variant>
        <vt:lpwstr>_Toc77930611</vt:lpwstr>
      </vt:variant>
      <vt:variant>
        <vt:i4>1376319</vt:i4>
      </vt:variant>
      <vt:variant>
        <vt:i4>671</vt:i4>
      </vt:variant>
      <vt:variant>
        <vt:i4>0</vt:i4>
      </vt:variant>
      <vt:variant>
        <vt:i4>5</vt:i4>
      </vt:variant>
      <vt:variant>
        <vt:lpwstr/>
      </vt:variant>
      <vt:variant>
        <vt:lpwstr>_Toc77930610</vt:lpwstr>
      </vt:variant>
      <vt:variant>
        <vt:i4>1835070</vt:i4>
      </vt:variant>
      <vt:variant>
        <vt:i4>665</vt:i4>
      </vt:variant>
      <vt:variant>
        <vt:i4>0</vt:i4>
      </vt:variant>
      <vt:variant>
        <vt:i4>5</vt:i4>
      </vt:variant>
      <vt:variant>
        <vt:lpwstr/>
      </vt:variant>
      <vt:variant>
        <vt:lpwstr>_Toc77930609</vt:lpwstr>
      </vt:variant>
      <vt:variant>
        <vt:i4>1900606</vt:i4>
      </vt:variant>
      <vt:variant>
        <vt:i4>659</vt:i4>
      </vt:variant>
      <vt:variant>
        <vt:i4>0</vt:i4>
      </vt:variant>
      <vt:variant>
        <vt:i4>5</vt:i4>
      </vt:variant>
      <vt:variant>
        <vt:lpwstr/>
      </vt:variant>
      <vt:variant>
        <vt:lpwstr>_Toc77930608</vt:lpwstr>
      </vt:variant>
      <vt:variant>
        <vt:i4>1179710</vt:i4>
      </vt:variant>
      <vt:variant>
        <vt:i4>653</vt:i4>
      </vt:variant>
      <vt:variant>
        <vt:i4>0</vt:i4>
      </vt:variant>
      <vt:variant>
        <vt:i4>5</vt:i4>
      </vt:variant>
      <vt:variant>
        <vt:lpwstr/>
      </vt:variant>
      <vt:variant>
        <vt:lpwstr>_Toc77930607</vt:lpwstr>
      </vt:variant>
      <vt:variant>
        <vt:i4>1245246</vt:i4>
      </vt:variant>
      <vt:variant>
        <vt:i4>647</vt:i4>
      </vt:variant>
      <vt:variant>
        <vt:i4>0</vt:i4>
      </vt:variant>
      <vt:variant>
        <vt:i4>5</vt:i4>
      </vt:variant>
      <vt:variant>
        <vt:lpwstr/>
      </vt:variant>
      <vt:variant>
        <vt:lpwstr>_Toc77930606</vt:lpwstr>
      </vt:variant>
      <vt:variant>
        <vt:i4>1048638</vt:i4>
      </vt:variant>
      <vt:variant>
        <vt:i4>641</vt:i4>
      </vt:variant>
      <vt:variant>
        <vt:i4>0</vt:i4>
      </vt:variant>
      <vt:variant>
        <vt:i4>5</vt:i4>
      </vt:variant>
      <vt:variant>
        <vt:lpwstr/>
      </vt:variant>
      <vt:variant>
        <vt:lpwstr>_Toc77930605</vt:lpwstr>
      </vt:variant>
      <vt:variant>
        <vt:i4>1114174</vt:i4>
      </vt:variant>
      <vt:variant>
        <vt:i4>635</vt:i4>
      </vt:variant>
      <vt:variant>
        <vt:i4>0</vt:i4>
      </vt:variant>
      <vt:variant>
        <vt:i4>5</vt:i4>
      </vt:variant>
      <vt:variant>
        <vt:lpwstr/>
      </vt:variant>
      <vt:variant>
        <vt:lpwstr>_Toc77930604</vt:lpwstr>
      </vt:variant>
      <vt:variant>
        <vt:i4>1441854</vt:i4>
      </vt:variant>
      <vt:variant>
        <vt:i4>629</vt:i4>
      </vt:variant>
      <vt:variant>
        <vt:i4>0</vt:i4>
      </vt:variant>
      <vt:variant>
        <vt:i4>5</vt:i4>
      </vt:variant>
      <vt:variant>
        <vt:lpwstr/>
      </vt:variant>
      <vt:variant>
        <vt:lpwstr>_Toc77930603</vt:lpwstr>
      </vt:variant>
      <vt:variant>
        <vt:i4>1507390</vt:i4>
      </vt:variant>
      <vt:variant>
        <vt:i4>623</vt:i4>
      </vt:variant>
      <vt:variant>
        <vt:i4>0</vt:i4>
      </vt:variant>
      <vt:variant>
        <vt:i4>5</vt:i4>
      </vt:variant>
      <vt:variant>
        <vt:lpwstr/>
      </vt:variant>
      <vt:variant>
        <vt:lpwstr>_Toc77930602</vt:lpwstr>
      </vt:variant>
      <vt:variant>
        <vt:i4>1310782</vt:i4>
      </vt:variant>
      <vt:variant>
        <vt:i4>617</vt:i4>
      </vt:variant>
      <vt:variant>
        <vt:i4>0</vt:i4>
      </vt:variant>
      <vt:variant>
        <vt:i4>5</vt:i4>
      </vt:variant>
      <vt:variant>
        <vt:lpwstr/>
      </vt:variant>
      <vt:variant>
        <vt:lpwstr>_Toc77930601</vt:lpwstr>
      </vt:variant>
      <vt:variant>
        <vt:i4>1376318</vt:i4>
      </vt:variant>
      <vt:variant>
        <vt:i4>611</vt:i4>
      </vt:variant>
      <vt:variant>
        <vt:i4>0</vt:i4>
      </vt:variant>
      <vt:variant>
        <vt:i4>5</vt:i4>
      </vt:variant>
      <vt:variant>
        <vt:lpwstr/>
      </vt:variant>
      <vt:variant>
        <vt:lpwstr>_Toc77930600</vt:lpwstr>
      </vt:variant>
      <vt:variant>
        <vt:i4>2031671</vt:i4>
      </vt:variant>
      <vt:variant>
        <vt:i4>605</vt:i4>
      </vt:variant>
      <vt:variant>
        <vt:i4>0</vt:i4>
      </vt:variant>
      <vt:variant>
        <vt:i4>5</vt:i4>
      </vt:variant>
      <vt:variant>
        <vt:lpwstr/>
      </vt:variant>
      <vt:variant>
        <vt:lpwstr>_Toc77930599</vt:lpwstr>
      </vt:variant>
      <vt:variant>
        <vt:i4>1966135</vt:i4>
      </vt:variant>
      <vt:variant>
        <vt:i4>599</vt:i4>
      </vt:variant>
      <vt:variant>
        <vt:i4>0</vt:i4>
      </vt:variant>
      <vt:variant>
        <vt:i4>5</vt:i4>
      </vt:variant>
      <vt:variant>
        <vt:lpwstr/>
      </vt:variant>
      <vt:variant>
        <vt:lpwstr>_Toc77930598</vt:lpwstr>
      </vt:variant>
      <vt:variant>
        <vt:i4>1114167</vt:i4>
      </vt:variant>
      <vt:variant>
        <vt:i4>593</vt:i4>
      </vt:variant>
      <vt:variant>
        <vt:i4>0</vt:i4>
      </vt:variant>
      <vt:variant>
        <vt:i4>5</vt:i4>
      </vt:variant>
      <vt:variant>
        <vt:lpwstr/>
      </vt:variant>
      <vt:variant>
        <vt:lpwstr>_Toc77930597</vt:lpwstr>
      </vt:variant>
      <vt:variant>
        <vt:i4>1048631</vt:i4>
      </vt:variant>
      <vt:variant>
        <vt:i4>587</vt:i4>
      </vt:variant>
      <vt:variant>
        <vt:i4>0</vt:i4>
      </vt:variant>
      <vt:variant>
        <vt:i4>5</vt:i4>
      </vt:variant>
      <vt:variant>
        <vt:lpwstr/>
      </vt:variant>
      <vt:variant>
        <vt:lpwstr>_Toc77930596</vt:lpwstr>
      </vt:variant>
      <vt:variant>
        <vt:i4>1245239</vt:i4>
      </vt:variant>
      <vt:variant>
        <vt:i4>581</vt:i4>
      </vt:variant>
      <vt:variant>
        <vt:i4>0</vt:i4>
      </vt:variant>
      <vt:variant>
        <vt:i4>5</vt:i4>
      </vt:variant>
      <vt:variant>
        <vt:lpwstr/>
      </vt:variant>
      <vt:variant>
        <vt:lpwstr>_Toc77930595</vt:lpwstr>
      </vt:variant>
      <vt:variant>
        <vt:i4>1179703</vt:i4>
      </vt:variant>
      <vt:variant>
        <vt:i4>575</vt:i4>
      </vt:variant>
      <vt:variant>
        <vt:i4>0</vt:i4>
      </vt:variant>
      <vt:variant>
        <vt:i4>5</vt:i4>
      </vt:variant>
      <vt:variant>
        <vt:lpwstr/>
      </vt:variant>
      <vt:variant>
        <vt:lpwstr>_Toc77930594</vt:lpwstr>
      </vt:variant>
      <vt:variant>
        <vt:i4>1376311</vt:i4>
      </vt:variant>
      <vt:variant>
        <vt:i4>569</vt:i4>
      </vt:variant>
      <vt:variant>
        <vt:i4>0</vt:i4>
      </vt:variant>
      <vt:variant>
        <vt:i4>5</vt:i4>
      </vt:variant>
      <vt:variant>
        <vt:lpwstr/>
      </vt:variant>
      <vt:variant>
        <vt:lpwstr>_Toc77930593</vt:lpwstr>
      </vt:variant>
      <vt:variant>
        <vt:i4>1310775</vt:i4>
      </vt:variant>
      <vt:variant>
        <vt:i4>563</vt:i4>
      </vt:variant>
      <vt:variant>
        <vt:i4>0</vt:i4>
      </vt:variant>
      <vt:variant>
        <vt:i4>5</vt:i4>
      </vt:variant>
      <vt:variant>
        <vt:lpwstr/>
      </vt:variant>
      <vt:variant>
        <vt:lpwstr>_Toc77930592</vt:lpwstr>
      </vt:variant>
      <vt:variant>
        <vt:i4>1507383</vt:i4>
      </vt:variant>
      <vt:variant>
        <vt:i4>557</vt:i4>
      </vt:variant>
      <vt:variant>
        <vt:i4>0</vt:i4>
      </vt:variant>
      <vt:variant>
        <vt:i4>5</vt:i4>
      </vt:variant>
      <vt:variant>
        <vt:lpwstr/>
      </vt:variant>
      <vt:variant>
        <vt:lpwstr>_Toc77930591</vt:lpwstr>
      </vt:variant>
      <vt:variant>
        <vt:i4>1441847</vt:i4>
      </vt:variant>
      <vt:variant>
        <vt:i4>551</vt:i4>
      </vt:variant>
      <vt:variant>
        <vt:i4>0</vt:i4>
      </vt:variant>
      <vt:variant>
        <vt:i4>5</vt:i4>
      </vt:variant>
      <vt:variant>
        <vt:lpwstr/>
      </vt:variant>
      <vt:variant>
        <vt:lpwstr>_Toc77930590</vt:lpwstr>
      </vt:variant>
      <vt:variant>
        <vt:i4>2031670</vt:i4>
      </vt:variant>
      <vt:variant>
        <vt:i4>545</vt:i4>
      </vt:variant>
      <vt:variant>
        <vt:i4>0</vt:i4>
      </vt:variant>
      <vt:variant>
        <vt:i4>5</vt:i4>
      </vt:variant>
      <vt:variant>
        <vt:lpwstr/>
      </vt:variant>
      <vt:variant>
        <vt:lpwstr>_Toc77930589</vt:lpwstr>
      </vt:variant>
      <vt:variant>
        <vt:i4>1966134</vt:i4>
      </vt:variant>
      <vt:variant>
        <vt:i4>539</vt:i4>
      </vt:variant>
      <vt:variant>
        <vt:i4>0</vt:i4>
      </vt:variant>
      <vt:variant>
        <vt:i4>5</vt:i4>
      </vt:variant>
      <vt:variant>
        <vt:lpwstr/>
      </vt:variant>
      <vt:variant>
        <vt:lpwstr>_Toc77930588</vt:lpwstr>
      </vt:variant>
      <vt:variant>
        <vt:i4>1114166</vt:i4>
      </vt:variant>
      <vt:variant>
        <vt:i4>533</vt:i4>
      </vt:variant>
      <vt:variant>
        <vt:i4>0</vt:i4>
      </vt:variant>
      <vt:variant>
        <vt:i4>5</vt:i4>
      </vt:variant>
      <vt:variant>
        <vt:lpwstr/>
      </vt:variant>
      <vt:variant>
        <vt:lpwstr>_Toc77930587</vt:lpwstr>
      </vt:variant>
      <vt:variant>
        <vt:i4>1048630</vt:i4>
      </vt:variant>
      <vt:variant>
        <vt:i4>527</vt:i4>
      </vt:variant>
      <vt:variant>
        <vt:i4>0</vt:i4>
      </vt:variant>
      <vt:variant>
        <vt:i4>5</vt:i4>
      </vt:variant>
      <vt:variant>
        <vt:lpwstr/>
      </vt:variant>
      <vt:variant>
        <vt:lpwstr>_Toc77930586</vt:lpwstr>
      </vt:variant>
      <vt:variant>
        <vt:i4>1245238</vt:i4>
      </vt:variant>
      <vt:variant>
        <vt:i4>521</vt:i4>
      </vt:variant>
      <vt:variant>
        <vt:i4>0</vt:i4>
      </vt:variant>
      <vt:variant>
        <vt:i4>5</vt:i4>
      </vt:variant>
      <vt:variant>
        <vt:lpwstr/>
      </vt:variant>
      <vt:variant>
        <vt:lpwstr>_Toc77930585</vt:lpwstr>
      </vt:variant>
      <vt:variant>
        <vt:i4>1179702</vt:i4>
      </vt:variant>
      <vt:variant>
        <vt:i4>515</vt:i4>
      </vt:variant>
      <vt:variant>
        <vt:i4>0</vt:i4>
      </vt:variant>
      <vt:variant>
        <vt:i4>5</vt:i4>
      </vt:variant>
      <vt:variant>
        <vt:lpwstr/>
      </vt:variant>
      <vt:variant>
        <vt:lpwstr>_Toc77930584</vt:lpwstr>
      </vt:variant>
      <vt:variant>
        <vt:i4>1376310</vt:i4>
      </vt:variant>
      <vt:variant>
        <vt:i4>509</vt:i4>
      </vt:variant>
      <vt:variant>
        <vt:i4>0</vt:i4>
      </vt:variant>
      <vt:variant>
        <vt:i4>5</vt:i4>
      </vt:variant>
      <vt:variant>
        <vt:lpwstr/>
      </vt:variant>
      <vt:variant>
        <vt:lpwstr>_Toc77930583</vt:lpwstr>
      </vt:variant>
      <vt:variant>
        <vt:i4>1310774</vt:i4>
      </vt:variant>
      <vt:variant>
        <vt:i4>503</vt:i4>
      </vt:variant>
      <vt:variant>
        <vt:i4>0</vt:i4>
      </vt:variant>
      <vt:variant>
        <vt:i4>5</vt:i4>
      </vt:variant>
      <vt:variant>
        <vt:lpwstr/>
      </vt:variant>
      <vt:variant>
        <vt:lpwstr>_Toc77930582</vt:lpwstr>
      </vt:variant>
      <vt:variant>
        <vt:i4>1507382</vt:i4>
      </vt:variant>
      <vt:variant>
        <vt:i4>497</vt:i4>
      </vt:variant>
      <vt:variant>
        <vt:i4>0</vt:i4>
      </vt:variant>
      <vt:variant>
        <vt:i4>5</vt:i4>
      </vt:variant>
      <vt:variant>
        <vt:lpwstr/>
      </vt:variant>
      <vt:variant>
        <vt:lpwstr>_Toc77930581</vt:lpwstr>
      </vt:variant>
      <vt:variant>
        <vt:i4>1441846</vt:i4>
      </vt:variant>
      <vt:variant>
        <vt:i4>491</vt:i4>
      </vt:variant>
      <vt:variant>
        <vt:i4>0</vt:i4>
      </vt:variant>
      <vt:variant>
        <vt:i4>5</vt:i4>
      </vt:variant>
      <vt:variant>
        <vt:lpwstr/>
      </vt:variant>
      <vt:variant>
        <vt:lpwstr>_Toc77930580</vt:lpwstr>
      </vt:variant>
      <vt:variant>
        <vt:i4>2031673</vt:i4>
      </vt:variant>
      <vt:variant>
        <vt:i4>485</vt:i4>
      </vt:variant>
      <vt:variant>
        <vt:i4>0</vt:i4>
      </vt:variant>
      <vt:variant>
        <vt:i4>5</vt:i4>
      </vt:variant>
      <vt:variant>
        <vt:lpwstr/>
      </vt:variant>
      <vt:variant>
        <vt:lpwstr>_Toc77930579</vt:lpwstr>
      </vt:variant>
      <vt:variant>
        <vt:i4>1966137</vt:i4>
      </vt:variant>
      <vt:variant>
        <vt:i4>479</vt:i4>
      </vt:variant>
      <vt:variant>
        <vt:i4>0</vt:i4>
      </vt:variant>
      <vt:variant>
        <vt:i4>5</vt:i4>
      </vt:variant>
      <vt:variant>
        <vt:lpwstr/>
      </vt:variant>
      <vt:variant>
        <vt:lpwstr>_Toc77930578</vt:lpwstr>
      </vt:variant>
      <vt:variant>
        <vt:i4>1114169</vt:i4>
      </vt:variant>
      <vt:variant>
        <vt:i4>473</vt:i4>
      </vt:variant>
      <vt:variant>
        <vt:i4>0</vt:i4>
      </vt:variant>
      <vt:variant>
        <vt:i4>5</vt:i4>
      </vt:variant>
      <vt:variant>
        <vt:lpwstr/>
      </vt:variant>
      <vt:variant>
        <vt:lpwstr>_Toc77930577</vt:lpwstr>
      </vt:variant>
      <vt:variant>
        <vt:i4>1048633</vt:i4>
      </vt:variant>
      <vt:variant>
        <vt:i4>467</vt:i4>
      </vt:variant>
      <vt:variant>
        <vt:i4>0</vt:i4>
      </vt:variant>
      <vt:variant>
        <vt:i4>5</vt:i4>
      </vt:variant>
      <vt:variant>
        <vt:lpwstr/>
      </vt:variant>
      <vt:variant>
        <vt:lpwstr>_Toc77930576</vt:lpwstr>
      </vt:variant>
      <vt:variant>
        <vt:i4>1245241</vt:i4>
      </vt:variant>
      <vt:variant>
        <vt:i4>461</vt:i4>
      </vt:variant>
      <vt:variant>
        <vt:i4>0</vt:i4>
      </vt:variant>
      <vt:variant>
        <vt:i4>5</vt:i4>
      </vt:variant>
      <vt:variant>
        <vt:lpwstr/>
      </vt:variant>
      <vt:variant>
        <vt:lpwstr>_Toc77930575</vt:lpwstr>
      </vt:variant>
      <vt:variant>
        <vt:i4>1179705</vt:i4>
      </vt:variant>
      <vt:variant>
        <vt:i4>455</vt:i4>
      </vt:variant>
      <vt:variant>
        <vt:i4>0</vt:i4>
      </vt:variant>
      <vt:variant>
        <vt:i4>5</vt:i4>
      </vt:variant>
      <vt:variant>
        <vt:lpwstr/>
      </vt:variant>
      <vt:variant>
        <vt:lpwstr>_Toc77930574</vt:lpwstr>
      </vt:variant>
      <vt:variant>
        <vt:i4>1376313</vt:i4>
      </vt:variant>
      <vt:variant>
        <vt:i4>449</vt:i4>
      </vt:variant>
      <vt:variant>
        <vt:i4>0</vt:i4>
      </vt:variant>
      <vt:variant>
        <vt:i4>5</vt:i4>
      </vt:variant>
      <vt:variant>
        <vt:lpwstr/>
      </vt:variant>
      <vt:variant>
        <vt:lpwstr>_Toc77930573</vt:lpwstr>
      </vt:variant>
      <vt:variant>
        <vt:i4>1310777</vt:i4>
      </vt:variant>
      <vt:variant>
        <vt:i4>443</vt:i4>
      </vt:variant>
      <vt:variant>
        <vt:i4>0</vt:i4>
      </vt:variant>
      <vt:variant>
        <vt:i4>5</vt:i4>
      </vt:variant>
      <vt:variant>
        <vt:lpwstr/>
      </vt:variant>
      <vt:variant>
        <vt:lpwstr>_Toc77930572</vt:lpwstr>
      </vt:variant>
      <vt:variant>
        <vt:i4>1507385</vt:i4>
      </vt:variant>
      <vt:variant>
        <vt:i4>437</vt:i4>
      </vt:variant>
      <vt:variant>
        <vt:i4>0</vt:i4>
      </vt:variant>
      <vt:variant>
        <vt:i4>5</vt:i4>
      </vt:variant>
      <vt:variant>
        <vt:lpwstr/>
      </vt:variant>
      <vt:variant>
        <vt:lpwstr>_Toc77930571</vt:lpwstr>
      </vt:variant>
      <vt:variant>
        <vt:i4>1441849</vt:i4>
      </vt:variant>
      <vt:variant>
        <vt:i4>431</vt:i4>
      </vt:variant>
      <vt:variant>
        <vt:i4>0</vt:i4>
      </vt:variant>
      <vt:variant>
        <vt:i4>5</vt:i4>
      </vt:variant>
      <vt:variant>
        <vt:lpwstr/>
      </vt:variant>
      <vt:variant>
        <vt:lpwstr>_Toc77930570</vt:lpwstr>
      </vt:variant>
      <vt:variant>
        <vt:i4>2031672</vt:i4>
      </vt:variant>
      <vt:variant>
        <vt:i4>425</vt:i4>
      </vt:variant>
      <vt:variant>
        <vt:i4>0</vt:i4>
      </vt:variant>
      <vt:variant>
        <vt:i4>5</vt:i4>
      </vt:variant>
      <vt:variant>
        <vt:lpwstr/>
      </vt:variant>
      <vt:variant>
        <vt:lpwstr>_Toc77930569</vt:lpwstr>
      </vt:variant>
      <vt:variant>
        <vt:i4>1966136</vt:i4>
      </vt:variant>
      <vt:variant>
        <vt:i4>419</vt:i4>
      </vt:variant>
      <vt:variant>
        <vt:i4>0</vt:i4>
      </vt:variant>
      <vt:variant>
        <vt:i4>5</vt:i4>
      </vt:variant>
      <vt:variant>
        <vt:lpwstr/>
      </vt:variant>
      <vt:variant>
        <vt:lpwstr>_Toc77930568</vt:lpwstr>
      </vt:variant>
      <vt:variant>
        <vt:i4>1114168</vt:i4>
      </vt:variant>
      <vt:variant>
        <vt:i4>413</vt:i4>
      </vt:variant>
      <vt:variant>
        <vt:i4>0</vt:i4>
      </vt:variant>
      <vt:variant>
        <vt:i4>5</vt:i4>
      </vt:variant>
      <vt:variant>
        <vt:lpwstr/>
      </vt:variant>
      <vt:variant>
        <vt:lpwstr>_Toc77930567</vt:lpwstr>
      </vt:variant>
      <vt:variant>
        <vt:i4>1048632</vt:i4>
      </vt:variant>
      <vt:variant>
        <vt:i4>407</vt:i4>
      </vt:variant>
      <vt:variant>
        <vt:i4>0</vt:i4>
      </vt:variant>
      <vt:variant>
        <vt:i4>5</vt:i4>
      </vt:variant>
      <vt:variant>
        <vt:lpwstr/>
      </vt:variant>
      <vt:variant>
        <vt:lpwstr>_Toc77930566</vt:lpwstr>
      </vt:variant>
      <vt:variant>
        <vt:i4>1245240</vt:i4>
      </vt:variant>
      <vt:variant>
        <vt:i4>401</vt:i4>
      </vt:variant>
      <vt:variant>
        <vt:i4>0</vt:i4>
      </vt:variant>
      <vt:variant>
        <vt:i4>5</vt:i4>
      </vt:variant>
      <vt:variant>
        <vt:lpwstr/>
      </vt:variant>
      <vt:variant>
        <vt:lpwstr>_Toc77930565</vt:lpwstr>
      </vt:variant>
      <vt:variant>
        <vt:i4>1179704</vt:i4>
      </vt:variant>
      <vt:variant>
        <vt:i4>395</vt:i4>
      </vt:variant>
      <vt:variant>
        <vt:i4>0</vt:i4>
      </vt:variant>
      <vt:variant>
        <vt:i4>5</vt:i4>
      </vt:variant>
      <vt:variant>
        <vt:lpwstr/>
      </vt:variant>
      <vt:variant>
        <vt:lpwstr>_Toc77930564</vt:lpwstr>
      </vt:variant>
      <vt:variant>
        <vt:i4>1376312</vt:i4>
      </vt:variant>
      <vt:variant>
        <vt:i4>389</vt:i4>
      </vt:variant>
      <vt:variant>
        <vt:i4>0</vt:i4>
      </vt:variant>
      <vt:variant>
        <vt:i4>5</vt:i4>
      </vt:variant>
      <vt:variant>
        <vt:lpwstr/>
      </vt:variant>
      <vt:variant>
        <vt:lpwstr>_Toc77930563</vt:lpwstr>
      </vt:variant>
      <vt:variant>
        <vt:i4>1310776</vt:i4>
      </vt:variant>
      <vt:variant>
        <vt:i4>383</vt:i4>
      </vt:variant>
      <vt:variant>
        <vt:i4>0</vt:i4>
      </vt:variant>
      <vt:variant>
        <vt:i4>5</vt:i4>
      </vt:variant>
      <vt:variant>
        <vt:lpwstr/>
      </vt:variant>
      <vt:variant>
        <vt:lpwstr>_Toc77930562</vt:lpwstr>
      </vt:variant>
      <vt:variant>
        <vt:i4>1507384</vt:i4>
      </vt:variant>
      <vt:variant>
        <vt:i4>377</vt:i4>
      </vt:variant>
      <vt:variant>
        <vt:i4>0</vt:i4>
      </vt:variant>
      <vt:variant>
        <vt:i4>5</vt:i4>
      </vt:variant>
      <vt:variant>
        <vt:lpwstr/>
      </vt:variant>
      <vt:variant>
        <vt:lpwstr>_Toc77930561</vt:lpwstr>
      </vt:variant>
      <vt:variant>
        <vt:i4>1441848</vt:i4>
      </vt:variant>
      <vt:variant>
        <vt:i4>371</vt:i4>
      </vt:variant>
      <vt:variant>
        <vt:i4>0</vt:i4>
      </vt:variant>
      <vt:variant>
        <vt:i4>5</vt:i4>
      </vt:variant>
      <vt:variant>
        <vt:lpwstr/>
      </vt:variant>
      <vt:variant>
        <vt:lpwstr>_Toc77930560</vt:lpwstr>
      </vt:variant>
      <vt:variant>
        <vt:i4>2031675</vt:i4>
      </vt:variant>
      <vt:variant>
        <vt:i4>365</vt:i4>
      </vt:variant>
      <vt:variant>
        <vt:i4>0</vt:i4>
      </vt:variant>
      <vt:variant>
        <vt:i4>5</vt:i4>
      </vt:variant>
      <vt:variant>
        <vt:lpwstr/>
      </vt:variant>
      <vt:variant>
        <vt:lpwstr>_Toc77930559</vt:lpwstr>
      </vt:variant>
      <vt:variant>
        <vt:i4>1966139</vt:i4>
      </vt:variant>
      <vt:variant>
        <vt:i4>359</vt:i4>
      </vt:variant>
      <vt:variant>
        <vt:i4>0</vt:i4>
      </vt:variant>
      <vt:variant>
        <vt:i4>5</vt:i4>
      </vt:variant>
      <vt:variant>
        <vt:lpwstr/>
      </vt:variant>
      <vt:variant>
        <vt:lpwstr>_Toc77930558</vt:lpwstr>
      </vt:variant>
      <vt:variant>
        <vt:i4>1114171</vt:i4>
      </vt:variant>
      <vt:variant>
        <vt:i4>353</vt:i4>
      </vt:variant>
      <vt:variant>
        <vt:i4>0</vt:i4>
      </vt:variant>
      <vt:variant>
        <vt:i4>5</vt:i4>
      </vt:variant>
      <vt:variant>
        <vt:lpwstr/>
      </vt:variant>
      <vt:variant>
        <vt:lpwstr>_Toc77930557</vt:lpwstr>
      </vt:variant>
      <vt:variant>
        <vt:i4>1048635</vt:i4>
      </vt:variant>
      <vt:variant>
        <vt:i4>347</vt:i4>
      </vt:variant>
      <vt:variant>
        <vt:i4>0</vt:i4>
      </vt:variant>
      <vt:variant>
        <vt:i4>5</vt:i4>
      </vt:variant>
      <vt:variant>
        <vt:lpwstr/>
      </vt:variant>
      <vt:variant>
        <vt:lpwstr>_Toc77930556</vt:lpwstr>
      </vt:variant>
      <vt:variant>
        <vt:i4>1245243</vt:i4>
      </vt:variant>
      <vt:variant>
        <vt:i4>341</vt:i4>
      </vt:variant>
      <vt:variant>
        <vt:i4>0</vt:i4>
      </vt:variant>
      <vt:variant>
        <vt:i4>5</vt:i4>
      </vt:variant>
      <vt:variant>
        <vt:lpwstr/>
      </vt:variant>
      <vt:variant>
        <vt:lpwstr>_Toc77930555</vt:lpwstr>
      </vt:variant>
      <vt:variant>
        <vt:i4>1179707</vt:i4>
      </vt:variant>
      <vt:variant>
        <vt:i4>335</vt:i4>
      </vt:variant>
      <vt:variant>
        <vt:i4>0</vt:i4>
      </vt:variant>
      <vt:variant>
        <vt:i4>5</vt:i4>
      </vt:variant>
      <vt:variant>
        <vt:lpwstr/>
      </vt:variant>
      <vt:variant>
        <vt:lpwstr>_Toc77930554</vt:lpwstr>
      </vt:variant>
      <vt:variant>
        <vt:i4>1376315</vt:i4>
      </vt:variant>
      <vt:variant>
        <vt:i4>329</vt:i4>
      </vt:variant>
      <vt:variant>
        <vt:i4>0</vt:i4>
      </vt:variant>
      <vt:variant>
        <vt:i4>5</vt:i4>
      </vt:variant>
      <vt:variant>
        <vt:lpwstr/>
      </vt:variant>
      <vt:variant>
        <vt:lpwstr>_Toc77930553</vt:lpwstr>
      </vt:variant>
      <vt:variant>
        <vt:i4>1310779</vt:i4>
      </vt:variant>
      <vt:variant>
        <vt:i4>323</vt:i4>
      </vt:variant>
      <vt:variant>
        <vt:i4>0</vt:i4>
      </vt:variant>
      <vt:variant>
        <vt:i4>5</vt:i4>
      </vt:variant>
      <vt:variant>
        <vt:lpwstr/>
      </vt:variant>
      <vt:variant>
        <vt:lpwstr>_Toc77930552</vt:lpwstr>
      </vt:variant>
      <vt:variant>
        <vt:i4>1507387</vt:i4>
      </vt:variant>
      <vt:variant>
        <vt:i4>317</vt:i4>
      </vt:variant>
      <vt:variant>
        <vt:i4>0</vt:i4>
      </vt:variant>
      <vt:variant>
        <vt:i4>5</vt:i4>
      </vt:variant>
      <vt:variant>
        <vt:lpwstr/>
      </vt:variant>
      <vt:variant>
        <vt:lpwstr>_Toc77930551</vt:lpwstr>
      </vt:variant>
      <vt:variant>
        <vt:i4>1441851</vt:i4>
      </vt:variant>
      <vt:variant>
        <vt:i4>311</vt:i4>
      </vt:variant>
      <vt:variant>
        <vt:i4>0</vt:i4>
      </vt:variant>
      <vt:variant>
        <vt:i4>5</vt:i4>
      </vt:variant>
      <vt:variant>
        <vt:lpwstr/>
      </vt:variant>
      <vt:variant>
        <vt:lpwstr>_Toc77930550</vt:lpwstr>
      </vt:variant>
      <vt:variant>
        <vt:i4>2031674</vt:i4>
      </vt:variant>
      <vt:variant>
        <vt:i4>305</vt:i4>
      </vt:variant>
      <vt:variant>
        <vt:i4>0</vt:i4>
      </vt:variant>
      <vt:variant>
        <vt:i4>5</vt:i4>
      </vt:variant>
      <vt:variant>
        <vt:lpwstr/>
      </vt:variant>
      <vt:variant>
        <vt:lpwstr>_Toc77930549</vt:lpwstr>
      </vt:variant>
      <vt:variant>
        <vt:i4>1966138</vt:i4>
      </vt:variant>
      <vt:variant>
        <vt:i4>299</vt:i4>
      </vt:variant>
      <vt:variant>
        <vt:i4>0</vt:i4>
      </vt:variant>
      <vt:variant>
        <vt:i4>5</vt:i4>
      </vt:variant>
      <vt:variant>
        <vt:lpwstr/>
      </vt:variant>
      <vt:variant>
        <vt:lpwstr>_Toc77930548</vt:lpwstr>
      </vt:variant>
      <vt:variant>
        <vt:i4>1114170</vt:i4>
      </vt:variant>
      <vt:variant>
        <vt:i4>293</vt:i4>
      </vt:variant>
      <vt:variant>
        <vt:i4>0</vt:i4>
      </vt:variant>
      <vt:variant>
        <vt:i4>5</vt:i4>
      </vt:variant>
      <vt:variant>
        <vt:lpwstr/>
      </vt:variant>
      <vt:variant>
        <vt:lpwstr>_Toc77930547</vt:lpwstr>
      </vt:variant>
      <vt:variant>
        <vt:i4>1048634</vt:i4>
      </vt:variant>
      <vt:variant>
        <vt:i4>287</vt:i4>
      </vt:variant>
      <vt:variant>
        <vt:i4>0</vt:i4>
      </vt:variant>
      <vt:variant>
        <vt:i4>5</vt:i4>
      </vt:variant>
      <vt:variant>
        <vt:lpwstr/>
      </vt:variant>
      <vt:variant>
        <vt:lpwstr>_Toc77930546</vt:lpwstr>
      </vt:variant>
      <vt:variant>
        <vt:i4>1245242</vt:i4>
      </vt:variant>
      <vt:variant>
        <vt:i4>281</vt:i4>
      </vt:variant>
      <vt:variant>
        <vt:i4>0</vt:i4>
      </vt:variant>
      <vt:variant>
        <vt:i4>5</vt:i4>
      </vt:variant>
      <vt:variant>
        <vt:lpwstr/>
      </vt:variant>
      <vt:variant>
        <vt:lpwstr>_Toc77930545</vt:lpwstr>
      </vt:variant>
      <vt:variant>
        <vt:i4>1179706</vt:i4>
      </vt:variant>
      <vt:variant>
        <vt:i4>275</vt:i4>
      </vt:variant>
      <vt:variant>
        <vt:i4>0</vt:i4>
      </vt:variant>
      <vt:variant>
        <vt:i4>5</vt:i4>
      </vt:variant>
      <vt:variant>
        <vt:lpwstr/>
      </vt:variant>
      <vt:variant>
        <vt:lpwstr>_Toc77930544</vt:lpwstr>
      </vt:variant>
      <vt:variant>
        <vt:i4>1376314</vt:i4>
      </vt:variant>
      <vt:variant>
        <vt:i4>269</vt:i4>
      </vt:variant>
      <vt:variant>
        <vt:i4>0</vt:i4>
      </vt:variant>
      <vt:variant>
        <vt:i4>5</vt:i4>
      </vt:variant>
      <vt:variant>
        <vt:lpwstr/>
      </vt:variant>
      <vt:variant>
        <vt:lpwstr>_Toc77930543</vt:lpwstr>
      </vt:variant>
      <vt:variant>
        <vt:i4>1310778</vt:i4>
      </vt:variant>
      <vt:variant>
        <vt:i4>263</vt:i4>
      </vt:variant>
      <vt:variant>
        <vt:i4>0</vt:i4>
      </vt:variant>
      <vt:variant>
        <vt:i4>5</vt:i4>
      </vt:variant>
      <vt:variant>
        <vt:lpwstr/>
      </vt:variant>
      <vt:variant>
        <vt:lpwstr>_Toc77930542</vt:lpwstr>
      </vt:variant>
      <vt:variant>
        <vt:i4>1507386</vt:i4>
      </vt:variant>
      <vt:variant>
        <vt:i4>257</vt:i4>
      </vt:variant>
      <vt:variant>
        <vt:i4>0</vt:i4>
      </vt:variant>
      <vt:variant>
        <vt:i4>5</vt:i4>
      </vt:variant>
      <vt:variant>
        <vt:lpwstr/>
      </vt:variant>
      <vt:variant>
        <vt:lpwstr>_Toc77930541</vt:lpwstr>
      </vt:variant>
      <vt:variant>
        <vt:i4>1441850</vt:i4>
      </vt:variant>
      <vt:variant>
        <vt:i4>251</vt:i4>
      </vt:variant>
      <vt:variant>
        <vt:i4>0</vt:i4>
      </vt:variant>
      <vt:variant>
        <vt:i4>5</vt:i4>
      </vt:variant>
      <vt:variant>
        <vt:lpwstr/>
      </vt:variant>
      <vt:variant>
        <vt:lpwstr>_Toc77930540</vt:lpwstr>
      </vt:variant>
      <vt:variant>
        <vt:i4>2031677</vt:i4>
      </vt:variant>
      <vt:variant>
        <vt:i4>245</vt:i4>
      </vt:variant>
      <vt:variant>
        <vt:i4>0</vt:i4>
      </vt:variant>
      <vt:variant>
        <vt:i4>5</vt:i4>
      </vt:variant>
      <vt:variant>
        <vt:lpwstr/>
      </vt:variant>
      <vt:variant>
        <vt:lpwstr>_Toc77930539</vt:lpwstr>
      </vt:variant>
      <vt:variant>
        <vt:i4>1966141</vt:i4>
      </vt:variant>
      <vt:variant>
        <vt:i4>239</vt:i4>
      </vt:variant>
      <vt:variant>
        <vt:i4>0</vt:i4>
      </vt:variant>
      <vt:variant>
        <vt:i4>5</vt:i4>
      </vt:variant>
      <vt:variant>
        <vt:lpwstr/>
      </vt:variant>
      <vt:variant>
        <vt:lpwstr>_Toc77930538</vt:lpwstr>
      </vt:variant>
      <vt:variant>
        <vt:i4>1114173</vt:i4>
      </vt:variant>
      <vt:variant>
        <vt:i4>233</vt:i4>
      </vt:variant>
      <vt:variant>
        <vt:i4>0</vt:i4>
      </vt:variant>
      <vt:variant>
        <vt:i4>5</vt:i4>
      </vt:variant>
      <vt:variant>
        <vt:lpwstr/>
      </vt:variant>
      <vt:variant>
        <vt:lpwstr>_Toc77930537</vt:lpwstr>
      </vt:variant>
      <vt:variant>
        <vt:i4>1048637</vt:i4>
      </vt:variant>
      <vt:variant>
        <vt:i4>227</vt:i4>
      </vt:variant>
      <vt:variant>
        <vt:i4>0</vt:i4>
      </vt:variant>
      <vt:variant>
        <vt:i4>5</vt:i4>
      </vt:variant>
      <vt:variant>
        <vt:lpwstr/>
      </vt:variant>
      <vt:variant>
        <vt:lpwstr>_Toc77930536</vt:lpwstr>
      </vt:variant>
      <vt:variant>
        <vt:i4>1245245</vt:i4>
      </vt:variant>
      <vt:variant>
        <vt:i4>221</vt:i4>
      </vt:variant>
      <vt:variant>
        <vt:i4>0</vt:i4>
      </vt:variant>
      <vt:variant>
        <vt:i4>5</vt:i4>
      </vt:variant>
      <vt:variant>
        <vt:lpwstr/>
      </vt:variant>
      <vt:variant>
        <vt:lpwstr>_Toc77930535</vt:lpwstr>
      </vt:variant>
      <vt:variant>
        <vt:i4>1179709</vt:i4>
      </vt:variant>
      <vt:variant>
        <vt:i4>215</vt:i4>
      </vt:variant>
      <vt:variant>
        <vt:i4>0</vt:i4>
      </vt:variant>
      <vt:variant>
        <vt:i4>5</vt:i4>
      </vt:variant>
      <vt:variant>
        <vt:lpwstr/>
      </vt:variant>
      <vt:variant>
        <vt:lpwstr>_Toc77930534</vt:lpwstr>
      </vt:variant>
      <vt:variant>
        <vt:i4>1376317</vt:i4>
      </vt:variant>
      <vt:variant>
        <vt:i4>209</vt:i4>
      </vt:variant>
      <vt:variant>
        <vt:i4>0</vt:i4>
      </vt:variant>
      <vt:variant>
        <vt:i4>5</vt:i4>
      </vt:variant>
      <vt:variant>
        <vt:lpwstr/>
      </vt:variant>
      <vt:variant>
        <vt:lpwstr>_Toc77930533</vt:lpwstr>
      </vt:variant>
      <vt:variant>
        <vt:i4>1310781</vt:i4>
      </vt:variant>
      <vt:variant>
        <vt:i4>203</vt:i4>
      </vt:variant>
      <vt:variant>
        <vt:i4>0</vt:i4>
      </vt:variant>
      <vt:variant>
        <vt:i4>5</vt:i4>
      </vt:variant>
      <vt:variant>
        <vt:lpwstr/>
      </vt:variant>
      <vt:variant>
        <vt:lpwstr>_Toc77930532</vt:lpwstr>
      </vt:variant>
      <vt:variant>
        <vt:i4>1507389</vt:i4>
      </vt:variant>
      <vt:variant>
        <vt:i4>197</vt:i4>
      </vt:variant>
      <vt:variant>
        <vt:i4>0</vt:i4>
      </vt:variant>
      <vt:variant>
        <vt:i4>5</vt:i4>
      </vt:variant>
      <vt:variant>
        <vt:lpwstr/>
      </vt:variant>
      <vt:variant>
        <vt:lpwstr>_Toc77930531</vt:lpwstr>
      </vt:variant>
      <vt:variant>
        <vt:i4>1441853</vt:i4>
      </vt:variant>
      <vt:variant>
        <vt:i4>191</vt:i4>
      </vt:variant>
      <vt:variant>
        <vt:i4>0</vt:i4>
      </vt:variant>
      <vt:variant>
        <vt:i4>5</vt:i4>
      </vt:variant>
      <vt:variant>
        <vt:lpwstr/>
      </vt:variant>
      <vt:variant>
        <vt:lpwstr>_Toc77930530</vt:lpwstr>
      </vt:variant>
      <vt:variant>
        <vt:i4>2031676</vt:i4>
      </vt:variant>
      <vt:variant>
        <vt:i4>185</vt:i4>
      </vt:variant>
      <vt:variant>
        <vt:i4>0</vt:i4>
      </vt:variant>
      <vt:variant>
        <vt:i4>5</vt:i4>
      </vt:variant>
      <vt:variant>
        <vt:lpwstr/>
      </vt:variant>
      <vt:variant>
        <vt:lpwstr>_Toc77930529</vt:lpwstr>
      </vt:variant>
      <vt:variant>
        <vt:i4>1966140</vt:i4>
      </vt:variant>
      <vt:variant>
        <vt:i4>179</vt:i4>
      </vt:variant>
      <vt:variant>
        <vt:i4>0</vt:i4>
      </vt:variant>
      <vt:variant>
        <vt:i4>5</vt:i4>
      </vt:variant>
      <vt:variant>
        <vt:lpwstr/>
      </vt:variant>
      <vt:variant>
        <vt:lpwstr>_Toc77930528</vt:lpwstr>
      </vt:variant>
      <vt:variant>
        <vt:i4>1114172</vt:i4>
      </vt:variant>
      <vt:variant>
        <vt:i4>173</vt:i4>
      </vt:variant>
      <vt:variant>
        <vt:i4>0</vt:i4>
      </vt:variant>
      <vt:variant>
        <vt:i4>5</vt:i4>
      </vt:variant>
      <vt:variant>
        <vt:lpwstr/>
      </vt:variant>
      <vt:variant>
        <vt:lpwstr>_Toc77930527</vt:lpwstr>
      </vt:variant>
      <vt:variant>
        <vt:i4>1048636</vt:i4>
      </vt:variant>
      <vt:variant>
        <vt:i4>167</vt:i4>
      </vt:variant>
      <vt:variant>
        <vt:i4>0</vt:i4>
      </vt:variant>
      <vt:variant>
        <vt:i4>5</vt:i4>
      </vt:variant>
      <vt:variant>
        <vt:lpwstr/>
      </vt:variant>
      <vt:variant>
        <vt:lpwstr>_Toc77930526</vt:lpwstr>
      </vt:variant>
      <vt:variant>
        <vt:i4>1245244</vt:i4>
      </vt:variant>
      <vt:variant>
        <vt:i4>161</vt:i4>
      </vt:variant>
      <vt:variant>
        <vt:i4>0</vt:i4>
      </vt:variant>
      <vt:variant>
        <vt:i4>5</vt:i4>
      </vt:variant>
      <vt:variant>
        <vt:lpwstr/>
      </vt:variant>
      <vt:variant>
        <vt:lpwstr>_Toc77930525</vt:lpwstr>
      </vt:variant>
      <vt:variant>
        <vt:i4>1179708</vt:i4>
      </vt:variant>
      <vt:variant>
        <vt:i4>155</vt:i4>
      </vt:variant>
      <vt:variant>
        <vt:i4>0</vt:i4>
      </vt:variant>
      <vt:variant>
        <vt:i4>5</vt:i4>
      </vt:variant>
      <vt:variant>
        <vt:lpwstr/>
      </vt:variant>
      <vt:variant>
        <vt:lpwstr>_Toc77930524</vt:lpwstr>
      </vt:variant>
      <vt:variant>
        <vt:i4>1376316</vt:i4>
      </vt:variant>
      <vt:variant>
        <vt:i4>149</vt:i4>
      </vt:variant>
      <vt:variant>
        <vt:i4>0</vt:i4>
      </vt:variant>
      <vt:variant>
        <vt:i4>5</vt:i4>
      </vt:variant>
      <vt:variant>
        <vt:lpwstr/>
      </vt:variant>
      <vt:variant>
        <vt:lpwstr>_Toc77930523</vt:lpwstr>
      </vt:variant>
      <vt:variant>
        <vt:i4>1310780</vt:i4>
      </vt:variant>
      <vt:variant>
        <vt:i4>143</vt:i4>
      </vt:variant>
      <vt:variant>
        <vt:i4>0</vt:i4>
      </vt:variant>
      <vt:variant>
        <vt:i4>5</vt:i4>
      </vt:variant>
      <vt:variant>
        <vt:lpwstr/>
      </vt:variant>
      <vt:variant>
        <vt:lpwstr>_Toc77930522</vt:lpwstr>
      </vt:variant>
      <vt:variant>
        <vt:i4>1507388</vt:i4>
      </vt:variant>
      <vt:variant>
        <vt:i4>137</vt:i4>
      </vt:variant>
      <vt:variant>
        <vt:i4>0</vt:i4>
      </vt:variant>
      <vt:variant>
        <vt:i4>5</vt:i4>
      </vt:variant>
      <vt:variant>
        <vt:lpwstr/>
      </vt:variant>
      <vt:variant>
        <vt:lpwstr>_Toc77930521</vt:lpwstr>
      </vt:variant>
      <vt:variant>
        <vt:i4>1441852</vt:i4>
      </vt:variant>
      <vt:variant>
        <vt:i4>131</vt:i4>
      </vt:variant>
      <vt:variant>
        <vt:i4>0</vt:i4>
      </vt:variant>
      <vt:variant>
        <vt:i4>5</vt:i4>
      </vt:variant>
      <vt:variant>
        <vt:lpwstr/>
      </vt:variant>
      <vt:variant>
        <vt:lpwstr>_Toc77930520</vt:lpwstr>
      </vt:variant>
      <vt:variant>
        <vt:i4>2031679</vt:i4>
      </vt:variant>
      <vt:variant>
        <vt:i4>125</vt:i4>
      </vt:variant>
      <vt:variant>
        <vt:i4>0</vt:i4>
      </vt:variant>
      <vt:variant>
        <vt:i4>5</vt:i4>
      </vt:variant>
      <vt:variant>
        <vt:lpwstr/>
      </vt:variant>
      <vt:variant>
        <vt:lpwstr>_Toc77930519</vt:lpwstr>
      </vt:variant>
      <vt:variant>
        <vt:i4>1966143</vt:i4>
      </vt:variant>
      <vt:variant>
        <vt:i4>119</vt:i4>
      </vt:variant>
      <vt:variant>
        <vt:i4>0</vt:i4>
      </vt:variant>
      <vt:variant>
        <vt:i4>5</vt:i4>
      </vt:variant>
      <vt:variant>
        <vt:lpwstr/>
      </vt:variant>
      <vt:variant>
        <vt:lpwstr>_Toc77930518</vt:lpwstr>
      </vt:variant>
      <vt:variant>
        <vt:i4>1114175</vt:i4>
      </vt:variant>
      <vt:variant>
        <vt:i4>113</vt:i4>
      </vt:variant>
      <vt:variant>
        <vt:i4>0</vt:i4>
      </vt:variant>
      <vt:variant>
        <vt:i4>5</vt:i4>
      </vt:variant>
      <vt:variant>
        <vt:lpwstr/>
      </vt:variant>
      <vt:variant>
        <vt:lpwstr>_Toc77930517</vt:lpwstr>
      </vt:variant>
      <vt:variant>
        <vt:i4>1048639</vt:i4>
      </vt:variant>
      <vt:variant>
        <vt:i4>107</vt:i4>
      </vt:variant>
      <vt:variant>
        <vt:i4>0</vt:i4>
      </vt:variant>
      <vt:variant>
        <vt:i4>5</vt:i4>
      </vt:variant>
      <vt:variant>
        <vt:lpwstr/>
      </vt:variant>
      <vt:variant>
        <vt:lpwstr>_Toc77930516</vt:lpwstr>
      </vt:variant>
      <vt:variant>
        <vt:i4>1245247</vt:i4>
      </vt:variant>
      <vt:variant>
        <vt:i4>101</vt:i4>
      </vt:variant>
      <vt:variant>
        <vt:i4>0</vt:i4>
      </vt:variant>
      <vt:variant>
        <vt:i4>5</vt:i4>
      </vt:variant>
      <vt:variant>
        <vt:lpwstr/>
      </vt:variant>
      <vt:variant>
        <vt:lpwstr>_Toc77930515</vt:lpwstr>
      </vt:variant>
      <vt:variant>
        <vt:i4>1179711</vt:i4>
      </vt:variant>
      <vt:variant>
        <vt:i4>95</vt:i4>
      </vt:variant>
      <vt:variant>
        <vt:i4>0</vt:i4>
      </vt:variant>
      <vt:variant>
        <vt:i4>5</vt:i4>
      </vt:variant>
      <vt:variant>
        <vt:lpwstr/>
      </vt:variant>
      <vt:variant>
        <vt:lpwstr>_Toc77930514</vt:lpwstr>
      </vt:variant>
      <vt:variant>
        <vt:i4>1376319</vt:i4>
      </vt:variant>
      <vt:variant>
        <vt:i4>89</vt:i4>
      </vt:variant>
      <vt:variant>
        <vt:i4>0</vt:i4>
      </vt:variant>
      <vt:variant>
        <vt:i4>5</vt:i4>
      </vt:variant>
      <vt:variant>
        <vt:lpwstr/>
      </vt:variant>
      <vt:variant>
        <vt:lpwstr>_Toc77930513</vt:lpwstr>
      </vt:variant>
      <vt:variant>
        <vt:i4>1310783</vt:i4>
      </vt:variant>
      <vt:variant>
        <vt:i4>83</vt:i4>
      </vt:variant>
      <vt:variant>
        <vt:i4>0</vt:i4>
      </vt:variant>
      <vt:variant>
        <vt:i4>5</vt:i4>
      </vt:variant>
      <vt:variant>
        <vt:lpwstr/>
      </vt:variant>
      <vt:variant>
        <vt:lpwstr>_Toc77930512</vt:lpwstr>
      </vt:variant>
      <vt:variant>
        <vt:i4>1507391</vt:i4>
      </vt:variant>
      <vt:variant>
        <vt:i4>77</vt:i4>
      </vt:variant>
      <vt:variant>
        <vt:i4>0</vt:i4>
      </vt:variant>
      <vt:variant>
        <vt:i4>5</vt:i4>
      </vt:variant>
      <vt:variant>
        <vt:lpwstr/>
      </vt:variant>
      <vt:variant>
        <vt:lpwstr>_Toc77930511</vt:lpwstr>
      </vt:variant>
      <vt:variant>
        <vt:i4>1441855</vt:i4>
      </vt:variant>
      <vt:variant>
        <vt:i4>71</vt:i4>
      </vt:variant>
      <vt:variant>
        <vt:i4>0</vt:i4>
      </vt:variant>
      <vt:variant>
        <vt:i4>5</vt:i4>
      </vt:variant>
      <vt:variant>
        <vt:lpwstr/>
      </vt:variant>
      <vt:variant>
        <vt:lpwstr>_Toc77930510</vt:lpwstr>
      </vt:variant>
      <vt:variant>
        <vt:i4>2031678</vt:i4>
      </vt:variant>
      <vt:variant>
        <vt:i4>65</vt:i4>
      </vt:variant>
      <vt:variant>
        <vt:i4>0</vt:i4>
      </vt:variant>
      <vt:variant>
        <vt:i4>5</vt:i4>
      </vt:variant>
      <vt:variant>
        <vt:lpwstr/>
      </vt:variant>
      <vt:variant>
        <vt:lpwstr>_Toc77930509</vt:lpwstr>
      </vt:variant>
      <vt:variant>
        <vt:i4>1966142</vt:i4>
      </vt:variant>
      <vt:variant>
        <vt:i4>59</vt:i4>
      </vt:variant>
      <vt:variant>
        <vt:i4>0</vt:i4>
      </vt:variant>
      <vt:variant>
        <vt:i4>5</vt:i4>
      </vt:variant>
      <vt:variant>
        <vt:lpwstr/>
      </vt:variant>
      <vt:variant>
        <vt:lpwstr>_Toc77930508</vt:lpwstr>
      </vt:variant>
      <vt:variant>
        <vt:i4>1114174</vt:i4>
      </vt:variant>
      <vt:variant>
        <vt:i4>53</vt:i4>
      </vt:variant>
      <vt:variant>
        <vt:i4>0</vt:i4>
      </vt:variant>
      <vt:variant>
        <vt:i4>5</vt:i4>
      </vt:variant>
      <vt:variant>
        <vt:lpwstr/>
      </vt:variant>
      <vt:variant>
        <vt:lpwstr>_Toc77930507</vt:lpwstr>
      </vt:variant>
      <vt:variant>
        <vt:i4>1048638</vt:i4>
      </vt:variant>
      <vt:variant>
        <vt:i4>47</vt:i4>
      </vt:variant>
      <vt:variant>
        <vt:i4>0</vt:i4>
      </vt:variant>
      <vt:variant>
        <vt:i4>5</vt:i4>
      </vt:variant>
      <vt:variant>
        <vt:lpwstr/>
      </vt:variant>
      <vt:variant>
        <vt:lpwstr>_Toc77930506</vt:lpwstr>
      </vt:variant>
      <vt:variant>
        <vt:i4>1245246</vt:i4>
      </vt:variant>
      <vt:variant>
        <vt:i4>41</vt:i4>
      </vt:variant>
      <vt:variant>
        <vt:i4>0</vt:i4>
      </vt:variant>
      <vt:variant>
        <vt:i4>5</vt:i4>
      </vt:variant>
      <vt:variant>
        <vt:lpwstr/>
      </vt:variant>
      <vt:variant>
        <vt:lpwstr>_Toc77930505</vt:lpwstr>
      </vt:variant>
      <vt:variant>
        <vt:i4>1179710</vt:i4>
      </vt:variant>
      <vt:variant>
        <vt:i4>35</vt:i4>
      </vt:variant>
      <vt:variant>
        <vt:i4>0</vt:i4>
      </vt:variant>
      <vt:variant>
        <vt:i4>5</vt:i4>
      </vt:variant>
      <vt:variant>
        <vt:lpwstr/>
      </vt:variant>
      <vt:variant>
        <vt:lpwstr>_Toc77930504</vt:lpwstr>
      </vt:variant>
      <vt:variant>
        <vt:i4>1376318</vt:i4>
      </vt:variant>
      <vt:variant>
        <vt:i4>29</vt:i4>
      </vt:variant>
      <vt:variant>
        <vt:i4>0</vt:i4>
      </vt:variant>
      <vt:variant>
        <vt:i4>5</vt:i4>
      </vt:variant>
      <vt:variant>
        <vt:lpwstr/>
      </vt:variant>
      <vt:variant>
        <vt:lpwstr>_Toc77930503</vt:lpwstr>
      </vt:variant>
      <vt:variant>
        <vt:i4>1310782</vt:i4>
      </vt:variant>
      <vt:variant>
        <vt:i4>23</vt:i4>
      </vt:variant>
      <vt:variant>
        <vt:i4>0</vt:i4>
      </vt:variant>
      <vt:variant>
        <vt:i4>5</vt:i4>
      </vt:variant>
      <vt:variant>
        <vt:lpwstr/>
      </vt:variant>
      <vt:variant>
        <vt:lpwstr>_Toc77930502</vt:lpwstr>
      </vt:variant>
      <vt:variant>
        <vt:i4>1507390</vt:i4>
      </vt:variant>
      <vt:variant>
        <vt:i4>17</vt:i4>
      </vt:variant>
      <vt:variant>
        <vt:i4>0</vt:i4>
      </vt:variant>
      <vt:variant>
        <vt:i4>5</vt:i4>
      </vt:variant>
      <vt:variant>
        <vt:lpwstr/>
      </vt:variant>
      <vt:variant>
        <vt:lpwstr>_Toc77930501</vt:lpwstr>
      </vt:variant>
      <vt:variant>
        <vt:i4>1441854</vt:i4>
      </vt:variant>
      <vt:variant>
        <vt:i4>11</vt:i4>
      </vt:variant>
      <vt:variant>
        <vt:i4>0</vt:i4>
      </vt:variant>
      <vt:variant>
        <vt:i4>5</vt:i4>
      </vt:variant>
      <vt:variant>
        <vt:lpwstr/>
      </vt:variant>
      <vt:variant>
        <vt:lpwstr>_Toc77930500</vt:lpwstr>
      </vt:variant>
      <vt:variant>
        <vt:i4>1966135</vt:i4>
      </vt:variant>
      <vt:variant>
        <vt:i4>5</vt:i4>
      </vt:variant>
      <vt:variant>
        <vt:i4>0</vt:i4>
      </vt:variant>
      <vt:variant>
        <vt:i4>5</vt:i4>
      </vt:variant>
      <vt:variant>
        <vt:lpwstr/>
      </vt:variant>
      <vt:variant>
        <vt:lpwstr>_Toc77930499</vt:lpwstr>
      </vt:variant>
      <vt:variant>
        <vt:i4>1507373</vt:i4>
      </vt:variant>
      <vt:variant>
        <vt:i4>0</vt:i4>
      </vt:variant>
      <vt:variant>
        <vt:i4>0</vt:i4>
      </vt:variant>
      <vt:variant>
        <vt:i4>5</vt:i4>
      </vt:variant>
      <vt:variant>
        <vt:lpwstr>mailto:drugsafety@pivotalcr.com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anjaz</dc:creator>
  <cp:keywords/>
  <dc:description/>
  <cp:lastModifiedBy>Nicole Mielke</cp:lastModifiedBy>
  <cp:revision>3</cp:revision>
  <cp:lastPrinted>2021-07-26T08:30:00Z</cp:lastPrinted>
  <dcterms:created xsi:type="dcterms:W3CDTF">2022-01-10T13:41:00Z</dcterms:created>
  <dcterms:modified xsi:type="dcterms:W3CDTF">2022-01-10T13:41:00Z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0x0101008E5B5F3924D7B249AEAEC21EADD469AC</vt:lpwstr>
  </property>
  <property fmtid="{D5CDD505-2E9C-101B-9397-08002B2CF9AE}" pid="3" name="ZOTERO_PREF_1">
    <vt:lpwstr>&lt;data data-version="3" zotero-version="5.0.96.2"&gt;&lt;session id="UFChkp2L"/&gt;&lt;style id="http://www.zotero.org/styles/chicago-author-date" locale="en-US" hasBibliography="1" bibliographyStyleHasBeenSet="1"/&gt;&lt;prefs&gt;&lt;pref name="fieldType" value="Field"/&gt;&lt;/prefs&gt;</vt:lpwstr>
  </property>
  <property fmtid="{D5CDD505-2E9C-101B-9397-08002B2CF9AE}" pid="4" name="ZOTERO_PREF_2">
    <vt:lpwstr>&lt;/data&gt;</vt:lpwstr>
  </property>
</Properties>
</file>