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214" w:rsidRPr="00867BD2" w:rsidRDefault="00452214" w:rsidP="00452214">
      <w:pPr>
        <w:pStyle w:val="berschrift2"/>
        <w:keepLines w:val="0"/>
        <w:numPr>
          <w:ilvl w:val="0"/>
          <w:numId w:val="1"/>
        </w:numPr>
        <w:tabs>
          <w:tab w:val="left" w:pos="284"/>
          <w:tab w:val="left" w:pos="1701"/>
        </w:tabs>
        <w:spacing w:before="0" w:line="360" w:lineRule="auto"/>
        <w:jc w:val="both"/>
        <w:rPr>
          <w:rFonts w:ascii="Arial" w:eastAsia="Times New Roman" w:hAnsi="Arial" w:cs="Arial"/>
          <w:b/>
          <w:bCs/>
          <w:color w:val="auto"/>
          <w:kern w:val="32"/>
          <w:sz w:val="28"/>
          <w:szCs w:val="28"/>
          <w:lang w:eastAsia="nl-NL"/>
        </w:rPr>
      </w:pPr>
      <w:bookmarkStart w:id="0" w:name="_Toc58412012"/>
      <w:r w:rsidRPr="00867BD2">
        <w:rPr>
          <w:rFonts w:ascii="Arial" w:eastAsia="Times New Roman" w:hAnsi="Arial" w:cs="Arial"/>
          <w:b/>
          <w:bCs/>
          <w:color w:val="auto"/>
          <w:kern w:val="32"/>
          <w:sz w:val="28"/>
          <w:szCs w:val="28"/>
          <w:lang w:eastAsia="nl-NL"/>
        </w:rPr>
        <w:t>Study summary</w:t>
      </w:r>
      <w:bookmarkEnd w:id="0"/>
      <w:r w:rsidRPr="00867BD2">
        <w:rPr>
          <w:rFonts w:ascii="Arial" w:eastAsia="Times New Roman" w:hAnsi="Arial" w:cs="Arial"/>
          <w:b/>
          <w:bCs/>
          <w:color w:val="auto"/>
          <w:kern w:val="32"/>
          <w:sz w:val="28"/>
          <w:szCs w:val="28"/>
          <w:lang w:eastAsia="nl-NL"/>
        </w:rPr>
        <w:t xml:space="preserve"> </w:t>
      </w:r>
    </w:p>
    <w:p w:rsidR="00452214" w:rsidRPr="00867BD2" w:rsidRDefault="00452214" w:rsidP="00452214">
      <w:pPr>
        <w:pStyle w:val="Listenabsatz"/>
        <w:spacing w:before="0" w:line="360" w:lineRule="auto"/>
        <w:ind w:left="0" w:right="-92" w:firstLine="0"/>
        <w:jc w:val="both"/>
        <w:rPr>
          <w:rFonts w:ascii="Arial" w:hAnsi="Arial" w:cs="Arial"/>
        </w:rPr>
      </w:pPr>
      <w:r w:rsidRPr="00867BD2">
        <w:rPr>
          <w:rFonts w:ascii="Arial" w:hAnsi="Arial" w:cs="Arial"/>
          <w:b/>
        </w:rPr>
        <w:t>Background.</w:t>
      </w:r>
      <w:r w:rsidRPr="00867BD2">
        <w:rPr>
          <w:rFonts w:ascii="Arial" w:hAnsi="Arial" w:cs="Arial"/>
        </w:rPr>
        <w:t xml:space="preserve"> </w:t>
      </w:r>
      <w:r w:rsidRPr="00867BD2">
        <w:rPr>
          <w:rFonts w:ascii="Arial" w:hAnsi="Arial" w:cs="Arial"/>
          <w:sz w:val="24"/>
          <w:szCs w:val="24"/>
          <w:lang w:val="en-GB" w:eastAsia="nl-NL"/>
        </w:rPr>
        <w:t xml:space="preserve">Treatment with rituximab (RTX), a monoclonal antibody targeting CD20, constitutes an important therapeutic strategy for patients with several </w:t>
      </w:r>
      <w:r>
        <w:rPr>
          <w:rFonts w:ascii="Arial" w:hAnsi="Arial" w:cs="Arial"/>
          <w:sz w:val="24"/>
          <w:szCs w:val="24"/>
          <w:lang w:val="en-GB" w:eastAsia="nl-NL"/>
        </w:rPr>
        <w:t xml:space="preserve">chronic </w:t>
      </w:r>
      <w:r w:rsidRPr="00867BD2">
        <w:rPr>
          <w:rFonts w:ascii="Arial" w:hAnsi="Arial" w:cs="Arial"/>
          <w:sz w:val="24"/>
          <w:szCs w:val="24"/>
          <w:lang w:val="en-GB" w:eastAsia="nl-NL"/>
        </w:rPr>
        <w:t xml:space="preserve">inflammatory </w:t>
      </w:r>
      <w:r>
        <w:rPr>
          <w:rFonts w:ascii="Arial" w:hAnsi="Arial" w:cs="Arial"/>
          <w:sz w:val="24"/>
          <w:szCs w:val="24"/>
          <w:lang w:val="en-GB" w:eastAsia="nl-NL"/>
        </w:rPr>
        <w:t>conditions such as rheumatoid arthritis, systemic lupus erythematosus, mixed connective tissue diseases and neurological disorders like multiple sclerosis or immune-mediated peripheral neuropathies</w:t>
      </w:r>
      <w:r w:rsidRPr="00867BD2">
        <w:rPr>
          <w:rFonts w:ascii="Arial" w:hAnsi="Arial" w:cs="Arial"/>
          <w:sz w:val="24"/>
          <w:szCs w:val="24"/>
          <w:lang w:val="en-GB" w:eastAsia="nl-NL"/>
        </w:rPr>
        <w:t xml:space="preserve">. Some recent reports have already highlighted the risk of serious consequences upon severe acute respiratory syndrome coronavirus 2 (SARS-CoV-2) infection in patients treated with RTX. Besides the risk of a more severe disease course during B cell depleting therapy, a major concern is the immunogenicity of vaccination during immunomodulatory therapies, especially with RTX. Indeed, RTX </w:t>
      </w:r>
      <w:proofErr w:type="gramStart"/>
      <w:r w:rsidRPr="00867BD2">
        <w:rPr>
          <w:rFonts w:ascii="Arial" w:hAnsi="Arial" w:cs="Arial"/>
          <w:sz w:val="24"/>
          <w:szCs w:val="24"/>
          <w:lang w:val="en-GB" w:eastAsia="nl-NL"/>
        </w:rPr>
        <w:t>has been shown</w:t>
      </w:r>
      <w:proofErr w:type="gramEnd"/>
      <w:r w:rsidRPr="00867BD2">
        <w:rPr>
          <w:rFonts w:ascii="Arial" w:hAnsi="Arial" w:cs="Arial"/>
          <w:sz w:val="24"/>
          <w:szCs w:val="24"/>
          <w:lang w:val="en-GB" w:eastAsia="nl-NL"/>
        </w:rPr>
        <w:t xml:space="preserve"> to impair humoral responses to various vaccines including SARS-CoV-2 vaccination. Studies from other vaccines have shown that an additional vaccination or a change of the vaccine can lead to development of a humoral immune response. </w:t>
      </w:r>
    </w:p>
    <w:p w:rsidR="00452214" w:rsidRPr="00867BD2" w:rsidRDefault="00452214" w:rsidP="00452214">
      <w:pPr>
        <w:pStyle w:val="BodyText12"/>
        <w:spacing w:after="0" w:line="360" w:lineRule="auto"/>
        <w:ind w:right="-92"/>
        <w:rPr>
          <w:lang w:val="en-US"/>
        </w:rPr>
      </w:pPr>
      <w:r w:rsidRPr="00867BD2">
        <w:rPr>
          <w:b/>
          <w:lang w:val="en-US"/>
        </w:rPr>
        <w:t>Objective.</w:t>
      </w:r>
      <w:r w:rsidRPr="00867BD2">
        <w:rPr>
          <w:lang w:val="en-US"/>
        </w:rPr>
        <w:t xml:space="preserve"> To investigate if a third vaccination with a vector based vaccine is superior to a further dose of the vaccine used for basis immunization in previous </w:t>
      </w:r>
      <w:proofErr w:type="gramStart"/>
      <w:r w:rsidRPr="00867BD2">
        <w:rPr>
          <w:lang w:val="en-US"/>
        </w:rPr>
        <w:t>non responders</w:t>
      </w:r>
      <w:proofErr w:type="gramEnd"/>
      <w:r w:rsidRPr="00867BD2">
        <w:rPr>
          <w:lang w:val="en-US"/>
        </w:rPr>
        <w:t xml:space="preserve"> receiving rituximab.</w:t>
      </w:r>
    </w:p>
    <w:p w:rsidR="00452214" w:rsidRPr="00867BD2" w:rsidRDefault="00452214" w:rsidP="00452214">
      <w:pPr>
        <w:pStyle w:val="BodyText12"/>
        <w:spacing w:after="0" w:line="360" w:lineRule="auto"/>
        <w:ind w:right="-92"/>
        <w:rPr>
          <w:lang w:val="en-US"/>
        </w:rPr>
      </w:pPr>
      <w:r w:rsidRPr="00867BD2">
        <w:rPr>
          <w:b/>
          <w:lang w:val="en-US"/>
        </w:rPr>
        <w:t xml:space="preserve">Methods. </w:t>
      </w:r>
      <w:r w:rsidRPr="00867BD2">
        <w:t>We perform</w:t>
      </w:r>
      <w:r>
        <w:t>ed</w:t>
      </w:r>
      <w:r w:rsidRPr="00867BD2">
        <w:t xml:space="preserve"> a prospective single blind randomized controlled study. </w:t>
      </w:r>
      <w:proofErr w:type="gramStart"/>
      <w:r w:rsidRPr="00867BD2">
        <w:t>A total of 6</w:t>
      </w:r>
      <w:r>
        <w:t>8</w:t>
      </w:r>
      <w:proofErr w:type="gramEnd"/>
      <w:r w:rsidRPr="00867BD2">
        <w:t xml:space="preserve"> patients under rituximab treatment </w:t>
      </w:r>
      <w:r>
        <w:t>were</w:t>
      </w:r>
      <w:r w:rsidRPr="00867BD2">
        <w:t xml:space="preserve"> </w:t>
      </w:r>
      <w:r>
        <w:t>screened and 60 patients were enrolled</w:t>
      </w:r>
      <w:r w:rsidRPr="00867BD2">
        <w:t xml:space="preserve"> in this clinical trial who received two vaccinations with an mRNA vaccine. Four study visits per patient </w:t>
      </w:r>
      <w:proofErr w:type="gramStart"/>
      <w:r>
        <w:t>were</w:t>
      </w:r>
      <w:r w:rsidRPr="00867BD2">
        <w:t xml:space="preserve"> planned</w:t>
      </w:r>
      <w:proofErr w:type="gramEnd"/>
      <w:r w:rsidRPr="00867BD2">
        <w:t xml:space="preserve">. During the screening </w:t>
      </w:r>
      <w:proofErr w:type="gramStart"/>
      <w:r w:rsidRPr="00867BD2">
        <w:t>visit</w:t>
      </w:r>
      <w:proofErr w:type="gramEnd"/>
      <w:r w:rsidRPr="00867BD2">
        <w:t xml:space="preserve"> </w:t>
      </w:r>
      <w:r w:rsidRPr="00867BD2">
        <w:rPr>
          <w:color w:val="000000"/>
          <w:shd w:val="clear" w:color="auto" w:fill="FFFFFF"/>
        </w:rPr>
        <w:t xml:space="preserve">antibodies to the receptor-binding domain </w:t>
      </w:r>
      <w:r>
        <w:rPr>
          <w:color w:val="000000"/>
          <w:shd w:val="clear" w:color="auto" w:fill="FFFFFF"/>
        </w:rPr>
        <w:t>were</w:t>
      </w:r>
      <w:r w:rsidRPr="00867BD2">
        <w:rPr>
          <w:color w:val="000000"/>
          <w:shd w:val="clear" w:color="auto" w:fill="FFFFFF"/>
        </w:rPr>
        <w:t xml:space="preserve"> determined. </w:t>
      </w:r>
      <w:r w:rsidRPr="00867BD2">
        <w:t xml:space="preserve">All patients without detectable humoral immunity against SARS-Cov2 </w:t>
      </w:r>
      <w:proofErr w:type="gramStart"/>
      <w:r>
        <w:t>were</w:t>
      </w:r>
      <w:r w:rsidRPr="00867BD2">
        <w:t xml:space="preserve"> invited</w:t>
      </w:r>
      <w:proofErr w:type="gramEnd"/>
      <w:r w:rsidRPr="00867BD2">
        <w:t xml:space="preserve"> for a second boost vaccination within 4 weeks after the screening visit. During the baseline visit</w:t>
      </w:r>
      <w:r>
        <w:t>,</w:t>
      </w:r>
      <w:r w:rsidRPr="00867BD2">
        <w:t xml:space="preserve"> patients </w:t>
      </w:r>
      <w:r>
        <w:t>were</w:t>
      </w:r>
      <w:r w:rsidRPr="00867BD2">
        <w:t xml:space="preserve"> randomized to receive a </w:t>
      </w:r>
      <w:r w:rsidRPr="00867BD2">
        <w:rPr>
          <w:rFonts w:eastAsia="Calibri"/>
          <w:iCs/>
        </w:rPr>
        <w:t xml:space="preserve">third vaccination with </w:t>
      </w:r>
      <w:proofErr w:type="gramStart"/>
      <w:r w:rsidRPr="00867BD2">
        <w:rPr>
          <w:rFonts w:eastAsia="Calibri"/>
          <w:iCs/>
        </w:rPr>
        <w:t>either an mRNA-SARS-CoV-2 vaccine</w:t>
      </w:r>
      <w:proofErr w:type="gramEnd"/>
      <w:r w:rsidRPr="00867BD2">
        <w:rPr>
          <w:rFonts w:eastAsia="Calibri"/>
          <w:iCs/>
        </w:rPr>
        <w:t xml:space="preserve"> (Biontech/Pfizer or Moderna – according to the vaccine used for their first two vaccinations) or a vector </w:t>
      </w:r>
      <w:r w:rsidRPr="00867BD2">
        <w:t>SARS-CoV-2</w:t>
      </w:r>
      <w:r w:rsidRPr="00867BD2">
        <w:rPr>
          <w:rFonts w:eastAsia="Calibri"/>
          <w:iCs/>
        </w:rPr>
        <w:t xml:space="preserve"> (AstraZeneca) vaccination as a second boost.</w:t>
      </w:r>
      <w:r w:rsidRPr="00867BD2">
        <w:t xml:space="preserve"> Additional study visits </w:t>
      </w:r>
      <w:proofErr w:type="gramStart"/>
      <w:r>
        <w:t>were</w:t>
      </w:r>
      <w:r w:rsidRPr="00867BD2">
        <w:t xml:space="preserve"> scheduled</w:t>
      </w:r>
      <w:proofErr w:type="gramEnd"/>
      <w:r w:rsidRPr="00867BD2">
        <w:t xml:space="preserve"> at weeks 1 and 4 for assessment of humoral and cellular immunity, as well as clinical signs of adverse effects of disease activity reactivation. Patients without humoral response at week 4 </w:t>
      </w:r>
      <w:r>
        <w:t>were</w:t>
      </w:r>
      <w:r w:rsidRPr="00867BD2">
        <w:t xml:space="preserve"> offered participation in an extended follow-up for additional 8 weeks (i.e. at week 8 and 12 after baseline)</w:t>
      </w:r>
      <w:r>
        <w:t xml:space="preserve"> or for a second phase receiving a forth vaccination with </w:t>
      </w:r>
      <w:proofErr w:type="gramStart"/>
      <w:r>
        <w:t>a</w:t>
      </w:r>
      <w:proofErr w:type="gramEnd"/>
      <w:r>
        <w:t xml:space="preserve"> </w:t>
      </w:r>
      <w:r w:rsidRPr="00867BD2">
        <w:rPr>
          <w:rFonts w:eastAsia="Calibri"/>
          <w:iCs/>
        </w:rPr>
        <w:t>mRNA-SARS-CoV-2 vaccine (Biontech/Pfizer or Moderna – according to the vaccine used for their first two vaccinations)</w:t>
      </w:r>
      <w:r>
        <w:rPr>
          <w:rFonts w:eastAsia="Calibri"/>
          <w:iCs/>
        </w:rPr>
        <w:t>.</w:t>
      </w:r>
      <w:r w:rsidRPr="00867BD2">
        <w:rPr>
          <w:rFonts w:eastAsia="Calibri"/>
          <w:iCs/>
        </w:rPr>
        <w:t xml:space="preserve"> </w:t>
      </w:r>
      <w:r>
        <w:t xml:space="preserve"> </w:t>
      </w:r>
    </w:p>
    <w:p w:rsidR="000A08AB" w:rsidRDefault="000A08AB">
      <w:bookmarkStart w:id="1" w:name="_GoBack"/>
      <w:bookmarkEnd w:id="1"/>
    </w:p>
    <w:sectPr w:rsidR="000A08AB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1061AF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83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214"/>
    <w:rsid w:val="000A08AB"/>
    <w:rsid w:val="0045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B0E9C"/>
  <w15:chartTrackingRefBased/>
  <w15:docId w15:val="{293988D5-ED94-4A00-9397-A67067B75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52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5221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enabsatz">
    <w:name w:val="List Paragraph"/>
    <w:basedOn w:val="Standard"/>
    <w:uiPriority w:val="34"/>
    <w:qFormat/>
    <w:rsid w:val="00452214"/>
    <w:pPr>
      <w:widowControl w:val="0"/>
      <w:autoSpaceDE w:val="0"/>
      <w:autoSpaceDN w:val="0"/>
      <w:spacing w:before="126" w:after="0" w:line="240" w:lineRule="auto"/>
      <w:ind w:left="1205" w:hanging="568"/>
    </w:pPr>
    <w:rPr>
      <w:rFonts w:ascii="Times New Roman" w:eastAsia="Times New Roman" w:hAnsi="Times New Roman" w:cs="Times New Roman"/>
    </w:rPr>
  </w:style>
  <w:style w:type="paragraph" w:customStyle="1" w:styleId="BodyText12">
    <w:name w:val="Body Text 12"/>
    <w:basedOn w:val="Standard"/>
    <w:qFormat/>
    <w:rsid w:val="00452214"/>
    <w:pPr>
      <w:widowControl w:val="0"/>
      <w:spacing w:after="120" w:line="276" w:lineRule="auto"/>
      <w:jc w:val="both"/>
    </w:pPr>
    <w:rPr>
      <w:rFonts w:ascii="Arial" w:eastAsia="Times New Roman" w:hAnsi="Arial" w:cs="Arial"/>
      <w:sz w:val="24"/>
      <w:szCs w:val="24"/>
      <w:lang w:val="en-GB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Sieghart</dc:creator>
  <cp:keywords/>
  <dc:description/>
  <cp:lastModifiedBy>Daniela Sieghart</cp:lastModifiedBy>
  <cp:revision>1</cp:revision>
  <dcterms:created xsi:type="dcterms:W3CDTF">2023-08-02T10:31:00Z</dcterms:created>
  <dcterms:modified xsi:type="dcterms:W3CDTF">2023-08-02T10:35:00Z</dcterms:modified>
</cp:coreProperties>
</file>