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35AA3" w14:textId="4B36D780" w:rsidR="003C6699" w:rsidRPr="003C6699" w:rsidRDefault="003C6699" w:rsidP="003C6699">
      <w:pPr>
        <w:jc w:val="both"/>
        <w:rPr>
          <w:rFonts w:ascii="Aptos Light" w:hAnsi="Aptos Light"/>
          <w:b/>
          <w:bCs/>
          <w:sz w:val="24"/>
          <w:szCs w:val="24"/>
          <w:lang w:val="en-US"/>
        </w:rPr>
      </w:pPr>
      <w:r>
        <w:rPr>
          <w:rFonts w:ascii="Aptos Light" w:hAnsi="Aptos Light"/>
          <w:b/>
          <w:bCs/>
          <w:sz w:val="24"/>
          <w:szCs w:val="24"/>
          <w:lang w:val="en-US"/>
        </w:rPr>
        <w:t xml:space="preserve">Summary - </w:t>
      </w:r>
      <w:r w:rsidRPr="003C6699">
        <w:rPr>
          <w:rFonts w:ascii="Aptos Light" w:hAnsi="Aptos Light"/>
          <w:b/>
          <w:bCs/>
          <w:sz w:val="24"/>
          <w:szCs w:val="24"/>
          <w:lang w:val="en-US"/>
        </w:rPr>
        <w:t xml:space="preserve">Pharmacokinetics of </w:t>
      </w:r>
      <w:proofErr w:type="spellStart"/>
      <w:r w:rsidRPr="003C6699">
        <w:rPr>
          <w:rFonts w:ascii="Aptos Light" w:hAnsi="Aptos Light"/>
          <w:b/>
          <w:bCs/>
          <w:sz w:val="24"/>
          <w:szCs w:val="24"/>
          <w:lang w:val="en-US"/>
        </w:rPr>
        <w:t>Edoxaban</w:t>
      </w:r>
      <w:proofErr w:type="spellEnd"/>
      <w:r w:rsidRPr="003C6699">
        <w:rPr>
          <w:rFonts w:ascii="Aptos Light" w:hAnsi="Aptos Light"/>
          <w:b/>
          <w:bCs/>
          <w:sz w:val="24"/>
          <w:szCs w:val="24"/>
          <w:lang w:val="en-US"/>
        </w:rPr>
        <w:t xml:space="preserve"> in Geriatric Patients with Atrial Fibrillation</w:t>
      </w:r>
    </w:p>
    <w:p w14:paraId="74787751" w14:textId="3FE4783A" w:rsidR="003C6699" w:rsidRPr="007560D5" w:rsidRDefault="003C6699" w:rsidP="003C6699">
      <w:pPr>
        <w:jc w:val="both"/>
        <w:rPr>
          <w:rFonts w:ascii="Aptos Light" w:hAnsi="Aptos Light"/>
          <w:sz w:val="24"/>
          <w:szCs w:val="24"/>
          <w:lang w:val="en-US"/>
        </w:rPr>
      </w:pPr>
      <w:r w:rsidRPr="000A257B">
        <w:rPr>
          <w:rFonts w:ascii="Aptos Light" w:hAnsi="Aptos Light"/>
          <w:sz w:val="24"/>
          <w:szCs w:val="24"/>
          <w:lang w:val="en-US"/>
        </w:rPr>
        <w:t xml:space="preserve">Atrial fibrillation affects nearly half of geriatric inpatients, with </w:t>
      </w:r>
      <w:proofErr w:type="spellStart"/>
      <w:r w:rsidRPr="000A257B">
        <w:rPr>
          <w:rFonts w:ascii="Aptos Light" w:hAnsi="Aptos Light"/>
          <w:sz w:val="24"/>
          <w:szCs w:val="24"/>
          <w:lang w:val="en-US"/>
        </w:rPr>
        <w:t>edoxaban</w:t>
      </w:r>
      <w:proofErr w:type="spellEnd"/>
      <w:r w:rsidRPr="000A257B">
        <w:rPr>
          <w:rFonts w:ascii="Aptos Light" w:hAnsi="Aptos Light"/>
          <w:sz w:val="24"/>
          <w:szCs w:val="24"/>
          <w:lang w:val="en-US"/>
        </w:rPr>
        <w:t xml:space="preserve"> </w:t>
      </w:r>
      <w:r>
        <w:rPr>
          <w:rFonts w:ascii="Aptos Light" w:hAnsi="Aptos Light"/>
          <w:sz w:val="24"/>
          <w:szCs w:val="24"/>
          <w:lang w:val="en-US"/>
        </w:rPr>
        <w:t>frequently</w:t>
      </w:r>
      <w:r w:rsidRPr="000A257B">
        <w:rPr>
          <w:rFonts w:ascii="Aptos Light" w:hAnsi="Aptos Light"/>
          <w:sz w:val="24"/>
          <w:szCs w:val="24"/>
          <w:lang w:val="en-US"/>
        </w:rPr>
        <w:t xml:space="preserve"> used for stroke prevention. However, geriatric patients are underrepresented in trials</w:t>
      </w:r>
      <w:r>
        <w:rPr>
          <w:rFonts w:ascii="Aptos Light" w:hAnsi="Aptos Light"/>
          <w:sz w:val="24"/>
          <w:szCs w:val="24"/>
          <w:lang w:val="en-US"/>
        </w:rPr>
        <w:t>. T</w:t>
      </w:r>
      <w:r w:rsidRPr="000A257B">
        <w:rPr>
          <w:rFonts w:ascii="Aptos Light" w:hAnsi="Aptos Light"/>
          <w:sz w:val="24"/>
          <w:szCs w:val="24"/>
          <w:lang w:val="en-US"/>
        </w:rPr>
        <w:t>he limited data and high pharmacokinetic variability result in using this high-risk medication without a full understanding of its exposure in this population.</w:t>
      </w:r>
      <w:r>
        <w:rPr>
          <w:rFonts w:ascii="Aptos Light" w:hAnsi="Aptos Light"/>
          <w:sz w:val="24"/>
          <w:szCs w:val="24"/>
          <w:lang w:val="en-US"/>
        </w:rPr>
        <w:t xml:space="preserve"> This study aims t</w:t>
      </w:r>
      <w:r w:rsidRPr="007560D5">
        <w:rPr>
          <w:rFonts w:ascii="Aptos Light" w:hAnsi="Aptos Light"/>
          <w:sz w:val="24"/>
          <w:szCs w:val="24"/>
          <w:lang w:val="en-US"/>
        </w:rPr>
        <w:t xml:space="preserve">o characterize </w:t>
      </w:r>
      <w:r>
        <w:rPr>
          <w:rFonts w:ascii="Aptos Light" w:hAnsi="Aptos Light"/>
          <w:sz w:val="24"/>
          <w:szCs w:val="24"/>
          <w:lang w:val="en-US"/>
        </w:rPr>
        <w:t xml:space="preserve">the </w:t>
      </w:r>
      <w:r w:rsidRPr="007560D5">
        <w:rPr>
          <w:rFonts w:ascii="Aptos Light" w:hAnsi="Aptos Light"/>
          <w:sz w:val="24"/>
          <w:szCs w:val="24"/>
          <w:lang w:val="en-US"/>
        </w:rPr>
        <w:t>dose</w:t>
      </w:r>
      <w:r>
        <w:rPr>
          <w:rFonts w:ascii="Aptos Light" w:hAnsi="Aptos Light"/>
          <w:sz w:val="24"/>
          <w:szCs w:val="24"/>
          <w:lang w:val="en-US"/>
        </w:rPr>
        <w:t>–</w:t>
      </w:r>
      <w:r w:rsidRPr="007560D5">
        <w:rPr>
          <w:rFonts w:ascii="Aptos Light" w:hAnsi="Aptos Light"/>
          <w:sz w:val="24"/>
          <w:szCs w:val="24"/>
          <w:lang w:val="en-US"/>
        </w:rPr>
        <w:t>exposure relationship and predict the sufficiency of current fixed-dose guideline</w:t>
      </w:r>
      <w:r>
        <w:rPr>
          <w:rFonts w:ascii="Aptos Light" w:hAnsi="Aptos Light"/>
          <w:sz w:val="24"/>
          <w:szCs w:val="24"/>
          <w:lang w:val="en-US"/>
        </w:rPr>
        <w:t xml:space="preserve"> </w:t>
      </w:r>
      <w:r w:rsidRPr="007560D5">
        <w:rPr>
          <w:rFonts w:ascii="Aptos Light" w:hAnsi="Aptos Light"/>
          <w:sz w:val="24"/>
          <w:szCs w:val="24"/>
          <w:lang w:val="en-US"/>
        </w:rPr>
        <w:t>for geriatric patients.</w:t>
      </w:r>
    </w:p>
    <w:p w14:paraId="4C864BF8" w14:textId="51CB475F" w:rsidR="003C6699" w:rsidRPr="007560D5" w:rsidRDefault="003C6699" w:rsidP="003C6699">
      <w:pPr>
        <w:jc w:val="both"/>
        <w:rPr>
          <w:rFonts w:ascii="Aptos Light" w:hAnsi="Aptos Light"/>
          <w:sz w:val="24"/>
          <w:szCs w:val="24"/>
          <w:lang w:val="en-US"/>
        </w:rPr>
      </w:pPr>
      <w:r>
        <w:rPr>
          <w:rFonts w:ascii="Aptos Light" w:hAnsi="Aptos Light"/>
          <w:sz w:val="24"/>
          <w:szCs w:val="24"/>
          <w:lang w:val="en-US"/>
        </w:rPr>
        <w:t>We conducted a</w:t>
      </w:r>
      <w:r w:rsidRPr="007560D5">
        <w:rPr>
          <w:rFonts w:ascii="Aptos Light" w:hAnsi="Aptos Light"/>
          <w:sz w:val="24"/>
          <w:szCs w:val="24"/>
          <w:lang w:val="en-US"/>
        </w:rPr>
        <w:t xml:space="preserve"> </w:t>
      </w:r>
      <w:r>
        <w:rPr>
          <w:rFonts w:ascii="Aptos Light" w:hAnsi="Aptos Light"/>
          <w:sz w:val="24"/>
          <w:szCs w:val="24"/>
          <w:lang w:val="en-US"/>
        </w:rPr>
        <w:t xml:space="preserve">single-center </w:t>
      </w:r>
      <w:r w:rsidRPr="007560D5">
        <w:rPr>
          <w:rFonts w:ascii="Aptos Light" w:hAnsi="Aptos Light"/>
          <w:sz w:val="24"/>
          <w:szCs w:val="24"/>
          <w:lang w:val="en-US"/>
        </w:rPr>
        <w:t xml:space="preserve">prospective </w:t>
      </w:r>
      <w:r>
        <w:rPr>
          <w:rFonts w:ascii="Aptos Light" w:hAnsi="Aptos Light"/>
          <w:sz w:val="24"/>
          <w:szCs w:val="24"/>
          <w:lang w:val="en-US"/>
        </w:rPr>
        <w:t>PK</w:t>
      </w:r>
      <w:r w:rsidRPr="007560D5">
        <w:rPr>
          <w:rFonts w:ascii="Aptos Light" w:hAnsi="Aptos Light"/>
          <w:sz w:val="24"/>
          <w:szCs w:val="24"/>
          <w:lang w:val="en-US"/>
        </w:rPr>
        <w:t xml:space="preserve"> study </w:t>
      </w:r>
      <w:r>
        <w:rPr>
          <w:rFonts w:ascii="Aptos Light" w:hAnsi="Aptos Light"/>
          <w:sz w:val="24"/>
          <w:szCs w:val="24"/>
          <w:lang w:val="en-US"/>
        </w:rPr>
        <w:t>in geriatric inpatients</w:t>
      </w:r>
      <w:r w:rsidRPr="007560D5">
        <w:rPr>
          <w:rFonts w:ascii="Aptos Light" w:hAnsi="Aptos Light"/>
          <w:sz w:val="24"/>
          <w:szCs w:val="24"/>
          <w:lang w:val="en-US"/>
        </w:rPr>
        <w:t xml:space="preserve">. </w:t>
      </w:r>
      <w:r>
        <w:rPr>
          <w:rFonts w:ascii="Aptos Light" w:hAnsi="Aptos Light"/>
          <w:sz w:val="24"/>
          <w:szCs w:val="24"/>
          <w:lang w:val="en-US"/>
        </w:rPr>
        <w:t>We built a</w:t>
      </w:r>
      <w:r w:rsidRPr="007560D5">
        <w:rPr>
          <w:rFonts w:ascii="Aptos Light" w:hAnsi="Aptos Light"/>
          <w:sz w:val="24"/>
          <w:szCs w:val="24"/>
          <w:lang w:val="en-US"/>
        </w:rPr>
        <w:t xml:space="preserve"> pop</w:t>
      </w:r>
      <w:r>
        <w:rPr>
          <w:rFonts w:ascii="Aptos Light" w:hAnsi="Aptos Light"/>
          <w:sz w:val="24"/>
          <w:szCs w:val="24"/>
          <w:lang w:val="en-US"/>
        </w:rPr>
        <w:t>ulation pharmacokinetics (</w:t>
      </w:r>
      <w:proofErr w:type="spellStart"/>
      <w:r>
        <w:rPr>
          <w:rFonts w:ascii="Aptos Light" w:hAnsi="Aptos Light"/>
          <w:sz w:val="24"/>
          <w:szCs w:val="24"/>
          <w:lang w:val="en-US"/>
        </w:rPr>
        <w:t>popPK</w:t>
      </w:r>
      <w:proofErr w:type="spellEnd"/>
      <w:r>
        <w:rPr>
          <w:rFonts w:ascii="Aptos Light" w:hAnsi="Aptos Light"/>
          <w:sz w:val="24"/>
          <w:szCs w:val="24"/>
          <w:lang w:val="en-US"/>
        </w:rPr>
        <w:t>)</w:t>
      </w:r>
      <w:r w:rsidRPr="007560D5">
        <w:rPr>
          <w:rFonts w:ascii="Aptos Light" w:hAnsi="Aptos Light"/>
          <w:sz w:val="24"/>
          <w:szCs w:val="24"/>
          <w:lang w:val="en-US"/>
        </w:rPr>
        <w:t xml:space="preserve"> model and used</w:t>
      </w:r>
      <w:r>
        <w:rPr>
          <w:rFonts w:ascii="Aptos Light" w:hAnsi="Aptos Light"/>
          <w:sz w:val="24"/>
          <w:szCs w:val="24"/>
          <w:lang w:val="en-US"/>
        </w:rPr>
        <w:t xml:space="preserve"> it</w:t>
      </w:r>
      <w:r w:rsidRPr="007560D5">
        <w:rPr>
          <w:rFonts w:ascii="Aptos Light" w:hAnsi="Aptos Light"/>
          <w:sz w:val="24"/>
          <w:szCs w:val="24"/>
          <w:lang w:val="en-US"/>
        </w:rPr>
        <w:t xml:space="preserve"> to simulate </w:t>
      </w:r>
      <w:r>
        <w:rPr>
          <w:rFonts w:ascii="Aptos Light" w:hAnsi="Aptos Light"/>
          <w:sz w:val="24"/>
          <w:szCs w:val="24"/>
          <w:lang w:val="en-US"/>
        </w:rPr>
        <w:t>various</w:t>
      </w:r>
      <w:r w:rsidRPr="007560D5">
        <w:rPr>
          <w:rFonts w:ascii="Aptos Light" w:hAnsi="Aptos Light"/>
          <w:sz w:val="24"/>
          <w:szCs w:val="24"/>
          <w:lang w:val="en-US"/>
        </w:rPr>
        <w:t xml:space="preserve"> dos</w:t>
      </w:r>
      <w:r>
        <w:rPr>
          <w:rFonts w:ascii="Aptos Light" w:hAnsi="Aptos Light"/>
          <w:sz w:val="24"/>
          <w:szCs w:val="24"/>
          <w:lang w:val="en-US"/>
        </w:rPr>
        <w:t xml:space="preserve">ing strategies </w:t>
      </w:r>
      <w:r w:rsidRPr="007560D5">
        <w:rPr>
          <w:rFonts w:ascii="Aptos Light" w:hAnsi="Aptos Light"/>
          <w:sz w:val="24"/>
          <w:szCs w:val="24"/>
          <w:lang w:val="en-US"/>
        </w:rPr>
        <w:t>(n=</w:t>
      </w:r>
      <w:r>
        <w:rPr>
          <w:rFonts w:ascii="Aptos Light" w:hAnsi="Aptos Light"/>
          <w:sz w:val="24"/>
          <w:szCs w:val="24"/>
          <w:lang w:val="en-US"/>
        </w:rPr>
        <w:t>1</w:t>
      </w:r>
      <w:r w:rsidRPr="007560D5">
        <w:rPr>
          <w:rFonts w:ascii="Aptos Light" w:hAnsi="Aptos Light"/>
          <w:sz w:val="24"/>
          <w:szCs w:val="24"/>
          <w:lang w:val="en-US"/>
        </w:rPr>
        <w:t>000</w:t>
      </w:r>
      <w:r>
        <w:rPr>
          <w:rFonts w:ascii="Aptos Light" w:hAnsi="Aptos Light"/>
          <w:sz w:val="24"/>
          <w:szCs w:val="24"/>
          <w:lang w:val="en-US"/>
        </w:rPr>
        <w:t xml:space="preserve"> simulations</w:t>
      </w:r>
      <w:r w:rsidRPr="007560D5">
        <w:rPr>
          <w:rFonts w:ascii="Aptos Light" w:hAnsi="Aptos Light"/>
          <w:sz w:val="24"/>
          <w:szCs w:val="24"/>
          <w:lang w:val="en-US"/>
        </w:rPr>
        <w:t>).</w:t>
      </w:r>
    </w:p>
    <w:p w14:paraId="571D5883" w14:textId="3AE52682" w:rsidR="003C6699" w:rsidRPr="007560D5" w:rsidRDefault="003C6699" w:rsidP="003C6699">
      <w:pPr>
        <w:jc w:val="both"/>
        <w:rPr>
          <w:rFonts w:ascii="Aptos Light" w:hAnsi="Aptos Light"/>
          <w:sz w:val="24"/>
          <w:szCs w:val="24"/>
          <w:lang w:val="en-US"/>
        </w:rPr>
      </w:pPr>
      <w:r w:rsidRPr="00CF3A08">
        <w:rPr>
          <w:rFonts w:ascii="Aptos Light" w:hAnsi="Aptos Light"/>
          <w:sz w:val="24"/>
          <w:szCs w:val="24"/>
          <w:lang w:val="en-US"/>
        </w:rPr>
        <w:t xml:space="preserve">Seventeen frail geriatric patients (median age 87 years, IQR 83–90) receiving routine </w:t>
      </w:r>
      <w:proofErr w:type="spellStart"/>
      <w:r w:rsidRPr="00CF3A08">
        <w:rPr>
          <w:rFonts w:ascii="Aptos Light" w:hAnsi="Aptos Light"/>
          <w:sz w:val="24"/>
          <w:szCs w:val="24"/>
          <w:lang w:val="en-US"/>
        </w:rPr>
        <w:t>edoxaban</w:t>
      </w:r>
      <w:proofErr w:type="spellEnd"/>
      <w:r w:rsidRPr="00CF3A08">
        <w:rPr>
          <w:rFonts w:ascii="Aptos Light" w:hAnsi="Aptos Light"/>
          <w:sz w:val="24"/>
          <w:szCs w:val="24"/>
          <w:lang w:val="en-US"/>
        </w:rPr>
        <w:t xml:space="preserve"> contributed a total of 85 steady-state PK samples. </w:t>
      </w:r>
      <w:r w:rsidRPr="00AA0C25">
        <w:rPr>
          <w:rFonts w:ascii="Aptos Light" w:hAnsi="Aptos Light"/>
          <w:sz w:val="24"/>
          <w:szCs w:val="24"/>
          <w:lang w:val="en-US"/>
        </w:rPr>
        <w:t xml:space="preserve">A two-compartment </w:t>
      </w:r>
      <w:proofErr w:type="spellStart"/>
      <w:r w:rsidRPr="00AA0C25">
        <w:rPr>
          <w:rFonts w:ascii="Aptos Light" w:hAnsi="Aptos Light"/>
          <w:sz w:val="24"/>
          <w:szCs w:val="24"/>
          <w:lang w:val="en-US"/>
        </w:rPr>
        <w:t>popPK</w:t>
      </w:r>
      <w:proofErr w:type="spellEnd"/>
      <w:r w:rsidRPr="00AA0C25">
        <w:rPr>
          <w:rFonts w:ascii="Aptos Light" w:hAnsi="Aptos Light"/>
          <w:sz w:val="24"/>
          <w:szCs w:val="24"/>
          <w:lang w:val="en-US"/>
        </w:rPr>
        <w:t xml:space="preserve"> model best described the </w:t>
      </w:r>
      <w:proofErr w:type="spellStart"/>
      <w:r>
        <w:rPr>
          <w:rFonts w:ascii="Aptos Light" w:hAnsi="Aptos Light"/>
          <w:sz w:val="24"/>
          <w:szCs w:val="24"/>
          <w:lang w:val="en-US"/>
        </w:rPr>
        <w:t>edoxaban</w:t>
      </w:r>
      <w:proofErr w:type="spellEnd"/>
      <w:r>
        <w:rPr>
          <w:rFonts w:ascii="Aptos Light" w:hAnsi="Aptos Light"/>
          <w:sz w:val="24"/>
          <w:szCs w:val="24"/>
          <w:lang w:val="en-US"/>
        </w:rPr>
        <w:t xml:space="preserve"> and M4 metabolite concentrations</w:t>
      </w:r>
      <w:r w:rsidRPr="00AA0C25">
        <w:rPr>
          <w:rFonts w:ascii="Aptos Light" w:hAnsi="Aptos Light"/>
          <w:sz w:val="24"/>
          <w:szCs w:val="24"/>
          <w:lang w:val="en-US"/>
        </w:rPr>
        <w:t xml:space="preserve">, with proton pump inhibitors (PPI) reducing relative bioavailability by 24%. </w:t>
      </w:r>
      <w:r>
        <w:rPr>
          <w:rFonts w:ascii="Aptos Light" w:hAnsi="Aptos Light"/>
          <w:sz w:val="24"/>
          <w:szCs w:val="24"/>
          <w:lang w:val="en-US"/>
        </w:rPr>
        <w:t>Key p</w:t>
      </w:r>
      <w:r w:rsidRPr="002E29DD">
        <w:rPr>
          <w:rFonts w:ascii="Aptos Light" w:hAnsi="Aptos Light"/>
          <w:sz w:val="24"/>
          <w:szCs w:val="24"/>
          <w:lang w:val="en-US"/>
        </w:rPr>
        <w:t>arameters included absorption rate constant 0.104</w:t>
      </w:r>
      <w:r>
        <w:rPr>
          <w:rFonts w:ascii="Aptos Light" w:hAnsi="Aptos Light"/>
          <w:sz w:val="24"/>
          <w:szCs w:val="24"/>
          <w:lang w:val="en-US"/>
        </w:rPr>
        <w:t> </w:t>
      </w:r>
      <w:r w:rsidRPr="002E29DD">
        <w:rPr>
          <w:rFonts w:ascii="Aptos Light" w:hAnsi="Aptos Light"/>
          <w:sz w:val="24"/>
          <w:szCs w:val="24"/>
          <w:lang w:val="en-US"/>
        </w:rPr>
        <w:t>h</w:t>
      </w:r>
      <w:r w:rsidRPr="002E29DD">
        <w:rPr>
          <w:rFonts w:ascii="Cambria Math" w:hAnsi="Cambria Math" w:cs="Cambria Math"/>
          <w:sz w:val="24"/>
          <w:szCs w:val="24"/>
          <w:lang w:val="en-US"/>
        </w:rPr>
        <w:t>⁻</w:t>
      </w:r>
      <w:r w:rsidRPr="002E29DD">
        <w:rPr>
          <w:rFonts w:ascii="Aptos Light" w:hAnsi="Aptos Light" w:cs="Aptos Light"/>
          <w:sz w:val="24"/>
          <w:szCs w:val="24"/>
          <w:lang w:val="en-US"/>
        </w:rPr>
        <w:t>¹</w:t>
      </w:r>
      <w:r w:rsidRPr="002E29DD">
        <w:rPr>
          <w:rFonts w:ascii="Aptos Light" w:hAnsi="Aptos Light"/>
          <w:sz w:val="24"/>
          <w:szCs w:val="24"/>
          <w:lang w:val="en-US"/>
        </w:rPr>
        <w:t>, clearance 9.02</w:t>
      </w:r>
      <w:r>
        <w:rPr>
          <w:rFonts w:ascii="Aptos Light" w:hAnsi="Aptos Light"/>
          <w:sz w:val="24"/>
          <w:szCs w:val="24"/>
          <w:lang w:val="en-US"/>
        </w:rPr>
        <w:t> </w:t>
      </w:r>
      <w:r w:rsidRPr="002E29DD">
        <w:rPr>
          <w:rFonts w:ascii="Aptos Light" w:hAnsi="Aptos Light"/>
          <w:sz w:val="24"/>
          <w:szCs w:val="24"/>
          <w:lang w:val="en-US"/>
        </w:rPr>
        <w:t>L/h, and central and peripheral volumes 47.4</w:t>
      </w:r>
      <w:r>
        <w:rPr>
          <w:rFonts w:ascii="Aptos Light" w:hAnsi="Aptos Light"/>
          <w:sz w:val="24"/>
          <w:szCs w:val="24"/>
          <w:lang w:val="en-US"/>
        </w:rPr>
        <w:t> L</w:t>
      </w:r>
      <w:r w:rsidRPr="002E29DD">
        <w:rPr>
          <w:rFonts w:ascii="Aptos Light" w:hAnsi="Aptos Light"/>
          <w:sz w:val="24"/>
          <w:szCs w:val="24"/>
          <w:lang w:val="en-US"/>
        </w:rPr>
        <w:t xml:space="preserve"> and 42.7</w:t>
      </w:r>
      <w:r>
        <w:rPr>
          <w:rFonts w:ascii="Aptos Light" w:hAnsi="Aptos Light"/>
          <w:sz w:val="24"/>
          <w:szCs w:val="24"/>
          <w:lang w:val="en-US"/>
        </w:rPr>
        <w:t> </w:t>
      </w:r>
      <w:r w:rsidRPr="002E29DD">
        <w:rPr>
          <w:rFonts w:ascii="Aptos Light" w:hAnsi="Aptos Light"/>
          <w:sz w:val="24"/>
          <w:szCs w:val="24"/>
          <w:lang w:val="en-US"/>
        </w:rPr>
        <w:t xml:space="preserve">L. </w:t>
      </w:r>
      <w:proofErr w:type="spellStart"/>
      <w:r w:rsidRPr="002E29DD">
        <w:rPr>
          <w:rFonts w:ascii="Aptos Light" w:hAnsi="Aptos Light"/>
          <w:sz w:val="24"/>
          <w:szCs w:val="24"/>
          <w:lang w:val="en-US"/>
        </w:rPr>
        <w:t>Edoxaban</w:t>
      </w:r>
      <w:proofErr w:type="spellEnd"/>
      <w:r w:rsidRPr="002E29DD">
        <w:rPr>
          <w:rFonts w:ascii="Aptos Light" w:hAnsi="Aptos Light"/>
          <w:sz w:val="24"/>
          <w:szCs w:val="24"/>
          <w:lang w:val="en-US"/>
        </w:rPr>
        <w:t xml:space="preserve"> concentrations correlated</w:t>
      </w:r>
      <w:r>
        <w:rPr>
          <w:rFonts w:ascii="Aptos Light" w:hAnsi="Aptos Light"/>
          <w:sz w:val="24"/>
          <w:szCs w:val="24"/>
          <w:lang w:val="en-US"/>
        </w:rPr>
        <w:t xml:space="preserve"> </w:t>
      </w:r>
      <w:r w:rsidRPr="002E29DD">
        <w:rPr>
          <w:rFonts w:ascii="Aptos Light" w:hAnsi="Aptos Light"/>
          <w:sz w:val="24"/>
          <w:szCs w:val="24"/>
          <w:lang w:val="en-US"/>
        </w:rPr>
        <w:t>with anti-factor Xa activity (</w:t>
      </w:r>
      <w:r w:rsidRPr="002E29DD">
        <w:rPr>
          <w:rFonts w:ascii="Aptos Light" w:hAnsi="Aptos Light" w:cs="Aptos Light"/>
          <w:sz w:val="24"/>
          <w:szCs w:val="24"/>
          <w:lang w:val="en-US"/>
        </w:rPr>
        <w:t>ρ</w:t>
      </w:r>
      <w:r w:rsidRPr="002E29DD">
        <w:rPr>
          <w:rFonts w:ascii="Aptos Light" w:hAnsi="Aptos Light"/>
          <w:sz w:val="24"/>
          <w:szCs w:val="24"/>
          <w:lang w:val="en-US"/>
        </w:rPr>
        <w:t xml:space="preserve">=0.966). Nearly half of the patients had </w:t>
      </w:r>
      <w:proofErr w:type="spellStart"/>
      <w:r w:rsidRPr="002E29DD">
        <w:rPr>
          <w:rFonts w:ascii="Aptos Light" w:hAnsi="Aptos Light"/>
          <w:sz w:val="24"/>
          <w:szCs w:val="24"/>
          <w:lang w:val="en-US"/>
        </w:rPr>
        <w:t>C</w:t>
      </w:r>
      <w:r w:rsidRPr="00FC33FC">
        <w:rPr>
          <w:rFonts w:ascii="Aptos Light" w:hAnsi="Aptos Light"/>
          <w:sz w:val="24"/>
          <w:szCs w:val="24"/>
          <w:vertAlign w:val="subscript"/>
          <w:lang w:val="en-US"/>
        </w:rPr>
        <w:t>min</w:t>
      </w:r>
      <w:proofErr w:type="spellEnd"/>
      <w:r>
        <w:rPr>
          <w:rFonts w:ascii="Aptos Light" w:hAnsi="Aptos Light"/>
          <w:sz w:val="24"/>
          <w:szCs w:val="24"/>
          <w:lang w:val="en-US"/>
        </w:rPr>
        <w:t> </w:t>
      </w:r>
      <w:r w:rsidRPr="002E29DD">
        <w:rPr>
          <w:rFonts w:ascii="Aptos Light" w:hAnsi="Aptos Light"/>
          <w:sz w:val="24"/>
          <w:szCs w:val="24"/>
          <w:lang w:val="en-US"/>
        </w:rPr>
        <w:t>&gt;43</w:t>
      </w:r>
      <w:r>
        <w:rPr>
          <w:rFonts w:ascii="Aptos Light" w:hAnsi="Aptos Light"/>
          <w:sz w:val="24"/>
          <w:szCs w:val="24"/>
          <w:lang w:val="en-US"/>
        </w:rPr>
        <w:t> </w:t>
      </w:r>
      <w:r w:rsidRPr="002E29DD">
        <w:rPr>
          <w:rFonts w:ascii="Aptos Light" w:hAnsi="Aptos Light"/>
          <w:sz w:val="24"/>
          <w:szCs w:val="24"/>
          <w:lang w:val="en-US"/>
        </w:rPr>
        <w:t xml:space="preserve">ng/mL, with no difference between PPI and non-PPI groups. Simulations showed a </w:t>
      </w:r>
      <w:r>
        <w:rPr>
          <w:rFonts w:ascii="Aptos Light" w:hAnsi="Aptos Light"/>
          <w:sz w:val="24"/>
          <w:szCs w:val="24"/>
          <w:lang w:val="en-US"/>
        </w:rPr>
        <w:t>6.75</w:t>
      </w:r>
      <w:r w:rsidRPr="002E29DD">
        <w:rPr>
          <w:rFonts w:ascii="Aptos Light" w:hAnsi="Aptos Light"/>
          <w:sz w:val="24"/>
          <w:szCs w:val="24"/>
          <w:lang w:val="en-US"/>
        </w:rPr>
        <w:t xml:space="preserve">% probability of </w:t>
      </w:r>
      <w:r>
        <w:rPr>
          <w:rFonts w:ascii="Aptos Light" w:hAnsi="Aptos Light"/>
          <w:sz w:val="24"/>
          <w:szCs w:val="24"/>
          <w:lang w:val="en-US"/>
        </w:rPr>
        <w:t>overexposure</w:t>
      </w:r>
      <w:r w:rsidRPr="002E29DD">
        <w:rPr>
          <w:rFonts w:ascii="Aptos Light" w:hAnsi="Aptos Light"/>
          <w:sz w:val="24"/>
          <w:szCs w:val="24"/>
          <w:lang w:val="en-US"/>
        </w:rPr>
        <w:t xml:space="preserve"> with 15</w:t>
      </w:r>
      <w:r>
        <w:rPr>
          <w:rFonts w:ascii="Aptos Light" w:hAnsi="Aptos Light"/>
          <w:sz w:val="24"/>
          <w:szCs w:val="24"/>
          <w:lang w:val="en-US"/>
        </w:rPr>
        <w:t> </w:t>
      </w:r>
      <w:r w:rsidRPr="002E29DD">
        <w:rPr>
          <w:rFonts w:ascii="Aptos Light" w:hAnsi="Aptos Light"/>
          <w:sz w:val="24"/>
          <w:szCs w:val="24"/>
          <w:lang w:val="en-US"/>
        </w:rPr>
        <w:t xml:space="preserve">mg, </w:t>
      </w:r>
      <w:r>
        <w:rPr>
          <w:rFonts w:ascii="Aptos Light" w:hAnsi="Aptos Light"/>
          <w:sz w:val="24"/>
          <w:szCs w:val="24"/>
          <w:lang w:val="en-US"/>
        </w:rPr>
        <w:t>42.4</w:t>
      </w:r>
      <w:r w:rsidRPr="002E29DD">
        <w:rPr>
          <w:rFonts w:ascii="Aptos Light" w:hAnsi="Aptos Light"/>
          <w:sz w:val="24"/>
          <w:szCs w:val="24"/>
          <w:lang w:val="en-US"/>
        </w:rPr>
        <w:t>% with 30</w:t>
      </w:r>
      <w:r>
        <w:rPr>
          <w:rFonts w:ascii="Aptos Light" w:hAnsi="Aptos Light"/>
          <w:sz w:val="24"/>
          <w:szCs w:val="24"/>
          <w:lang w:val="en-US"/>
        </w:rPr>
        <w:t> </w:t>
      </w:r>
      <w:r w:rsidRPr="002E29DD">
        <w:rPr>
          <w:rFonts w:ascii="Aptos Light" w:hAnsi="Aptos Light"/>
          <w:sz w:val="24"/>
          <w:szCs w:val="24"/>
          <w:lang w:val="en-US"/>
        </w:rPr>
        <w:t xml:space="preserve">mg, and </w:t>
      </w:r>
      <w:r>
        <w:rPr>
          <w:rFonts w:ascii="Aptos Light" w:hAnsi="Aptos Light"/>
          <w:sz w:val="24"/>
          <w:szCs w:val="24"/>
          <w:lang w:val="en-US"/>
        </w:rPr>
        <w:t>84.25</w:t>
      </w:r>
      <w:r w:rsidRPr="002E29DD">
        <w:rPr>
          <w:rFonts w:ascii="Aptos Light" w:hAnsi="Aptos Light"/>
          <w:sz w:val="24"/>
          <w:szCs w:val="24"/>
          <w:lang w:val="en-US"/>
        </w:rPr>
        <w:t>%</w:t>
      </w:r>
      <w:r>
        <w:rPr>
          <w:rFonts w:ascii="Aptos Light" w:hAnsi="Aptos Light"/>
          <w:sz w:val="24"/>
          <w:szCs w:val="24"/>
          <w:lang w:val="en-US"/>
        </w:rPr>
        <w:t> </w:t>
      </w:r>
      <w:r w:rsidRPr="002E29DD">
        <w:rPr>
          <w:rFonts w:ascii="Aptos Light" w:hAnsi="Aptos Light"/>
          <w:sz w:val="24"/>
          <w:szCs w:val="24"/>
          <w:lang w:val="en-US"/>
        </w:rPr>
        <w:t>with 60</w:t>
      </w:r>
      <w:r>
        <w:rPr>
          <w:rFonts w:ascii="Aptos Light" w:hAnsi="Aptos Light"/>
          <w:sz w:val="24"/>
          <w:szCs w:val="24"/>
          <w:lang w:val="en-US"/>
        </w:rPr>
        <w:t> </w:t>
      </w:r>
      <w:r w:rsidRPr="002E29DD">
        <w:rPr>
          <w:rFonts w:ascii="Aptos Light" w:hAnsi="Aptos Light"/>
          <w:sz w:val="24"/>
          <w:szCs w:val="24"/>
          <w:lang w:val="en-US"/>
        </w:rPr>
        <w:t>mg.</w:t>
      </w:r>
    </w:p>
    <w:p w14:paraId="1BD97741" w14:textId="5046FBE2" w:rsidR="003C6699" w:rsidRDefault="003C6699" w:rsidP="003C6699">
      <w:pPr>
        <w:jc w:val="both"/>
        <w:rPr>
          <w:lang w:val="en-US"/>
        </w:rPr>
        <w:sectPr w:rsidR="003C6699" w:rsidSect="003C669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190177">
        <w:rPr>
          <w:rFonts w:ascii="Aptos Light" w:hAnsi="Aptos Light"/>
          <w:sz w:val="24"/>
          <w:szCs w:val="24"/>
          <w:lang w:val="en-US"/>
        </w:rPr>
        <w:t>Estimated PK parameters in geriatric patients differed from</w:t>
      </w:r>
      <w:r>
        <w:rPr>
          <w:rFonts w:ascii="Aptos Light" w:hAnsi="Aptos Light"/>
          <w:sz w:val="24"/>
          <w:szCs w:val="24"/>
          <w:lang w:val="en-US"/>
        </w:rPr>
        <w:t xml:space="preserve"> those reported in</w:t>
      </w:r>
      <w:r w:rsidRPr="00190177">
        <w:rPr>
          <w:rFonts w:ascii="Aptos Light" w:hAnsi="Aptos Light"/>
          <w:sz w:val="24"/>
          <w:szCs w:val="24"/>
          <w:lang w:val="en-US"/>
        </w:rPr>
        <w:t xml:space="preserve"> pivotal trial</w:t>
      </w:r>
      <w:r>
        <w:rPr>
          <w:rFonts w:ascii="Aptos Light" w:hAnsi="Aptos Light"/>
          <w:sz w:val="24"/>
          <w:szCs w:val="24"/>
          <w:lang w:val="en-US"/>
        </w:rPr>
        <w:t xml:space="preserve"> populations</w:t>
      </w:r>
      <w:r w:rsidRPr="00190177">
        <w:rPr>
          <w:rFonts w:ascii="Aptos Light" w:hAnsi="Aptos Light"/>
          <w:sz w:val="24"/>
          <w:szCs w:val="24"/>
          <w:lang w:val="en-US"/>
        </w:rPr>
        <w:t xml:space="preserve">, suggesting increased exposure </w:t>
      </w:r>
      <w:r>
        <w:rPr>
          <w:rFonts w:ascii="Aptos Light" w:hAnsi="Aptos Light"/>
          <w:sz w:val="24"/>
          <w:szCs w:val="24"/>
          <w:lang w:val="en-US"/>
        </w:rPr>
        <w:t>thereby potentially influencing</w:t>
      </w:r>
      <w:r w:rsidRPr="00190177">
        <w:rPr>
          <w:rFonts w:ascii="Aptos Light" w:hAnsi="Aptos Light"/>
          <w:sz w:val="24"/>
          <w:szCs w:val="24"/>
          <w:lang w:val="en-US"/>
        </w:rPr>
        <w:t xml:space="preserve"> bleeding risk. The impact of PPI was not clinically </w:t>
      </w:r>
      <w:r>
        <w:rPr>
          <w:rFonts w:ascii="Aptos Light" w:hAnsi="Aptos Light"/>
          <w:sz w:val="24"/>
          <w:szCs w:val="24"/>
          <w:lang w:val="en-US"/>
        </w:rPr>
        <w:t>relevant</w:t>
      </w:r>
      <w:r w:rsidRPr="00190177">
        <w:rPr>
          <w:rFonts w:ascii="Aptos Light" w:hAnsi="Aptos Light"/>
          <w:sz w:val="24"/>
          <w:szCs w:val="24"/>
          <w:lang w:val="en-US"/>
        </w:rPr>
        <w:t>. Further investigation is needed to assess the benefits of alternative dosing in this population.</w:t>
      </w:r>
    </w:p>
    <w:p w14:paraId="1C0521BB" w14:textId="77777777" w:rsidR="00A83C30" w:rsidRPr="003C6699" w:rsidRDefault="00A83C30">
      <w:pPr>
        <w:rPr>
          <w:lang w:val="en-US"/>
        </w:rPr>
      </w:pPr>
    </w:p>
    <w:sectPr w:rsidR="00A83C30" w:rsidRPr="003C66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Light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sDQ3NjQ3NTYyMjMzNDZS0lEKTi0uzszPAykwrAUA8tXvUSwAAAA="/>
  </w:docVars>
  <w:rsids>
    <w:rsidRoot w:val="003C6699"/>
    <w:rsid w:val="001B2860"/>
    <w:rsid w:val="003A6408"/>
    <w:rsid w:val="003C6699"/>
    <w:rsid w:val="005F15C3"/>
    <w:rsid w:val="00650DDF"/>
    <w:rsid w:val="0085203A"/>
    <w:rsid w:val="00A06913"/>
    <w:rsid w:val="00A83C30"/>
    <w:rsid w:val="00DF3051"/>
    <w:rsid w:val="00FB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6A05B"/>
  <w15:chartTrackingRefBased/>
  <w15:docId w15:val="{AFED0D97-42C9-446D-93BC-C7CE511B7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6699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C66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66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66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66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66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66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66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66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66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66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66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66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669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669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66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66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66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66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66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C66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66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C66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6699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C66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6699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C669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66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669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66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Elma Edwina</dc:creator>
  <cp:keywords/>
  <dc:description/>
  <cp:lastModifiedBy>Elma Edwina</cp:lastModifiedBy>
  <cp:revision>1</cp:revision>
  <dcterms:created xsi:type="dcterms:W3CDTF">2025-04-21T17:55:00Z</dcterms:created>
  <dcterms:modified xsi:type="dcterms:W3CDTF">2025-04-21T17:57:00Z</dcterms:modified>
</cp:coreProperties>
</file>