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FCF" w:rsidRDefault="00F15FCF" w:rsidP="003133F6"/>
    <w:p w:rsidR="00F15FCF" w:rsidRDefault="00F15FCF" w:rsidP="003133F6"/>
    <w:p w:rsidR="00244607" w:rsidRPr="00F15FCF" w:rsidRDefault="00244607" w:rsidP="00F15FCF">
      <w:pPr>
        <w:jc w:val="center"/>
        <w:rPr>
          <w:b/>
          <w:sz w:val="28"/>
          <w:szCs w:val="28"/>
        </w:rPr>
      </w:pPr>
      <w:r>
        <w:rPr>
          <w:b/>
          <w:sz w:val="28"/>
          <w:szCs w:val="28"/>
        </w:rPr>
        <w:t>Short Study Report for Health Authorities</w:t>
      </w:r>
    </w:p>
    <w:p w:rsidR="00F15FCF" w:rsidRDefault="00F15FCF" w:rsidP="00904490"/>
    <w:p w:rsidR="00F15FCF" w:rsidRDefault="00F15FCF" w:rsidP="0090449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3761"/>
        <w:gridCol w:w="3761"/>
      </w:tblGrid>
      <w:tr w:rsidR="00244607" w:rsidRPr="00244607" w:rsidTr="009C6997">
        <w:trPr>
          <w:cantSplit/>
          <w:tblHeader/>
          <w:jc w:val="center"/>
        </w:trPr>
        <w:tc>
          <w:tcPr>
            <w:tcW w:w="2225" w:type="dxa"/>
            <w:tcBorders>
              <w:top w:val="double" w:sz="4" w:space="0" w:color="auto"/>
              <w:left w:val="double" w:sz="4" w:space="0" w:color="auto"/>
            </w:tcBorders>
          </w:tcPr>
          <w:p w:rsidR="00244607" w:rsidRPr="00244607" w:rsidRDefault="00244607" w:rsidP="00244607">
            <w:pPr>
              <w:rPr>
                <w:rStyle w:val="Bold"/>
                <w:sz w:val="22"/>
                <w:szCs w:val="22"/>
              </w:rPr>
            </w:pPr>
            <w:r w:rsidRPr="00244607">
              <w:rPr>
                <w:rStyle w:val="Bold"/>
                <w:sz w:val="22"/>
                <w:szCs w:val="22"/>
              </w:rPr>
              <w:t>Name of Sponsor/Company:</w:t>
            </w:r>
          </w:p>
          <w:p w:rsidR="00244607" w:rsidRPr="00244607" w:rsidRDefault="00244607" w:rsidP="00244607">
            <w:pPr>
              <w:rPr>
                <w:rStyle w:val="Bold"/>
                <w:sz w:val="22"/>
                <w:szCs w:val="22"/>
              </w:rPr>
            </w:pPr>
            <w:r w:rsidRPr="00244607">
              <w:rPr>
                <w:rStyle w:val="Bold"/>
                <w:sz w:val="22"/>
                <w:szCs w:val="22"/>
              </w:rPr>
              <w:t>EORTC</w:t>
            </w:r>
          </w:p>
        </w:tc>
        <w:tc>
          <w:tcPr>
            <w:tcW w:w="3761" w:type="dxa"/>
            <w:tcBorders>
              <w:top w:val="double" w:sz="4" w:space="0" w:color="auto"/>
              <w:bottom w:val="nil"/>
            </w:tcBorders>
            <w:shd w:val="clear" w:color="auto" w:fill="auto"/>
          </w:tcPr>
          <w:p w:rsidR="00244607" w:rsidRPr="00244607" w:rsidRDefault="00244607" w:rsidP="00244607">
            <w:pPr>
              <w:rPr>
                <w:sz w:val="22"/>
                <w:szCs w:val="22"/>
              </w:rPr>
            </w:pPr>
            <w:r w:rsidRPr="00244607">
              <w:rPr>
                <w:sz w:val="22"/>
                <w:szCs w:val="22"/>
              </w:rPr>
              <w:t>Individual study Table Referring to Part of the Dossier</w:t>
            </w:r>
          </w:p>
          <w:p w:rsidR="00244607" w:rsidRPr="00244607" w:rsidRDefault="00244607" w:rsidP="00244607">
            <w:pPr>
              <w:rPr>
                <w:sz w:val="22"/>
                <w:szCs w:val="22"/>
              </w:rPr>
            </w:pPr>
          </w:p>
        </w:tc>
        <w:tc>
          <w:tcPr>
            <w:tcW w:w="3761" w:type="dxa"/>
            <w:tcBorders>
              <w:top w:val="double" w:sz="4" w:space="0" w:color="auto"/>
              <w:bottom w:val="nil"/>
              <w:right w:val="double" w:sz="4" w:space="0" w:color="auto"/>
            </w:tcBorders>
            <w:shd w:val="clear" w:color="auto" w:fill="auto"/>
          </w:tcPr>
          <w:p w:rsidR="00244607" w:rsidRPr="00244607" w:rsidRDefault="00244607" w:rsidP="00244607">
            <w:pPr>
              <w:rPr>
                <w:i/>
                <w:sz w:val="22"/>
                <w:szCs w:val="22"/>
              </w:rPr>
            </w:pPr>
            <w:r w:rsidRPr="00244607">
              <w:rPr>
                <w:i/>
                <w:sz w:val="22"/>
                <w:szCs w:val="22"/>
              </w:rPr>
              <w:t>(For National Authority Use Only)</w:t>
            </w:r>
          </w:p>
        </w:tc>
      </w:tr>
      <w:tr w:rsidR="00244607" w:rsidRPr="00244607" w:rsidTr="009C6997">
        <w:trPr>
          <w:cantSplit/>
          <w:tblHeader/>
          <w:jc w:val="center"/>
        </w:trPr>
        <w:tc>
          <w:tcPr>
            <w:tcW w:w="2225" w:type="dxa"/>
            <w:tcBorders>
              <w:left w:val="double" w:sz="4" w:space="0" w:color="auto"/>
            </w:tcBorders>
          </w:tcPr>
          <w:p w:rsidR="00244607" w:rsidRPr="00244607" w:rsidRDefault="00244607" w:rsidP="00244607">
            <w:pPr>
              <w:rPr>
                <w:rStyle w:val="Bold"/>
                <w:sz w:val="22"/>
                <w:szCs w:val="22"/>
              </w:rPr>
            </w:pPr>
            <w:r w:rsidRPr="00244607">
              <w:rPr>
                <w:rStyle w:val="Bold"/>
                <w:sz w:val="22"/>
                <w:szCs w:val="22"/>
              </w:rPr>
              <w:t>Name of the finished product</w:t>
            </w:r>
          </w:p>
        </w:tc>
        <w:tc>
          <w:tcPr>
            <w:tcW w:w="3761" w:type="dxa"/>
            <w:tcBorders>
              <w:top w:val="nil"/>
              <w:bottom w:val="nil"/>
            </w:tcBorders>
            <w:shd w:val="clear" w:color="auto" w:fill="auto"/>
          </w:tcPr>
          <w:p w:rsidR="00244607" w:rsidRPr="00244607" w:rsidRDefault="00244607" w:rsidP="00244607">
            <w:pPr>
              <w:rPr>
                <w:sz w:val="22"/>
                <w:szCs w:val="22"/>
              </w:rPr>
            </w:pPr>
            <w:r w:rsidRPr="00244607">
              <w:rPr>
                <w:sz w:val="22"/>
                <w:szCs w:val="22"/>
              </w:rPr>
              <w:t>Volume:</w:t>
            </w:r>
          </w:p>
        </w:tc>
        <w:tc>
          <w:tcPr>
            <w:tcW w:w="3761" w:type="dxa"/>
            <w:tcBorders>
              <w:top w:val="nil"/>
              <w:bottom w:val="nil"/>
              <w:right w:val="double" w:sz="4" w:space="0" w:color="auto"/>
            </w:tcBorders>
            <w:shd w:val="clear" w:color="auto" w:fill="auto"/>
          </w:tcPr>
          <w:p w:rsidR="00244607" w:rsidRPr="00244607" w:rsidRDefault="00244607" w:rsidP="00244607">
            <w:pPr>
              <w:rPr>
                <w:sz w:val="22"/>
                <w:szCs w:val="22"/>
              </w:rPr>
            </w:pPr>
          </w:p>
        </w:tc>
      </w:tr>
      <w:tr w:rsidR="00244607" w:rsidRPr="00244607" w:rsidTr="009C6997">
        <w:trPr>
          <w:cantSplit/>
          <w:tblHeader/>
          <w:jc w:val="center"/>
        </w:trPr>
        <w:tc>
          <w:tcPr>
            <w:tcW w:w="2225" w:type="dxa"/>
            <w:tcBorders>
              <w:left w:val="double" w:sz="4" w:space="0" w:color="auto"/>
              <w:bottom w:val="double" w:sz="4" w:space="0" w:color="auto"/>
            </w:tcBorders>
          </w:tcPr>
          <w:p w:rsidR="00244607" w:rsidRPr="00244607" w:rsidRDefault="00244607" w:rsidP="00244607">
            <w:pPr>
              <w:rPr>
                <w:rStyle w:val="Bold"/>
                <w:sz w:val="22"/>
                <w:szCs w:val="22"/>
              </w:rPr>
            </w:pPr>
            <w:r w:rsidRPr="00244607">
              <w:rPr>
                <w:rStyle w:val="Bold"/>
                <w:sz w:val="22"/>
                <w:szCs w:val="22"/>
              </w:rPr>
              <w:t>Name of Active Ingredient</w:t>
            </w:r>
          </w:p>
        </w:tc>
        <w:tc>
          <w:tcPr>
            <w:tcW w:w="3761" w:type="dxa"/>
            <w:tcBorders>
              <w:top w:val="nil"/>
              <w:bottom w:val="double" w:sz="4" w:space="0" w:color="auto"/>
            </w:tcBorders>
            <w:shd w:val="clear" w:color="auto" w:fill="auto"/>
          </w:tcPr>
          <w:p w:rsidR="00244607" w:rsidRPr="00244607" w:rsidRDefault="00244607" w:rsidP="00244607">
            <w:pPr>
              <w:rPr>
                <w:sz w:val="22"/>
                <w:szCs w:val="22"/>
              </w:rPr>
            </w:pPr>
            <w:r w:rsidRPr="00244607">
              <w:rPr>
                <w:sz w:val="22"/>
                <w:szCs w:val="22"/>
              </w:rPr>
              <w:t>Page</w:t>
            </w:r>
          </w:p>
        </w:tc>
        <w:tc>
          <w:tcPr>
            <w:tcW w:w="3761" w:type="dxa"/>
            <w:tcBorders>
              <w:top w:val="nil"/>
              <w:bottom w:val="double" w:sz="4" w:space="0" w:color="auto"/>
              <w:right w:val="double" w:sz="4" w:space="0" w:color="auto"/>
            </w:tcBorders>
            <w:shd w:val="clear" w:color="auto" w:fill="auto"/>
          </w:tcPr>
          <w:p w:rsidR="00244607" w:rsidRPr="00244607" w:rsidRDefault="00244607" w:rsidP="00244607">
            <w:pPr>
              <w:rPr>
                <w:sz w:val="22"/>
                <w:szCs w:val="22"/>
              </w:rPr>
            </w:pPr>
          </w:p>
        </w:tc>
      </w:tr>
      <w:tr w:rsidR="00244607" w:rsidRPr="00244607" w:rsidTr="009C6997">
        <w:trPr>
          <w:cantSplit/>
          <w:jc w:val="center"/>
        </w:trPr>
        <w:tc>
          <w:tcPr>
            <w:tcW w:w="2225" w:type="dxa"/>
            <w:tcBorders>
              <w:top w:val="double" w:sz="4" w:space="0" w:color="auto"/>
              <w:left w:val="double" w:sz="4" w:space="0" w:color="auto"/>
            </w:tcBorders>
          </w:tcPr>
          <w:p w:rsidR="00244607" w:rsidRPr="00244607" w:rsidRDefault="00244607" w:rsidP="00244607">
            <w:pPr>
              <w:rPr>
                <w:rStyle w:val="Bold"/>
                <w:sz w:val="22"/>
                <w:szCs w:val="22"/>
              </w:rPr>
            </w:pPr>
            <w:r w:rsidRPr="00244607">
              <w:rPr>
                <w:rStyle w:val="Bold"/>
                <w:sz w:val="22"/>
                <w:szCs w:val="22"/>
              </w:rPr>
              <w:t>Title of the Study</w:t>
            </w:r>
          </w:p>
        </w:tc>
        <w:tc>
          <w:tcPr>
            <w:tcW w:w="7522" w:type="dxa"/>
            <w:gridSpan w:val="2"/>
            <w:tcBorders>
              <w:top w:val="double" w:sz="4" w:space="0" w:color="auto"/>
              <w:right w:val="double" w:sz="4" w:space="0" w:color="auto"/>
            </w:tcBorders>
          </w:tcPr>
          <w:p w:rsidR="00244607" w:rsidRPr="00244607" w:rsidRDefault="00ED1CFC" w:rsidP="00244607">
            <w:pPr>
              <w:rPr>
                <w:sz w:val="22"/>
                <w:szCs w:val="22"/>
              </w:rPr>
            </w:pPr>
            <w:r w:rsidRPr="00970246">
              <w:t xml:space="preserve">Protocol 08092 Double blind randomized phase III study of maintenance </w:t>
            </w:r>
            <w:proofErr w:type="spellStart"/>
            <w:r>
              <w:t>p</w:t>
            </w:r>
            <w:r w:rsidRPr="00970246">
              <w:t>azopanib</w:t>
            </w:r>
            <w:proofErr w:type="spellEnd"/>
            <w:r w:rsidRPr="00970246">
              <w:t xml:space="preserve"> versus placebo in NSCLC </w:t>
            </w:r>
            <w:proofErr w:type="gramStart"/>
            <w:r w:rsidRPr="00970246">
              <w:t>patients</w:t>
            </w:r>
            <w:proofErr w:type="gramEnd"/>
            <w:r w:rsidRPr="00970246">
              <w:t xml:space="preserve"> non progressive after first line chemotherapy. MAPPING, an EORTC Lung Group study.</w:t>
            </w:r>
          </w:p>
        </w:tc>
      </w:tr>
      <w:tr w:rsidR="00244607" w:rsidRPr="00244607" w:rsidTr="009C6997">
        <w:trPr>
          <w:cantSplit/>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244607" w:rsidRPr="00244607" w:rsidRDefault="00244607" w:rsidP="00244607">
            <w:pPr>
              <w:rPr>
                <w:rStyle w:val="Bold"/>
                <w:sz w:val="22"/>
                <w:szCs w:val="22"/>
              </w:rPr>
            </w:pPr>
            <w:r w:rsidRPr="00244607">
              <w:rPr>
                <w:rStyle w:val="Bold"/>
                <w:sz w:val="22"/>
                <w:szCs w:val="22"/>
              </w:rPr>
              <w:t>Investigators &amp; Study Centers</w:t>
            </w:r>
          </w:p>
        </w:tc>
        <w:tc>
          <w:tcPr>
            <w:tcW w:w="7522" w:type="dxa"/>
            <w:gridSpan w:val="2"/>
            <w:tcBorders>
              <w:top w:val="single" w:sz="4" w:space="0" w:color="auto"/>
              <w:left w:val="single" w:sz="4" w:space="0" w:color="auto"/>
              <w:bottom w:val="single" w:sz="4" w:space="0" w:color="auto"/>
              <w:right w:val="double" w:sz="4" w:space="0" w:color="auto"/>
            </w:tcBorders>
            <w:shd w:val="clear" w:color="auto" w:fill="auto"/>
          </w:tcPr>
          <w:p w:rsidR="00244607" w:rsidRPr="00244607" w:rsidRDefault="00244607" w:rsidP="00244607">
            <w:pPr>
              <w:rPr>
                <w:i/>
                <w:sz w:val="22"/>
                <w:szCs w:val="22"/>
              </w:rPr>
            </w:pPr>
            <w:r w:rsidRPr="00244607">
              <w:rPr>
                <w:i/>
                <w:sz w:val="22"/>
                <w:szCs w:val="22"/>
              </w:rPr>
              <w:t>List here the investigators with their institution name and address and preferably with the number of patients they entered in the study.</w:t>
            </w:r>
          </w:p>
          <w:p w:rsidR="00244607" w:rsidRPr="00244607" w:rsidRDefault="00244607" w:rsidP="00244607">
            <w:pPr>
              <w:rPr>
                <w:sz w:val="22"/>
                <w:szCs w:val="22"/>
              </w:rPr>
            </w:pPr>
            <w:r w:rsidRPr="00244607">
              <w:rPr>
                <w:i/>
                <w:sz w:val="22"/>
                <w:szCs w:val="22"/>
              </w:rPr>
              <w:t>This information is readily available from IT tools</w:t>
            </w:r>
            <w:r w:rsidRPr="00244607">
              <w:rPr>
                <w:sz w:val="22"/>
                <w:szCs w:val="22"/>
              </w:rPr>
              <w:t xml:space="preserve"> </w:t>
            </w:r>
          </w:p>
        </w:tc>
      </w:tr>
      <w:tr w:rsidR="00244607" w:rsidRPr="00244607" w:rsidTr="009C6997">
        <w:trPr>
          <w:cantSplit/>
          <w:jc w:val="center"/>
        </w:trPr>
        <w:tc>
          <w:tcPr>
            <w:tcW w:w="2225" w:type="dxa"/>
            <w:tcBorders>
              <w:top w:val="single" w:sz="4" w:space="0" w:color="auto"/>
              <w:left w:val="double" w:sz="4" w:space="0" w:color="auto"/>
              <w:bottom w:val="double" w:sz="4" w:space="0" w:color="auto"/>
              <w:right w:val="single" w:sz="4" w:space="0" w:color="auto"/>
            </w:tcBorders>
            <w:shd w:val="clear" w:color="auto" w:fill="auto"/>
          </w:tcPr>
          <w:p w:rsidR="00244607" w:rsidRPr="00244607" w:rsidRDefault="00244607" w:rsidP="00244607">
            <w:pPr>
              <w:rPr>
                <w:rStyle w:val="Bold"/>
                <w:sz w:val="22"/>
                <w:szCs w:val="22"/>
              </w:rPr>
            </w:pPr>
            <w:r w:rsidRPr="00244607">
              <w:rPr>
                <w:rStyle w:val="Bold"/>
                <w:sz w:val="22"/>
                <w:szCs w:val="22"/>
              </w:rPr>
              <w:t>Publication (reference)</w:t>
            </w:r>
          </w:p>
        </w:tc>
        <w:tc>
          <w:tcPr>
            <w:tcW w:w="7522" w:type="dxa"/>
            <w:gridSpan w:val="2"/>
            <w:tcBorders>
              <w:top w:val="single" w:sz="4" w:space="0" w:color="auto"/>
              <w:left w:val="single" w:sz="4" w:space="0" w:color="auto"/>
              <w:bottom w:val="double" w:sz="4" w:space="0" w:color="auto"/>
              <w:right w:val="double" w:sz="4" w:space="0" w:color="auto"/>
            </w:tcBorders>
            <w:shd w:val="clear" w:color="auto" w:fill="auto"/>
          </w:tcPr>
          <w:p w:rsidR="00244607" w:rsidRPr="00244607" w:rsidRDefault="00244607" w:rsidP="00244607">
            <w:pPr>
              <w:rPr>
                <w:i/>
                <w:sz w:val="22"/>
                <w:szCs w:val="22"/>
              </w:rPr>
            </w:pPr>
            <w:r w:rsidRPr="00244607">
              <w:rPr>
                <w:i/>
                <w:sz w:val="22"/>
                <w:szCs w:val="22"/>
              </w:rPr>
              <w:t xml:space="preserve">List here any existing reference for the presentation of the study results. If the final publication is not yet out, please list here any abstracts or formal presentations with the statement </w:t>
            </w:r>
          </w:p>
          <w:p w:rsidR="00244607" w:rsidRPr="00244607" w:rsidRDefault="00244607" w:rsidP="00244607">
            <w:pPr>
              <w:rPr>
                <w:i/>
                <w:sz w:val="22"/>
                <w:szCs w:val="22"/>
              </w:rPr>
            </w:pPr>
            <w:r w:rsidRPr="00244607">
              <w:rPr>
                <w:i/>
                <w:sz w:val="22"/>
                <w:szCs w:val="22"/>
              </w:rPr>
              <w:t>The overall study data have not been published yet, however, publications about part of the data are: …</w:t>
            </w:r>
          </w:p>
          <w:p w:rsidR="00244607" w:rsidRPr="00244607" w:rsidRDefault="00244607" w:rsidP="00244607">
            <w:pPr>
              <w:rPr>
                <w:sz w:val="22"/>
                <w:szCs w:val="22"/>
              </w:rPr>
            </w:pPr>
          </w:p>
        </w:tc>
      </w:tr>
      <w:tr w:rsidR="00ED1CFC" w:rsidRPr="00244607" w:rsidTr="009C6997">
        <w:trPr>
          <w:cantSplit/>
          <w:jc w:val="center"/>
        </w:trPr>
        <w:tc>
          <w:tcPr>
            <w:tcW w:w="2225" w:type="dxa"/>
            <w:tcBorders>
              <w:top w:val="double" w:sz="4" w:space="0" w:color="auto"/>
              <w:left w:val="double" w:sz="4" w:space="0" w:color="auto"/>
              <w:bottom w:val="single" w:sz="4" w:space="0" w:color="auto"/>
              <w:right w:val="single" w:sz="4" w:space="0" w:color="auto"/>
            </w:tcBorders>
            <w:shd w:val="clear" w:color="auto" w:fill="auto"/>
          </w:tcPr>
          <w:p w:rsidR="00ED1CFC" w:rsidRPr="00244607" w:rsidRDefault="00ED1CFC" w:rsidP="00244607">
            <w:pPr>
              <w:rPr>
                <w:rStyle w:val="Bold"/>
                <w:sz w:val="22"/>
                <w:szCs w:val="22"/>
              </w:rPr>
            </w:pPr>
            <w:r w:rsidRPr="00244607">
              <w:rPr>
                <w:rStyle w:val="Bold"/>
                <w:sz w:val="22"/>
                <w:szCs w:val="22"/>
              </w:rPr>
              <w:t>Objective(s)</w:t>
            </w:r>
          </w:p>
        </w:tc>
        <w:tc>
          <w:tcPr>
            <w:tcW w:w="7522" w:type="dxa"/>
            <w:gridSpan w:val="2"/>
            <w:tcBorders>
              <w:top w:val="double" w:sz="4" w:space="0" w:color="auto"/>
              <w:left w:val="single" w:sz="4" w:space="0" w:color="auto"/>
              <w:bottom w:val="single" w:sz="4" w:space="0" w:color="auto"/>
              <w:right w:val="double" w:sz="4" w:space="0" w:color="auto"/>
            </w:tcBorders>
            <w:shd w:val="clear" w:color="auto" w:fill="auto"/>
          </w:tcPr>
          <w:p w:rsidR="00ED1CFC" w:rsidRPr="0090508F" w:rsidRDefault="00ED1CFC" w:rsidP="002817F3">
            <w:r>
              <w:t xml:space="preserve">To compare the therapeutic benefit of maintenance </w:t>
            </w:r>
            <w:proofErr w:type="spellStart"/>
            <w:r>
              <w:t>pazopanib</w:t>
            </w:r>
            <w:proofErr w:type="spellEnd"/>
            <w:r>
              <w:t xml:space="preserve"> versus placebo after first line treatment for NSCLC.</w:t>
            </w:r>
          </w:p>
        </w:tc>
      </w:tr>
      <w:tr w:rsidR="00ED1CFC" w:rsidRPr="00244607" w:rsidTr="009C6997">
        <w:trPr>
          <w:cantSplit/>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ED1CFC" w:rsidRPr="00244607" w:rsidRDefault="00ED1CFC" w:rsidP="00244607">
            <w:pPr>
              <w:rPr>
                <w:rStyle w:val="Bold"/>
                <w:sz w:val="22"/>
                <w:szCs w:val="22"/>
              </w:rPr>
            </w:pPr>
            <w:r w:rsidRPr="00244607">
              <w:rPr>
                <w:rStyle w:val="Bold"/>
                <w:sz w:val="22"/>
                <w:szCs w:val="22"/>
              </w:rPr>
              <w:t>Methodology</w:t>
            </w:r>
          </w:p>
        </w:tc>
        <w:tc>
          <w:tcPr>
            <w:tcW w:w="7522" w:type="dxa"/>
            <w:gridSpan w:val="2"/>
            <w:tcBorders>
              <w:top w:val="single" w:sz="4" w:space="0" w:color="auto"/>
              <w:left w:val="single" w:sz="4" w:space="0" w:color="auto"/>
              <w:bottom w:val="single" w:sz="4" w:space="0" w:color="auto"/>
              <w:right w:val="double" w:sz="4" w:space="0" w:color="auto"/>
            </w:tcBorders>
            <w:shd w:val="clear" w:color="auto" w:fill="auto"/>
          </w:tcPr>
          <w:p w:rsidR="00ED1CFC" w:rsidRPr="00A63347" w:rsidRDefault="00ED1CFC" w:rsidP="002817F3">
            <w:pPr>
              <w:rPr>
                <w:rStyle w:val="Guidelines0"/>
                <w:i w:val="0"/>
              </w:rPr>
            </w:pPr>
            <w:r>
              <w:t xml:space="preserve">This is a </w:t>
            </w:r>
            <w:r w:rsidRPr="00361BB3">
              <w:t xml:space="preserve">randomized, </w:t>
            </w:r>
            <w:r>
              <w:t>multi-</w:t>
            </w:r>
            <w:proofErr w:type="spellStart"/>
            <w:r>
              <w:t>centre</w:t>
            </w:r>
            <w:proofErr w:type="spellEnd"/>
            <w:r>
              <w:t>, double blind placebo-controlled integrated p</w:t>
            </w:r>
            <w:r w:rsidRPr="00CD1BCD">
              <w:t xml:space="preserve">hase II/III </w:t>
            </w:r>
            <w:r>
              <w:t xml:space="preserve">study. </w:t>
            </w:r>
            <w:r w:rsidRPr="00F141DE">
              <w:t xml:space="preserve">Patients will be randomized 1:1 into </w:t>
            </w:r>
            <w:r>
              <w:t xml:space="preserve">two treatment arms, allowing comparison between placebo and maintenance treatment with </w:t>
            </w:r>
            <w:proofErr w:type="spellStart"/>
            <w:r>
              <w:t>pazopanib</w:t>
            </w:r>
            <w:proofErr w:type="spellEnd"/>
            <w:r>
              <w:t>.</w:t>
            </w:r>
          </w:p>
        </w:tc>
      </w:tr>
      <w:tr w:rsidR="00ED1CFC" w:rsidRPr="00244607" w:rsidTr="009C6997">
        <w:trPr>
          <w:cantSplit/>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ED1CFC" w:rsidRPr="00244607" w:rsidRDefault="00ED1CFC" w:rsidP="00244607">
            <w:pPr>
              <w:rPr>
                <w:rStyle w:val="Bold"/>
                <w:sz w:val="22"/>
                <w:szCs w:val="22"/>
              </w:rPr>
            </w:pPr>
            <w:r w:rsidRPr="00244607">
              <w:rPr>
                <w:rStyle w:val="Bold"/>
                <w:sz w:val="22"/>
                <w:szCs w:val="22"/>
              </w:rPr>
              <w:t xml:space="preserve">Number of patients </w:t>
            </w:r>
          </w:p>
          <w:p w:rsidR="00ED1CFC" w:rsidRPr="00244607" w:rsidRDefault="00ED1CFC" w:rsidP="00244607">
            <w:pPr>
              <w:rPr>
                <w:rStyle w:val="Bold"/>
                <w:b w:val="0"/>
                <w:sz w:val="22"/>
                <w:szCs w:val="22"/>
              </w:rPr>
            </w:pPr>
            <w:r w:rsidRPr="00244607">
              <w:rPr>
                <w:rStyle w:val="Bold"/>
                <w:b w:val="0"/>
                <w:sz w:val="22"/>
                <w:szCs w:val="22"/>
              </w:rPr>
              <w:t>Number planed (Statistical design)</w:t>
            </w:r>
          </w:p>
          <w:p w:rsidR="00ED1CFC" w:rsidRPr="00244607" w:rsidRDefault="00ED1CFC" w:rsidP="00244607">
            <w:pPr>
              <w:rPr>
                <w:rStyle w:val="Bold"/>
                <w:sz w:val="22"/>
                <w:szCs w:val="22"/>
              </w:rPr>
            </w:pPr>
            <w:r w:rsidRPr="00244607">
              <w:rPr>
                <w:rStyle w:val="Bold"/>
                <w:b w:val="0"/>
                <w:sz w:val="22"/>
                <w:szCs w:val="22"/>
              </w:rPr>
              <w:t>Number analyzed</w:t>
            </w:r>
          </w:p>
        </w:tc>
        <w:tc>
          <w:tcPr>
            <w:tcW w:w="7522" w:type="dxa"/>
            <w:gridSpan w:val="2"/>
            <w:tcBorders>
              <w:top w:val="single" w:sz="4" w:space="0" w:color="auto"/>
              <w:left w:val="single" w:sz="4" w:space="0" w:color="auto"/>
              <w:bottom w:val="single" w:sz="4" w:space="0" w:color="auto"/>
              <w:right w:val="double" w:sz="4" w:space="0" w:color="auto"/>
            </w:tcBorders>
            <w:shd w:val="clear" w:color="auto" w:fill="auto"/>
          </w:tcPr>
          <w:p w:rsidR="00ED1CFC" w:rsidRDefault="00ED1CFC" w:rsidP="002817F3">
            <w:r w:rsidRPr="00CD1BCD">
              <w:t xml:space="preserve">The phase II portion of the study </w:t>
            </w:r>
            <w:r>
              <w:t xml:space="preserve">refers to the beginning of the study up to the interim analysis (IA) </w:t>
            </w:r>
            <w:r w:rsidRPr="00CD1BCD">
              <w:t>to provide support for early termination in case of lack of evidence for benefit</w:t>
            </w:r>
            <w:r>
              <w:t xml:space="preserve"> based on progression free survival (PFS). The IA for futility will be conducted when approximately 154 PFS events (PD or death) are observed.</w:t>
            </w:r>
            <w:r w:rsidRPr="00CD1BCD">
              <w:t xml:space="preserve"> </w:t>
            </w:r>
            <w:r>
              <w:t xml:space="preserve">If the study is not stopped for futility at the IA, accrual will be continued to a total of approximately </w:t>
            </w:r>
            <w:r w:rsidRPr="00CD1BCD">
              <w:t xml:space="preserve">587 </w:t>
            </w:r>
            <w:r>
              <w:t xml:space="preserve">patients. The final </w:t>
            </w:r>
            <w:r w:rsidRPr="00CD1BCD">
              <w:t xml:space="preserve">analysis </w:t>
            </w:r>
            <w:r>
              <w:t xml:space="preserve">will be </w:t>
            </w:r>
            <w:r w:rsidRPr="00CD1BCD">
              <w:t xml:space="preserve">performed when </w:t>
            </w:r>
            <w:r>
              <w:t xml:space="preserve">around </w:t>
            </w:r>
            <w:r w:rsidRPr="00CD1BCD">
              <w:t xml:space="preserve">496 events (deaths) have been observed. </w:t>
            </w:r>
          </w:p>
          <w:p w:rsidR="00ED1CFC" w:rsidRPr="001C5210" w:rsidRDefault="00ED1CFC" w:rsidP="002817F3">
            <w:pPr>
              <w:rPr>
                <w:rStyle w:val="Guidelines0"/>
                <w:i w:val="0"/>
              </w:rPr>
            </w:pPr>
            <w:r>
              <w:t xml:space="preserve">A minimization technique will be used for random treatment allocation stratifying by center, </w:t>
            </w:r>
            <w:r w:rsidRPr="0032506C">
              <w:t>Histology</w:t>
            </w:r>
            <w:r>
              <w:t xml:space="preserve"> (</w:t>
            </w:r>
            <w:r w:rsidRPr="0032506C">
              <w:t>squamous vs. non-squamous</w:t>
            </w:r>
            <w:r>
              <w:t xml:space="preserve">), </w:t>
            </w:r>
            <w:r w:rsidRPr="0032506C">
              <w:t xml:space="preserve">PS </w:t>
            </w:r>
            <w:r>
              <w:t>(</w:t>
            </w:r>
            <w:r w:rsidRPr="0032506C">
              <w:t>0-1 vs. 2</w:t>
            </w:r>
            <w:r>
              <w:t xml:space="preserve"> up to </w:t>
            </w:r>
            <w:r w:rsidRPr="0032506C">
              <w:t>15% of subjects)</w:t>
            </w:r>
            <w:r>
              <w:t xml:space="preserve">, </w:t>
            </w:r>
            <w:r w:rsidRPr="0032506C">
              <w:t>Respo</w:t>
            </w:r>
            <w:r>
              <w:t>nse to chemotherapy (CR/PR vs. SD).</w:t>
            </w:r>
          </w:p>
        </w:tc>
      </w:tr>
    </w:tbl>
    <w:p w:rsidR="00805B53" w:rsidRDefault="00805B53">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7522"/>
      </w:tblGrid>
      <w:tr w:rsidR="00ED1CFC" w:rsidRPr="00676A10"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ED1CFC" w:rsidRPr="00ED1CFC" w:rsidRDefault="00ED1CFC" w:rsidP="002817F3">
            <w:pPr>
              <w:rPr>
                <w:rStyle w:val="Bold"/>
                <w:sz w:val="22"/>
                <w:szCs w:val="22"/>
              </w:rPr>
            </w:pPr>
            <w:r w:rsidRPr="00ED1CFC">
              <w:rPr>
                <w:rStyle w:val="Bold"/>
                <w:sz w:val="22"/>
                <w:szCs w:val="22"/>
              </w:rPr>
              <w:lastRenderedPageBreak/>
              <w:t>Diagnosis and main criteria for inclusion</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ED1CFC" w:rsidRPr="00ED1CFC" w:rsidRDefault="00ED1CFC" w:rsidP="002817F3">
            <w:pPr>
              <w:pStyle w:val="List2"/>
              <w:rPr>
                <w:sz w:val="20"/>
              </w:rPr>
            </w:pPr>
            <w:r w:rsidRPr="00ED1CFC">
              <w:rPr>
                <w:sz w:val="20"/>
              </w:rPr>
              <w:t>18 years or older with a life expectancy of 12 weeks or more</w:t>
            </w:r>
          </w:p>
          <w:p w:rsidR="00ED1CFC" w:rsidRPr="00ED1CFC" w:rsidRDefault="00ED1CFC" w:rsidP="002817F3">
            <w:pPr>
              <w:pStyle w:val="List2"/>
              <w:rPr>
                <w:sz w:val="20"/>
              </w:rPr>
            </w:pPr>
            <w:r w:rsidRPr="00ED1CFC">
              <w:rPr>
                <w:sz w:val="20"/>
              </w:rPr>
              <w:t>WHO PS 0-2: PS 2 will be capped at 15 % of the study sample.</w:t>
            </w:r>
          </w:p>
          <w:p w:rsidR="00ED1CFC" w:rsidRPr="00ED1CFC" w:rsidRDefault="00ED1CFC" w:rsidP="002817F3">
            <w:pPr>
              <w:pStyle w:val="List2"/>
              <w:rPr>
                <w:sz w:val="20"/>
              </w:rPr>
            </w:pPr>
            <w:r w:rsidRPr="00ED1CFC">
              <w:rPr>
                <w:sz w:val="20"/>
              </w:rPr>
              <w:t>Elderly population with age superior to 70 years old should only be PS 0-1 and will also be capped at 15%.</w:t>
            </w:r>
          </w:p>
          <w:p w:rsidR="00ED1CFC" w:rsidRPr="00ED1CFC" w:rsidRDefault="00ED1CFC" w:rsidP="002817F3">
            <w:pPr>
              <w:pStyle w:val="List2"/>
              <w:rPr>
                <w:sz w:val="20"/>
              </w:rPr>
            </w:pPr>
            <w:r w:rsidRPr="00ED1CFC">
              <w:rPr>
                <w:sz w:val="20"/>
              </w:rPr>
              <w:t xml:space="preserve">Stage IIIB- IV (as per TNM version VII) newly diagnosed or recurrent NSCLC (after surgery or radical radiotherapy) proven on cytology or histology before induction chemotherapy. All </w:t>
            </w:r>
            <w:proofErr w:type="spellStart"/>
            <w:r w:rsidRPr="00ED1CFC">
              <w:rPr>
                <w:sz w:val="20"/>
              </w:rPr>
              <w:t>histologies</w:t>
            </w:r>
            <w:proofErr w:type="spellEnd"/>
            <w:r w:rsidRPr="00ED1CFC">
              <w:rPr>
                <w:sz w:val="20"/>
              </w:rPr>
              <w:t xml:space="preserve"> are eligible. In case of adjuvant chemotherapy after previous surgery, time interval from start of previous treatment to induction chemotherapy for metastatic disease is 6 months.</w:t>
            </w:r>
          </w:p>
          <w:p w:rsidR="00ED1CFC" w:rsidRPr="00ED1CFC" w:rsidRDefault="00ED1CFC" w:rsidP="002817F3">
            <w:pPr>
              <w:pStyle w:val="List2"/>
              <w:rPr>
                <w:sz w:val="20"/>
              </w:rPr>
            </w:pPr>
            <w:r w:rsidRPr="00ED1CFC">
              <w:rPr>
                <w:sz w:val="20"/>
              </w:rPr>
              <w:t>If previous palliative radiotherapy this has to be completed at least 2 weeks before study enrolment.</w:t>
            </w:r>
          </w:p>
          <w:p w:rsidR="00ED1CFC" w:rsidRPr="00ED1CFC" w:rsidRDefault="00ED1CFC" w:rsidP="002817F3">
            <w:pPr>
              <w:pStyle w:val="List2"/>
              <w:rPr>
                <w:sz w:val="20"/>
              </w:rPr>
            </w:pPr>
            <w:r w:rsidRPr="00ED1CFC">
              <w:rPr>
                <w:sz w:val="20"/>
              </w:rPr>
              <w:t>Previous radical radiotherapy is permitted as long as it was at least 6 months from the start of the radiotherapy to the start of induction chemotherapy for metastatic disease</w:t>
            </w:r>
          </w:p>
          <w:p w:rsidR="00ED1CFC" w:rsidRPr="00ED1CFC" w:rsidRDefault="00ED1CFC" w:rsidP="002817F3">
            <w:pPr>
              <w:pStyle w:val="List2"/>
              <w:rPr>
                <w:sz w:val="20"/>
              </w:rPr>
            </w:pPr>
            <w:r w:rsidRPr="00ED1CFC">
              <w:rPr>
                <w:sz w:val="20"/>
              </w:rPr>
              <w:t>EGFR wild type or unknown (known EGFR mutations are not eligible)</w:t>
            </w:r>
          </w:p>
          <w:p w:rsidR="00ED1CFC" w:rsidRPr="00ED1CFC" w:rsidRDefault="00ED1CFC" w:rsidP="002817F3">
            <w:pPr>
              <w:pStyle w:val="List2"/>
              <w:rPr>
                <w:sz w:val="20"/>
              </w:rPr>
            </w:pPr>
            <w:r w:rsidRPr="00ED1CFC">
              <w:rPr>
                <w:sz w:val="20"/>
              </w:rPr>
              <w:t>Patients may or may not have measurable disease at entry as defined by RECIST</w:t>
            </w:r>
          </w:p>
          <w:p w:rsidR="00ED1CFC" w:rsidRPr="00ED1CFC" w:rsidRDefault="00ED1CFC" w:rsidP="002817F3">
            <w:pPr>
              <w:pStyle w:val="List2"/>
              <w:rPr>
                <w:sz w:val="20"/>
              </w:rPr>
            </w:pPr>
            <w:r w:rsidRPr="00ED1CFC">
              <w:rPr>
                <w:sz w:val="20"/>
              </w:rPr>
              <w:t xml:space="preserve">Patients must not have progressed during the four to six cycles of initial chemotherapy: </w:t>
            </w:r>
          </w:p>
          <w:p w:rsidR="00ED1CFC" w:rsidRPr="003406E4" w:rsidRDefault="00ED1CFC" w:rsidP="00ED1CFC">
            <w:pPr>
              <w:pStyle w:val="Listii"/>
              <w:numPr>
                <w:ilvl w:val="0"/>
                <w:numId w:val="2"/>
              </w:numPr>
              <w:spacing w:after="120"/>
              <w:ind w:left="717" w:hanging="357"/>
            </w:pPr>
            <w:r w:rsidRPr="00C54859">
              <w:t>F</w:t>
            </w:r>
            <w:r w:rsidRPr="003406E4">
              <w:t xml:space="preserve">or patient presenting measurable disease, documented radiographic evidence of response (CR, PR or SD) according to RECIST 1.1 guidelines. </w:t>
            </w:r>
          </w:p>
          <w:p w:rsidR="00ED1CFC" w:rsidRPr="005B058C" w:rsidRDefault="00ED1CFC" w:rsidP="00ED1CFC">
            <w:pPr>
              <w:pStyle w:val="Listii"/>
              <w:numPr>
                <w:ilvl w:val="0"/>
                <w:numId w:val="2"/>
              </w:numPr>
              <w:spacing w:after="120"/>
              <w:ind w:left="717" w:hanging="357"/>
            </w:pPr>
            <w:r w:rsidRPr="005B058C">
              <w:t xml:space="preserve">For patients without measurable disease, no symptomatic/clinical progression </w:t>
            </w:r>
          </w:p>
          <w:p w:rsidR="00ED1CFC" w:rsidRPr="00ED1CFC" w:rsidRDefault="00ED1CFC" w:rsidP="002817F3">
            <w:pPr>
              <w:rPr>
                <w:rStyle w:val="Bold"/>
                <w:b w:val="0"/>
              </w:rPr>
            </w:pPr>
            <w:r w:rsidRPr="00ED1CFC">
              <w:rPr>
                <w:rStyle w:val="Bold"/>
                <w:b w:val="0"/>
              </w:rPr>
              <w:t xml:space="preserve">Tumor assessment must occur within 7-42 days after day 1 of last chemotherapy cycle (patient must have received 4 to 6 chemotherapy cycles) and must be </w:t>
            </w:r>
            <w:proofErr w:type="spellStart"/>
            <w:proofErr w:type="gramStart"/>
            <w:r w:rsidRPr="00ED1CFC">
              <w:rPr>
                <w:rStyle w:val="Bold"/>
                <w:b w:val="0"/>
              </w:rPr>
              <w:t>non</w:t>
            </w:r>
            <w:proofErr w:type="gramEnd"/>
            <w:r w:rsidRPr="00ED1CFC">
              <w:rPr>
                <w:rStyle w:val="Bold"/>
                <w:b w:val="0"/>
              </w:rPr>
              <w:t xml:space="preserve"> progressing</w:t>
            </w:r>
            <w:proofErr w:type="spellEnd"/>
            <w:r w:rsidRPr="00ED1CFC">
              <w:rPr>
                <w:rStyle w:val="Bold"/>
                <w:b w:val="0"/>
              </w:rPr>
              <w:t xml:space="preserve">. </w:t>
            </w:r>
          </w:p>
          <w:p w:rsidR="00ED1CFC" w:rsidRPr="00ED1CFC" w:rsidRDefault="00ED1CFC" w:rsidP="002817F3">
            <w:r w:rsidRPr="00ED1CFC">
              <w:rPr>
                <w:rStyle w:val="Bold"/>
                <w:b w:val="0"/>
              </w:rPr>
              <w:t>Three weeks (+ 7 days) will be the maximum time allowed from the documentation of non-progression to start maintenance therapy</w:t>
            </w:r>
          </w:p>
          <w:p w:rsidR="00ED1CFC" w:rsidRDefault="00ED1CFC" w:rsidP="002817F3">
            <w:r w:rsidRPr="00ED1CFC">
              <w:rPr>
                <w:rStyle w:val="Bold"/>
                <w:b w:val="0"/>
              </w:rPr>
              <w:t>All evaluations have to be done within 3 weeks (+ 7 days) prior to treatment start.</w:t>
            </w:r>
            <w:r w:rsidRPr="00DF33ED">
              <w:t xml:space="preserve"> </w:t>
            </w:r>
            <w:r>
              <w:t xml:space="preserve">However hematology and serum chemistry and clinical symptoms must be done within 2 weeks (+/- 2 days) prior to treatment start with the exception of potassium which must be </w:t>
            </w:r>
            <w:r w:rsidRPr="006D674B">
              <w:t>checked and be within normal local laboratory limits</w:t>
            </w:r>
            <w:r>
              <w:t xml:space="preserve"> within 72 hours of randomization.</w:t>
            </w:r>
          </w:p>
          <w:p w:rsidR="00ED1CFC" w:rsidRPr="00ED1CFC" w:rsidRDefault="00ED1CFC" w:rsidP="002817F3">
            <w:pPr>
              <w:pStyle w:val="List2"/>
              <w:rPr>
                <w:sz w:val="20"/>
              </w:rPr>
            </w:pPr>
            <w:r w:rsidRPr="00ED1CFC">
              <w:rPr>
                <w:sz w:val="20"/>
              </w:rPr>
              <w:t xml:space="preserve">Adequate bone marrow function (ANC </w:t>
            </w:r>
            <w:r w:rsidRPr="00ED1CFC">
              <w:rPr>
                <w:sz w:val="20"/>
              </w:rPr>
              <w:sym w:font="Symbol" w:char="F0B3"/>
            </w:r>
            <w:r w:rsidRPr="00ED1CFC">
              <w:rPr>
                <w:sz w:val="20"/>
              </w:rPr>
              <w:t xml:space="preserve"> 1.5 10</w:t>
            </w:r>
            <w:r w:rsidRPr="00ED1CFC">
              <w:rPr>
                <w:rStyle w:val="Raised"/>
                <w:sz w:val="20"/>
                <w:vertAlign w:val="baseline"/>
              </w:rPr>
              <w:t>9</w:t>
            </w:r>
            <w:r w:rsidRPr="00ED1CFC">
              <w:rPr>
                <w:sz w:val="20"/>
              </w:rPr>
              <w:t xml:space="preserve">/L, Platelets </w:t>
            </w:r>
            <w:r w:rsidRPr="00ED1CFC">
              <w:rPr>
                <w:sz w:val="20"/>
              </w:rPr>
              <w:sym w:font="Symbol" w:char="F0B3"/>
            </w:r>
            <w:r w:rsidRPr="00ED1CFC">
              <w:rPr>
                <w:sz w:val="20"/>
              </w:rPr>
              <w:t>100 10</w:t>
            </w:r>
            <w:r w:rsidRPr="00ED1CFC">
              <w:rPr>
                <w:rStyle w:val="Raised"/>
                <w:sz w:val="20"/>
                <w:vertAlign w:val="baseline"/>
              </w:rPr>
              <w:t>9</w:t>
            </w:r>
            <w:r w:rsidRPr="00ED1CFC">
              <w:rPr>
                <w:sz w:val="20"/>
              </w:rPr>
              <w:t xml:space="preserve">/l, </w:t>
            </w:r>
            <w:proofErr w:type="spellStart"/>
            <w:r w:rsidRPr="00ED1CFC">
              <w:rPr>
                <w:sz w:val="20"/>
              </w:rPr>
              <w:t>Haemoglobin</w:t>
            </w:r>
            <w:proofErr w:type="spellEnd"/>
            <w:r w:rsidRPr="00ED1CFC">
              <w:rPr>
                <w:sz w:val="20"/>
              </w:rPr>
              <w:t xml:space="preserve"> </w:t>
            </w:r>
            <w:r w:rsidRPr="00ED1CFC">
              <w:rPr>
                <w:sz w:val="20"/>
              </w:rPr>
              <w:sym w:font="Symbol" w:char="F0B3"/>
            </w:r>
            <w:r w:rsidRPr="00ED1CFC">
              <w:rPr>
                <w:sz w:val="20"/>
              </w:rPr>
              <w:t xml:space="preserve"> 9 g/</w:t>
            </w:r>
            <w:proofErr w:type="spellStart"/>
            <w:r w:rsidRPr="00ED1CFC">
              <w:rPr>
                <w:sz w:val="20"/>
              </w:rPr>
              <w:t>dL</w:t>
            </w:r>
            <w:proofErr w:type="spellEnd"/>
            <w:r w:rsidRPr="00ED1CFC">
              <w:rPr>
                <w:sz w:val="20"/>
              </w:rPr>
              <w:t>)</w:t>
            </w:r>
          </w:p>
          <w:p w:rsidR="00ED1CFC" w:rsidRPr="00ED1CFC" w:rsidRDefault="00ED1CFC" w:rsidP="002817F3">
            <w:pPr>
              <w:pStyle w:val="List2"/>
              <w:rPr>
                <w:sz w:val="20"/>
              </w:rPr>
            </w:pPr>
            <w:r w:rsidRPr="00ED1CFC">
              <w:rPr>
                <w:sz w:val="20"/>
              </w:rPr>
              <w:t xml:space="preserve">Prothrombin time (PT) or international normalized ratio (INR) </w:t>
            </w:r>
            <w:r w:rsidRPr="00ED1CFC">
              <w:rPr>
                <w:sz w:val="20"/>
              </w:rPr>
              <w:sym w:font="Symbol" w:char="F0A3"/>
            </w:r>
            <w:r w:rsidRPr="00ED1CFC">
              <w:rPr>
                <w:sz w:val="20"/>
              </w:rPr>
              <w:t xml:space="preserve"> 1.2 X upper limit of normal (ULN)</w:t>
            </w:r>
          </w:p>
          <w:p w:rsidR="00ED1CFC" w:rsidRPr="00ED1CFC" w:rsidRDefault="00ED1CFC" w:rsidP="002817F3">
            <w:pPr>
              <w:pStyle w:val="List2"/>
              <w:rPr>
                <w:sz w:val="20"/>
              </w:rPr>
            </w:pPr>
            <w:r w:rsidRPr="00ED1CFC">
              <w:rPr>
                <w:sz w:val="20"/>
              </w:rPr>
              <w:t xml:space="preserve">Partial </w:t>
            </w:r>
            <w:proofErr w:type="spellStart"/>
            <w:r w:rsidRPr="00ED1CFC">
              <w:rPr>
                <w:sz w:val="20"/>
              </w:rPr>
              <w:t>thromboplastin</w:t>
            </w:r>
            <w:proofErr w:type="spellEnd"/>
            <w:r w:rsidRPr="00ED1CFC">
              <w:rPr>
                <w:sz w:val="20"/>
              </w:rPr>
              <w:t xml:space="preserve"> time (PTT) </w:t>
            </w:r>
            <w:r w:rsidRPr="00ED1CFC">
              <w:rPr>
                <w:sz w:val="20"/>
              </w:rPr>
              <w:sym w:font="Symbol" w:char="F0A3"/>
            </w:r>
            <w:r w:rsidRPr="00ED1CFC">
              <w:rPr>
                <w:sz w:val="20"/>
              </w:rPr>
              <w:t xml:space="preserve"> 1.2 X ULN</w:t>
            </w:r>
          </w:p>
          <w:p w:rsidR="00ED1CFC" w:rsidRPr="005F693F" w:rsidRDefault="00ED1CFC" w:rsidP="002817F3">
            <w:r>
              <w:tab/>
            </w:r>
            <w:r w:rsidRPr="005F693F">
              <w:t>Note: Patients receiving anticoagulant therapy are eligible if their PT or INR or PTT is stable and within the recommended range for the desired level of anticoagulation.</w:t>
            </w:r>
          </w:p>
          <w:p w:rsidR="00ED1CFC" w:rsidRPr="00ED1CFC" w:rsidRDefault="00ED1CFC" w:rsidP="002817F3">
            <w:pPr>
              <w:pStyle w:val="List2"/>
              <w:rPr>
                <w:sz w:val="20"/>
              </w:rPr>
            </w:pPr>
            <w:r w:rsidRPr="00ED1CFC">
              <w:rPr>
                <w:sz w:val="20"/>
              </w:rPr>
              <w:t xml:space="preserve">Adequate hepatic function ((bilirubin </w:t>
            </w:r>
            <w:r w:rsidRPr="00ED1CFC">
              <w:rPr>
                <w:sz w:val="20"/>
              </w:rPr>
              <w:sym w:font="Symbol" w:char="F0A3"/>
            </w:r>
            <w:r w:rsidRPr="00ED1CFC">
              <w:rPr>
                <w:sz w:val="20"/>
              </w:rPr>
              <w:t xml:space="preserve"> 1.5 X ULN, SGOT/AST and SGPT/ALT </w:t>
            </w:r>
            <w:r w:rsidRPr="00ED1CFC">
              <w:rPr>
                <w:sz w:val="20"/>
              </w:rPr>
              <w:sym w:font="Symbol" w:char="F0A3"/>
            </w:r>
            <w:r w:rsidRPr="00ED1CFC">
              <w:rPr>
                <w:sz w:val="20"/>
              </w:rPr>
              <w:t xml:space="preserve"> 2.5 X ULN)</w:t>
            </w:r>
          </w:p>
          <w:p w:rsidR="00ED1CFC" w:rsidRPr="00D1764F" w:rsidRDefault="00ED1CFC" w:rsidP="002817F3">
            <w:r>
              <w:tab/>
            </w:r>
            <w:r w:rsidRPr="00D1764F">
              <w:t xml:space="preserve">Adequate renal function: </w:t>
            </w:r>
          </w:p>
          <w:p w:rsidR="00ED1CFC" w:rsidRPr="005F693F" w:rsidRDefault="00ED1CFC" w:rsidP="00ED1CFC">
            <w:pPr>
              <w:pStyle w:val="Listii"/>
              <w:numPr>
                <w:ilvl w:val="0"/>
                <w:numId w:val="2"/>
              </w:numPr>
              <w:spacing w:after="120"/>
              <w:ind w:left="717" w:hanging="357"/>
            </w:pPr>
            <w:r w:rsidRPr="00275FFD">
              <w:t xml:space="preserve">Serum creatinine </w:t>
            </w:r>
            <w:r w:rsidRPr="005F693F">
              <w:sym w:font="Symbol" w:char="F0A3"/>
            </w:r>
            <w:r w:rsidRPr="00BB778A">
              <w:t xml:space="preserve"> 1.5 mg/</w:t>
            </w:r>
            <w:proofErr w:type="spellStart"/>
            <w:r w:rsidRPr="00BB778A">
              <w:t>dL</w:t>
            </w:r>
            <w:proofErr w:type="spellEnd"/>
            <w:r>
              <w:t>.</w:t>
            </w:r>
            <w:r w:rsidRPr="00BB778A">
              <w:t xml:space="preserve"> </w:t>
            </w:r>
          </w:p>
          <w:p w:rsidR="00ED1CFC" w:rsidRPr="00ED1CFC" w:rsidRDefault="00ED1CFC" w:rsidP="00ED1CFC">
            <w:pPr>
              <w:pStyle w:val="Listiii"/>
              <w:numPr>
                <w:ilvl w:val="0"/>
                <w:numId w:val="2"/>
              </w:numPr>
              <w:spacing w:after="120"/>
              <w:ind w:left="1077" w:hanging="357"/>
              <w:rPr>
                <w:rStyle w:val="Bold"/>
                <w:b w:val="0"/>
              </w:rPr>
            </w:pPr>
            <w:r>
              <w:t>If serum creatinine is</w:t>
            </w:r>
            <w:r w:rsidRPr="00BB778A">
              <w:t xml:space="preserve"> greater than 1.5 mg/</w:t>
            </w:r>
            <w:proofErr w:type="spellStart"/>
            <w:r w:rsidRPr="00BB778A">
              <w:t>dL</w:t>
            </w:r>
            <w:proofErr w:type="spellEnd"/>
            <w:r w:rsidRPr="00BB778A">
              <w:t xml:space="preserve">: calculated creatinine clearance </w:t>
            </w:r>
            <w:r w:rsidRPr="005F693F">
              <w:sym w:font="Symbol" w:char="F0B3"/>
            </w:r>
            <w:r w:rsidRPr="00BB778A">
              <w:t xml:space="preserve"> 50 m</w:t>
            </w:r>
            <w:r>
              <w:t>l</w:t>
            </w:r>
            <w:r w:rsidRPr="00BB778A">
              <w:t>/min</w:t>
            </w:r>
            <w:r>
              <w:t xml:space="preserve"> or </w:t>
            </w:r>
            <w:proofErr w:type="spellStart"/>
            <w:r>
              <w:t>CrCl</w:t>
            </w:r>
            <w:proofErr w:type="spellEnd"/>
            <w:r>
              <w:t xml:space="preserve"> determined by 24 -hour urine collection if over 50ml/min.</w:t>
            </w:r>
            <w:r w:rsidRPr="00ED1CFC">
              <w:rPr>
                <w:rStyle w:val="Bold"/>
                <w:b w:val="0"/>
              </w:rPr>
              <w:t xml:space="preserve"> See </w:t>
            </w:r>
            <w:r w:rsidRPr="00ED1CFC">
              <w:rPr>
                <w:rStyle w:val="Bold"/>
                <w:b w:val="0"/>
              </w:rPr>
              <w:fldChar w:fldCharType="begin"/>
            </w:r>
            <w:r w:rsidRPr="00ED1CFC">
              <w:rPr>
                <w:rStyle w:val="Bold"/>
                <w:b w:val="0"/>
              </w:rPr>
              <w:instrText xml:space="preserve"> REF _Ref22530307 \h </w:instrText>
            </w:r>
            <w:r w:rsidRPr="00ED1CFC">
              <w:rPr>
                <w:rStyle w:val="Bold"/>
                <w:b w:val="0"/>
              </w:rPr>
            </w:r>
            <w:r w:rsidR="00A162BC">
              <w:rPr>
                <w:rStyle w:val="Bold"/>
                <w:b w:val="0"/>
              </w:rPr>
              <w:instrText xml:space="preserve"> \* MERGEFORMAT </w:instrText>
            </w:r>
            <w:r w:rsidRPr="00ED1CFC">
              <w:rPr>
                <w:rStyle w:val="Bold"/>
                <w:b w:val="0"/>
              </w:rPr>
              <w:fldChar w:fldCharType="separate"/>
            </w:r>
            <w:r>
              <w:t>Appendix D</w:t>
            </w:r>
            <w:r w:rsidRPr="00ED1CFC">
              <w:rPr>
                <w:rStyle w:val="Bold"/>
                <w:b w:val="0"/>
              </w:rPr>
              <w:fldChar w:fldCharType="end"/>
            </w:r>
            <w:r w:rsidRPr="00ED1CFC">
              <w:rPr>
                <w:rStyle w:val="Bold"/>
                <w:b w:val="0"/>
              </w:rPr>
              <w:t>.</w:t>
            </w:r>
          </w:p>
          <w:p w:rsidR="00ED1CFC" w:rsidRPr="00ED1CFC" w:rsidRDefault="00ED1CFC" w:rsidP="00ED1CFC">
            <w:pPr>
              <w:pStyle w:val="Listii"/>
              <w:numPr>
                <w:ilvl w:val="0"/>
                <w:numId w:val="2"/>
              </w:numPr>
              <w:spacing w:after="120"/>
              <w:ind w:left="717" w:hanging="357"/>
              <w:rPr>
                <w:rStyle w:val="Bold"/>
                <w:b w:val="0"/>
              </w:rPr>
            </w:pPr>
            <w:r w:rsidRPr="00275FFD">
              <w:t xml:space="preserve">UPC (Urine </w:t>
            </w:r>
            <w:r w:rsidRPr="003406E4">
              <w:t>Protein Creatinine ratio mg/dl) must be ≤ 1</w:t>
            </w:r>
            <w:r w:rsidRPr="00ED1CFC">
              <w:rPr>
                <w:rStyle w:val="Bold"/>
                <w:b w:val="0"/>
              </w:rPr>
              <w:t xml:space="preserve">. </w:t>
            </w:r>
          </w:p>
          <w:p w:rsidR="00ED1CFC" w:rsidRPr="00ED1CFC" w:rsidRDefault="00ED1CFC" w:rsidP="00ED1CFC">
            <w:pPr>
              <w:pStyle w:val="Listiii"/>
              <w:numPr>
                <w:ilvl w:val="0"/>
                <w:numId w:val="2"/>
              </w:numPr>
              <w:spacing w:after="120"/>
              <w:ind w:left="1077" w:hanging="357"/>
              <w:rPr>
                <w:rStyle w:val="Bold"/>
                <w:b w:val="0"/>
              </w:rPr>
            </w:pPr>
            <w:r w:rsidRPr="003406E4">
              <w:t xml:space="preserve">If UPC &gt;1: a 24-hour urine </w:t>
            </w:r>
            <w:proofErr w:type="spellStart"/>
            <w:r w:rsidRPr="003406E4">
              <w:t>proteine</w:t>
            </w:r>
            <w:proofErr w:type="spellEnd"/>
            <w:r w:rsidRPr="003406E4">
              <w:t xml:space="preserve"> analysis is performed and the patient excluded only if the 24-hour urine protein is &gt; 1.0 g. </w:t>
            </w:r>
            <w:r w:rsidRPr="00ED1CFC">
              <w:rPr>
                <w:rStyle w:val="Bold"/>
                <w:b w:val="0"/>
              </w:rPr>
              <w:t>See</w:t>
            </w:r>
            <w:r w:rsidRPr="003406E4">
              <w:t xml:space="preserve"> </w:t>
            </w:r>
            <w:r>
              <w:fldChar w:fldCharType="begin"/>
            </w:r>
            <w:r>
              <w:instrText xml:space="preserve"> REF _Ref267983110 \h </w:instrText>
            </w:r>
            <w:r w:rsidR="00A162BC">
              <w:instrText xml:space="preserve"> \* MERGEFORMAT </w:instrText>
            </w:r>
            <w:r>
              <w:fldChar w:fldCharType="separate"/>
            </w:r>
            <w:r>
              <w:t>Appendix G</w:t>
            </w:r>
            <w:r>
              <w:fldChar w:fldCharType="end"/>
            </w:r>
            <w:r>
              <w:t>.</w:t>
            </w:r>
          </w:p>
          <w:p w:rsidR="00ED1CFC" w:rsidRPr="00ED1CFC" w:rsidRDefault="00ED1CFC" w:rsidP="002817F3">
            <w:pPr>
              <w:pStyle w:val="List2"/>
              <w:rPr>
                <w:sz w:val="20"/>
              </w:rPr>
            </w:pPr>
            <w:r w:rsidRPr="00ED1CFC">
              <w:rPr>
                <w:sz w:val="20"/>
              </w:rPr>
              <w:t xml:space="preserve">Clinical normal cardiac function based on: </w:t>
            </w:r>
          </w:p>
          <w:p w:rsidR="00ED1CFC" w:rsidRPr="003406E4" w:rsidRDefault="00ED1CFC" w:rsidP="00ED1CFC">
            <w:pPr>
              <w:pStyle w:val="Listii"/>
              <w:numPr>
                <w:ilvl w:val="0"/>
                <w:numId w:val="2"/>
              </w:numPr>
              <w:spacing w:after="120"/>
              <w:ind w:left="717" w:hanging="357"/>
            </w:pPr>
            <w:r w:rsidRPr="009D57D7">
              <w:t>normal 12 lead ECG showing no prolongation of corrected QT interval (</w:t>
            </w:r>
            <w:proofErr w:type="spellStart"/>
            <w:r w:rsidRPr="009D57D7">
              <w:t>QTc</w:t>
            </w:r>
            <w:proofErr w:type="spellEnd"/>
            <w:r w:rsidRPr="009D57D7">
              <w:t xml:space="preserve">) &gt; 480 </w:t>
            </w:r>
            <w:proofErr w:type="spellStart"/>
            <w:r w:rsidRPr="009D57D7">
              <w:t>msecs</w:t>
            </w:r>
            <w:proofErr w:type="spellEnd"/>
            <w:r w:rsidRPr="009D57D7">
              <w:t xml:space="preserve">, If </w:t>
            </w:r>
            <w:proofErr w:type="spellStart"/>
            <w:r w:rsidRPr="009D57D7">
              <w:t>QTc</w:t>
            </w:r>
            <w:proofErr w:type="spellEnd"/>
            <w:r w:rsidRPr="009D57D7">
              <w:t xml:space="preserve"> interval is &gt; 480 </w:t>
            </w:r>
            <w:proofErr w:type="spellStart"/>
            <w:r w:rsidRPr="009D57D7">
              <w:t>msecs</w:t>
            </w:r>
            <w:proofErr w:type="spellEnd"/>
            <w:r w:rsidRPr="009D57D7">
              <w:t xml:space="preserve">, then 2 additional ECGs should be obtained over a brief period of time (e.g., within 15-20 minutes) to confirm the abnormality. The average </w:t>
            </w:r>
            <w:proofErr w:type="spellStart"/>
            <w:r w:rsidRPr="009D57D7">
              <w:t>QTc</w:t>
            </w:r>
            <w:proofErr w:type="spellEnd"/>
            <w:r w:rsidRPr="009D57D7">
              <w:t xml:space="preserve"> interval will be determined from the 3 ECG tracings by manual evaluation and will be used to determine if the subject will </w:t>
            </w:r>
            <w:proofErr w:type="gramStart"/>
            <w:r w:rsidRPr="009D57D7">
              <w:t>be</w:t>
            </w:r>
            <w:r w:rsidR="00A162BC">
              <w:t xml:space="preserve"> </w:t>
            </w:r>
            <w:r w:rsidRPr="009D57D7">
              <w:t xml:space="preserve"> </w:t>
            </w:r>
            <w:r w:rsidRPr="009D57D7">
              <w:lastRenderedPageBreak/>
              <w:t>excluded</w:t>
            </w:r>
            <w:proofErr w:type="gramEnd"/>
            <w:r w:rsidRPr="009D57D7">
              <w:t xml:space="preserve"> from the study.</w:t>
            </w:r>
          </w:p>
          <w:p w:rsidR="00ED1CFC" w:rsidRPr="003406E4" w:rsidRDefault="00ED1CFC" w:rsidP="00ED1CFC">
            <w:pPr>
              <w:pStyle w:val="Listii"/>
              <w:numPr>
                <w:ilvl w:val="0"/>
                <w:numId w:val="2"/>
              </w:numPr>
              <w:spacing w:after="120"/>
              <w:ind w:left="717" w:hanging="357"/>
            </w:pPr>
            <w:r w:rsidRPr="003406E4">
              <w:t>and no history of any one or more of the following cardiovascular conditions within the past 6 months: c</w:t>
            </w:r>
            <w:r>
              <w:t xml:space="preserve">ardiac angioplasty or stenting </w:t>
            </w:r>
            <w:r w:rsidRPr="003406E4">
              <w:t>myocardial infarction, unstable angina, coronary artery bypass graft surgery, symptomatic peripheral vascular disease,</w:t>
            </w:r>
          </w:p>
          <w:p w:rsidR="00ED1CFC" w:rsidRPr="00ED1CFC" w:rsidRDefault="00ED1CFC" w:rsidP="00ED1CFC">
            <w:pPr>
              <w:pStyle w:val="Listii"/>
              <w:numPr>
                <w:ilvl w:val="0"/>
                <w:numId w:val="2"/>
              </w:numPr>
              <w:spacing w:after="120"/>
              <w:ind w:left="717" w:hanging="357"/>
              <w:rPr>
                <w:rStyle w:val="Bold"/>
                <w:b w:val="0"/>
              </w:rPr>
            </w:pPr>
            <w:proofErr w:type="gramStart"/>
            <w:r>
              <w:t>no</w:t>
            </w:r>
            <w:proofErr w:type="gramEnd"/>
            <w:r w:rsidRPr="003406E4">
              <w:t xml:space="preserve"> Class III or IV congestive heart failure, as defined by the New York Heart Association (NYHA) </w:t>
            </w:r>
            <w:r>
              <w:t xml:space="preserve">and no class II, III or IV for elderly patients. </w:t>
            </w:r>
            <w:r w:rsidRPr="00ED1CFC">
              <w:rPr>
                <w:rStyle w:val="Bold"/>
                <w:b w:val="0"/>
              </w:rPr>
              <w:t>See</w:t>
            </w:r>
            <w:r w:rsidRPr="003406E4">
              <w:t xml:space="preserve"> </w:t>
            </w:r>
            <w:r w:rsidRPr="00ED1CFC">
              <w:rPr>
                <w:rStyle w:val="Bold"/>
                <w:b w:val="0"/>
              </w:rPr>
              <w:fldChar w:fldCharType="begin"/>
            </w:r>
            <w:r w:rsidRPr="00ED1CFC">
              <w:rPr>
                <w:rStyle w:val="Bold"/>
                <w:b w:val="0"/>
              </w:rPr>
              <w:instrText xml:space="preserve"> REF _Ref309638564 \h  \* MERGEFORMAT </w:instrText>
            </w:r>
            <w:r w:rsidRPr="00ED1CFC">
              <w:rPr>
                <w:rStyle w:val="Bold"/>
                <w:b w:val="0"/>
              </w:rPr>
            </w:r>
            <w:r w:rsidRPr="00ED1CFC">
              <w:rPr>
                <w:rStyle w:val="Bold"/>
                <w:b w:val="0"/>
              </w:rPr>
              <w:fldChar w:fldCharType="separate"/>
            </w:r>
            <w:r w:rsidRPr="00ED1CFC">
              <w:rPr>
                <w:rStyle w:val="Bold"/>
                <w:b w:val="0"/>
              </w:rPr>
              <w:t>Appendix C</w:t>
            </w:r>
            <w:r w:rsidRPr="00ED1CFC">
              <w:rPr>
                <w:rStyle w:val="Bold"/>
                <w:b w:val="0"/>
              </w:rPr>
              <w:fldChar w:fldCharType="end"/>
            </w:r>
            <w:r>
              <w:t>.</w:t>
            </w:r>
          </w:p>
          <w:p w:rsidR="00ED1CFC" w:rsidRPr="00ED1CFC" w:rsidRDefault="00ED1CFC" w:rsidP="00ED1CFC">
            <w:pPr>
              <w:pStyle w:val="Listii"/>
              <w:numPr>
                <w:ilvl w:val="0"/>
                <w:numId w:val="2"/>
              </w:numPr>
              <w:spacing w:after="120"/>
              <w:ind w:left="717" w:hanging="357"/>
              <w:rPr>
                <w:rStyle w:val="Bold"/>
                <w:b w:val="0"/>
              </w:rPr>
            </w:pPr>
            <w:r w:rsidRPr="00ED1CFC">
              <w:rPr>
                <w:rStyle w:val="Bold"/>
                <w:b w:val="0"/>
              </w:rPr>
              <w:t>Left Ventricular Ejection Fraction (LVEF) is strongly recommended at baseline and during treatment if clinically indicated</w:t>
            </w:r>
          </w:p>
          <w:p w:rsidR="00ED1CFC" w:rsidRPr="00ED1CFC" w:rsidRDefault="00ED1CFC" w:rsidP="002817F3">
            <w:pPr>
              <w:pStyle w:val="List2"/>
              <w:rPr>
                <w:sz w:val="20"/>
              </w:rPr>
            </w:pPr>
            <w:r w:rsidRPr="00ED1CFC">
              <w:rPr>
                <w:sz w:val="20"/>
              </w:rPr>
              <w:t xml:space="preserve">No prior TKI or prior </w:t>
            </w:r>
            <w:proofErr w:type="spellStart"/>
            <w:r w:rsidRPr="00ED1CFC">
              <w:rPr>
                <w:sz w:val="20"/>
              </w:rPr>
              <w:t>bevacizumab</w:t>
            </w:r>
            <w:proofErr w:type="spellEnd"/>
            <w:r w:rsidRPr="00ED1CFC">
              <w:rPr>
                <w:sz w:val="20"/>
              </w:rPr>
              <w:t>/</w:t>
            </w:r>
            <w:proofErr w:type="spellStart"/>
            <w:r w:rsidRPr="00ED1CFC">
              <w:rPr>
                <w:sz w:val="20"/>
              </w:rPr>
              <w:t>cetuximab</w:t>
            </w:r>
            <w:proofErr w:type="spellEnd"/>
            <w:r w:rsidRPr="00ED1CFC">
              <w:rPr>
                <w:sz w:val="20"/>
              </w:rPr>
              <w:t>.(as part of induction therapy)</w:t>
            </w:r>
          </w:p>
          <w:p w:rsidR="00ED1CFC" w:rsidRPr="00ED1CFC" w:rsidRDefault="00ED1CFC" w:rsidP="002817F3">
            <w:pPr>
              <w:pStyle w:val="List2"/>
              <w:rPr>
                <w:sz w:val="20"/>
              </w:rPr>
            </w:pPr>
            <w:r w:rsidRPr="00ED1CFC">
              <w:rPr>
                <w:sz w:val="20"/>
              </w:rPr>
              <w:t xml:space="preserve">No Malignancy other than </w:t>
            </w:r>
            <w:proofErr w:type="spellStart"/>
            <w:r w:rsidRPr="00ED1CFC">
              <w:rPr>
                <w:sz w:val="20"/>
              </w:rPr>
              <w:t>Non Small</w:t>
            </w:r>
            <w:proofErr w:type="spellEnd"/>
            <w:r w:rsidRPr="00ED1CFC">
              <w:rPr>
                <w:sz w:val="20"/>
              </w:rPr>
              <w:t xml:space="preserve"> Cell Lung Cancer within past 2 years.</w:t>
            </w:r>
          </w:p>
          <w:p w:rsidR="00ED1CFC" w:rsidRPr="00ED1CFC" w:rsidRDefault="00ED1CFC" w:rsidP="002817F3">
            <w:pPr>
              <w:pStyle w:val="List2"/>
              <w:rPr>
                <w:sz w:val="20"/>
              </w:rPr>
            </w:pPr>
            <w:r w:rsidRPr="00ED1CFC">
              <w:rPr>
                <w:sz w:val="20"/>
              </w:rPr>
              <w:t>No on-going toxicity from prior anti-cancer therapy that is &gt; Grade 1 (except alopecia) and/or that is progressing in severity</w:t>
            </w:r>
          </w:p>
          <w:p w:rsidR="00ED1CFC" w:rsidRPr="00ED1CFC" w:rsidRDefault="00ED1CFC" w:rsidP="002817F3">
            <w:pPr>
              <w:pStyle w:val="List2"/>
              <w:rPr>
                <w:sz w:val="20"/>
              </w:rPr>
            </w:pPr>
            <w:r w:rsidRPr="00ED1CFC">
              <w:rPr>
                <w:sz w:val="20"/>
              </w:rPr>
              <w:t xml:space="preserve">Brain metastases must be controlled and patients must present a PS 0-1 after the 4 to 6 courses of chemotherapy and at least one week off steroids </w:t>
            </w:r>
          </w:p>
          <w:p w:rsidR="00ED1CFC" w:rsidRPr="00ED1CFC" w:rsidRDefault="00ED1CFC" w:rsidP="002817F3">
            <w:pPr>
              <w:pStyle w:val="List2"/>
              <w:rPr>
                <w:sz w:val="20"/>
              </w:rPr>
            </w:pPr>
            <w:r w:rsidRPr="00ED1CFC">
              <w:rPr>
                <w:sz w:val="20"/>
              </w:rPr>
              <w:t>No poorly controlled hypertension defined at baseline as blood pressure (BP) &gt;140/90</w:t>
            </w:r>
          </w:p>
          <w:p w:rsidR="00ED1CFC" w:rsidRPr="00ED1CFC" w:rsidRDefault="00ED1CFC" w:rsidP="00ED1CFC">
            <w:pPr>
              <w:pStyle w:val="Listii"/>
              <w:numPr>
                <w:ilvl w:val="0"/>
                <w:numId w:val="2"/>
              </w:numPr>
              <w:spacing w:after="120"/>
              <w:ind w:left="717" w:hanging="357"/>
              <w:rPr>
                <w:rStyle w:val="Bold"/>
                <w:b w:val="0"/>
              </w:rPr>
            </w:pPr>
            <w:r w:rsidRPr="00275FFD">
              <w:t>Note: Initiation or adjustment of antihypertensive medication(s) is permitted prior to study entry. B</w:t>
            </w:r>
            <w:r>
              <w:t>efore study entry all patients must have their b</w:t>
            </w:r>
            <w:r w:rsidRPr="00275FFD">
              <w:t xml:space="preserve">lood pressure assessed </w:t>
            </w:r>
            <w:r w:rsidRPr="005F693F">
              <w:t xml:space="preserve">on two occasions that are separated by a minimum of 1 hour. </w:t>
            </w:r>
            <w:r w:rsidRPr="00ED1CFC">
              <w:rPr>
                <w:rStyle w:val="Bold"/>
                <w:b w:val="0"/>
              </w:rPr>
              <w:t xml:space="preserve">The mean SBP / DBP values from each blood pressure assessment must be ≤ 140/90 mmHg in order for a patient to be eligible for the study. </w:t>
            </w:r>
          </w:p>
          <w:p w:rsidR="00ED1CFC" w:rsidRPr="00ED1CFC" w:rsidRDefault="00ED1CFC" w:rsidP="002817F3">
            <w:pPr>
              <w:pStyle w:val="List2"/>
              <w:rPr>
                <w:sz w:val="20"/>
              </w:rPr>
            </w:pPr>
            <w:r w:rsidRPr="00ED1CFC">
              <w:rPr>
                <w:sz w:val="20"/>
              </w:rPr>
              <w:t xml:space="preserve">No cerebrovascular accident at any time in the past, transient ischemic attack, deep venous thrombosis (DVT) or pulmonary embolism in the past 6 months </w:t>
            </w:r>
          </w:p>
          <w:p w:rsidR="00ED1CFC" w:rsidRPr="003406E4" w:rsidRDefault="00ED1CFC" w:rsidP="00ED1CFC">
            <w:pPr>
              <w:pStyle w:val="Listii"/>
              <w:numPr>
                <w:ilvl w:val="0"/>
                <w:numId w:val="2"/>
              </w:numPr>
              <w:spacing w:after="120"/>
              <w:ind w:left="717" w:hanging="357"/>
            </w:pPr>
            <w:r w:rsidRPr="00275FFD">
              <w:t>Note: Patients with rece</w:t>
            </w:r>
            <w:r w:rsidRPr="003406E4">
              <w:t>nt DVT who have been treated with therapeutic anti-coagulating agents and remained stable for at least 6 weeks are eligible.</w:t>
            </w:r>
          </w:p>
          <w:p w:rsidR="00ED1CFC" w:rsidRPr="00ED1CFC" w:rsidRDefault="00ED1CFC" w:rsidP="002817F3">
            <w:pPr>
              <w:pStyle w:val="List2"/>
              <w:rPr>
                <w:sz w:val="20"/>
              </w:rPr>
            </w:pPr>
            <w:r w:rsidRPr="00ED1CFC">
              <w:rPr>
                <w:sz w:val="20"/>
              </w:rPr>
              <w:t>No history of clinically significant gastrointestinal disorders including: malabsorption syndrome, major resection of the stomach or small bowel that could affect the absorption of study drug, active peptic ulcer disease, known intraluminal metastatic lesion/s with risk of bleeding, inflammatory bowel disease, ulcerative colitis, or other gastrointestinal conditions with increased risk of perforation. No history of abdominal fistula, gastrointestinal perforation, or intra</w:t>
            </w:r>
            <w:r w:rsidRPr="00ED1CFC">
              <w:rPr>
                <w:sz w:val="20"/>
              </w:rPr>
              <w:noBreakHyphen/>
              <w:t>abdominal abscess within 28 days prior to beginning study treatment.</w:t>
            </w:r>
          </w:p>
          <w:p w:rsidR="00ED1CFC" w:rsidRPr="00986893" w:rsidRDefault="00ED1CFC" w:rsidP="002817F3"/>
          <w:p w:rsidR="00ED1CFC" w:rsidRPr="00ED1CFC" w:rsidRDefault="00ED1CFC" w:rsidP="002817F3">
            <w:pPr>
              <w:pStyle w:val="List2"/>
              <w:rPr>
                <w:sz w:val="20"/>
              </w:rPr>
            </w:pPr>
            <w:r w:rsidRPr="00ED1CFC">
              <w:rPr>
                <w:sz w:val="20"/>
              </w:rPr>
              <w:t xml:space="preserve">No </w:t>
            </w:r>
            <w:proofErr w:type="spellStart"/>
            <w:r w:rsidRPr="00ED1CFC">
              <w:rPr>
                <w:sz w:val="20"/>
              </w:rPr>
              <w:t>endobronchial</w:t>
            </w:r>
            <w:proofErr w:type="spellEnd"/>
            <w:r w:rsidRPr="00ED1CFC">
              <w:rPr>
                <w:sz w:val="20"/>
              </w:rPr>
              <w:t xml:space="preserve"> lesions and/or lesions infiltrating major pulmonary vessels.</w:t>
            </w:r>
          </w:p>
          <w:p w:rsidR="00ED1CFC" w:rsidRPr="003406E4" w:rsidRDefault="00ED1CFC" w:rsidP="00ED1CFC">
            <w:pPr>
              <w:pStyle w:val="Listii"/>
              <w:numPr>
                <w:ilvl w:val="0"/>
                <w:numId w:val="2"/>
              </w:numPr>
              <w:spacing w:after="120"/>
              <w:ind w:left="717" w:hanging="357"/>
            </w:pPr>
            <w:r>
              <w:t xml:space="preserve">Note: </w:t>
            </w:r>
            <w:r w:rsidRPr="003406E4">
              <w:t xml:space="preserve">Known </w:t>
            </w:r>
            <w:proofErr w:type="spellStart"/>
            <w:r w:rsidRPr="003406E4">
              <w:t>endobronchial</w:t>
            </w:r>
            <w:proofErr w:type="spellEnd"/>
            <w:r w:rsidRPr="003406E4">
              <w:t xml:space="preserve"> lesions and/or lesions infiltrating major pulmonary vessels that increase the risk of pulmonary </w:t>
            </w:r>
            <w:proofErr w:type="spellStart"/>
            <w:r w:rsidRPr="003406E4">
              <w:t>haemorrhage</w:t>
            </w:r>
            <w:proofErr w:type="spellEnd"/>
            <w:r w:rsidRPr="003406E4">
              <w:t>, for example:</w:t>
            </w:r>
          </w:p>
          <w:p w:rsidR="00ED1CFC" w:rsidRPr="007535DD" w:rsidRDefault="00ED1CFC" w:rsidP="00ED1CFC">
            <w:pPr>
              <w:pStyle w:val="Listii"/>
              <w:numPr>
                <w:ilvl w:val="0"/>
                <w:numId w:val="2"/>
              </w:numPr>
              <w:spacing w:after="120"/>
              <w:ind w:left="717" w:hanging="357"/>
            </w:pPr>
            <w:r w:rsidRPr="007535DD">
              <w:t xml:space="preserve">Large protruding </w:t>
            </w:r>
            <w:proofErr w:type="spellStart"/>
            <w:r w:rsidRPr="007535DD">
              <w:t>endobronchial</w:t>
            </w:r>
            <w:proofErr w:type="spellEnd"/>
            <w:r w:rsidRPr="007535DD">
              <w:t xml:space="preserve"> lesions in the main or lobar bronchi are excluded; however, </w:t>
            </w:r>
            <w:proofErr w:type="spellStart"/>
            <w:r w:rsidRPr="007535DD">
              <w:t>endobronchial</w:t>
            </w:r>
            <w:proofErr w:type="spellEnd"/>
            <w:r w:rsidRPr="007535DD">
              <w:t xml:space="preserve"> lesions in the segmented bronchi are allowed </w:t>
            </w:r>
          </w:p>
          <w:p w:rsidR="00ED1CFC" w:rsidRPr="007535DD" w:rsidRDefault="00ED1CFC" w:rsidP="00ED1CFC">
            <w:pPr>
              <w:pStyle w:val="Listii"/>
              <w:numPr>
                <w:ilvl w:val="0"/>
                <w:numId w:val="2"/>
              </w:numPr>
              <w:spacing w:after="120"/>
              <w:ind w:left="717" w:hanging="357"/>
            </w:pPr>
            <w:r w:rsidRPr="007535DD">
              <w:t>Lesions extensively infiltrating the main or lobar bronchi are excluded; however, minor infiltrations in the wall of the bronchi are allowed</w:t>
            </w:r>
          </w:p>
          <w:p w:rsidR="00ED1CFC" w:rsidRPr="00ED1CFC" w:rsidRDefault="00ED1CFC" w:rsidP="002817F3">
            <w:pPr>
              <w:pStyle w:val="List2"/>
              <w:rPr>
                <w:sz w:val="20"/>
              </w:rPr>
            </w:pPr>
            <w:r w:rsidRPr="00ED1CFC">
              <w:rPr>
                <w:sz w:val="20"/>
              </w:rPr>
              <w:t>Lesions infiltrating major pulmonary vessels (contiguous tumor and vessels) are excluded; however, tumor touching but not infiltrating (abutting) the vessels is acceptable (CT with contrast is strongly recommended to evaluate such lesions</w:t>
            </w:r>
          </w:p>
          <w:p w:rsidR="00ED1CFC" w:rsidRPr="00ED1CFC" w:rsidRDefault="00ED1CFC" w:rsidP="002817F3">
            <w:pPr>
              <w:pStyle w:val="List2"/>
              <w:rPr>
                <w:sz w:val="20"/>
              </w:rPr>
            </w:pPr>
            <w:r w:rsidRPr="00ED1CFC">
              <w:rPr>
                <w:sz w:val="20"/>
              </w:rPr>
              <w:t xml:space="preserve">No evidence of active bleeding or bleeding diathesis. </w:t>
            </w:r>
          </w:p>
          <w:p w:rsidR="00ED1CFC" w:rsidRPr="00ED1CFC" w:rsidRDefault="00ED1CFC" w:rsidP="002817F3">
            <w:pPr>
              <w:pStyle w:val="List2"/>
              <w:rPr>
                <w:sz w:val="20"/>
              </w:rPr>
            </w:pPr>
            <w:r w:rsidRPr="00ED1CFC">
              <w:rPr>
                <w:sz w:val="20"/>
              </w:rPr>
              <w:t>No hemoptysis within 6 weeks prior to first dose of study drug.</w:t>
            </w:r>
          </w:p>
          <w:p w:rsidR="00ED1CFC" w:rsidRPr="00ED1CFC" w:rsidRDefault="00ED1CFC" w:rsidP="00ED1CFC">
            <w:pPr>
              <w:pStyle w:val="Listii"/>
              <w:numPr>
                <w:ilvl w:val="0"/>
                <w:numId w:val="2"/>
              </w:numPr>
              <w:spacing w:after="120"/>
              <w:ind w:left="717" w:hanging="357"/>
              <w:rPr>
                <w:rStyle w:val="Bold"/>
                <w:b w:val="0"/>
              </w:rPr>
            </w:pPr>
            <w:r w:rsidRPr="00275FFD">
              <w:t xml:space="preserve">Note: </w:t>
            </w:r>
            <w:r w:rsidRPr="00ED1CFC">
              <w:rPr>
                <w:rStyle w:val="Bold"/>
                <w:b w:val="0"/>
              </w:rPr>
              <w:t xml:space="preserve">Any patient with a prior history of </w:t>
            </w:r>
            <w:proofErr w:type="spellStart"/>
            <w:r w:rsidRPr="00ED1CFC">
              <w:rPr>
                <w:rStyle w:val="Bold"/>
                <w:b w:val="0"/>
              </w:rPr>
              <w:t>haemoptysis</w:t>
            </w:r>
            <w:proofErr w:type="spellEnd"/>
            <w:r w:rsidRPr="00ED1CFC">
              <w:rPr>
                <w:rStyle w:val="Bold"/>
                <w:b w:val="0"/>
              </w:rPr>
              <w:t xml:space="preserve"> associated with metastatic disease must have a bronchoscopy to rule out </w:t>
            </w:r>
            <w:proofErr w:type="spellStart"/>
            <w:r w:rsidRPr="00ED1CFC">
              <w:rPr>
                <w:rStyle w:val="Bold"/>
                <w:b w:val="0"/>
              </w:rPr>
              <w:t>endobronchial</w:t>
            </w:r>
            <w:proofErr w:type="spellEnd"/>
            <w:r w:rsidRPr="00ED1CFC">
              <w:rPr>
                <w:rStyle w:val="Bold"/>
                <w:b w:val="0"/>
              </w:rPr>
              <w:t xml:space="preserve"> lesions. A patient with an </w:t>
            </w:r>
            <w:proofErr w:type="spellStart"/>
            <w:r w:rsidRPr="00ED1CFC">
              <w:rPr>
                <w:rStyle w:val="Bold"/>
                <w:b w:val="0"/>
              </w:rPr>
              <w:t>endobronchial</w:t>
            </w:r>
            <w:proofErr w:type="spellEnd"/>
            <w:r w:rsidRPr="00ED1CFC">
              <w:rPr>
                <w:rStyle w:val="Bold"/>
                <w:b w:val="0"/>
              </w:rPr>
              <w:t xml:space="preserve"> lesion would be excluded from study as described above</w:t>
            </w:r>
          </w:p>
          <w:p w:rsidR="00ED1CFC" w:rsidRPr="00ED1CFC" w:rsidRDefault="00ED1CFC" w:rsidP="002817F3">
            <w:pPr>
              <w:pStyle w:val="List2"/>
              <w:rPr>
                <w:sz w:val="20"/>
              </w:rPr>
            </w:pPr>
            <w:r w:rsidRPr="00ED1CFC">
              <w:rPr>
                <w:sz w:val="20"/>
              </w:rPr>
              <w:t xml:space="preserve">No prior major surgery or trauma within 28 days prior to first dose of study drug </w:t>
            </w:r>
            <w:r w:rsidRPr="00ED1CFC">
              <w:rPr>
                <w:sz w:val="20"/>
              </w:rPr>
              <w:lastRenderedPageBreak/>
              <w:t>and/or presence of any non-healing wound, fracture, or ulcer.</w:t>
            </w:r>
          </w:p>
          <w:p w:rsidR="00ED1CFC" w:rsidRPr="00ED1CFC" w:rsidRDefault="00ED1CFC" w:rsidP="002817F3">
            <w:pPr>
              <w:pStyle w:val="List2"/>
              <w:rPr>
                <w:sz w:val="20"/>
              </w:rPr>
            </w:pPr>
            <w:r w:rsidRPr="00ED1CFC">
              <w:rPr>
                <w:sz w:val="20"/>
              </w:rPr>
              <w:t xml:space="preserve">No </w:t>
            </w:r>
            <w:proofErr w:type="spellStart"/>
            <w:r w:rsidRPr="00ED1CFC">
              <w:rPr>
                <w:sz w:val="20"/>
              </w:rPr>
              <w:t>amiodarone</w:t>
            </w:r>
            <w:proofErr w:type="spellEnd"/>
            <w:r w:rsidRPr="00ED1CFC">
              <w:rPr>
                <w:sz w:val="20"/>
              </w:rPr>
              <w:t xml:space="preserve"> within 6 months prior to first dose of study drug.</w:t>
            </w:r>
          </w:p>
          <w:p w:rsidR="00ED1CFC" w:rsidRPr="00ED1CFC" w:rsidRDefault="00ED1CFC" w:rsidP="002817F3">
            <w:pPr>
              <w:pStyle w:val="List2"/>
              <w:rPr>
                <w:sz w:val="20"/>
              </w:rPr>
            </w:pPr>
            <w:r w:rsidRPr="00ED1CFC">
              <w:rPr>
                <w:sz w:val="20"/>
              </w:rPr>
              <w:t xml:space="preserve">No known immediate or delayed hypersensitivity reaction or idiosyncrasy to drugs chemically related to </w:t>
            </w:r>
            <w:proofErr w:type="spellStart"/>
            <w:r w:rsidRPr="00ED1CFC">
              <w:rPr>
                <w:sz w:val="20"/>
              </w:rPr>
              <w:t>pazopanib</w:t>
            </w:r>
            <w:proofErr w:type="spellEnd"/>
          </w:p>
          <w:p w:rsidR="00ED1CFC" w:rsidRPr="00ED1CFC" w:rsidRDefault="00ED1CFC" w:rsidP="002817F3">
            <w:pPr>
              <w:pStyle w:val="List2"/>
              <w:rPr>
                <w:sz w:val="20"/>
              </w:rPr>
            </w:pPr>
            <w:r w:rsidRPr="00ED1CFC">
              <w:rPr>
                <w:sz w:val="20"/>
              </w:rPr>
              <w:t>Absence of any psychological, familial, sociological or geographical condition potentially hampering compliance with the study protocol and follow-up schedule; those conditions should be discussed with the patient before registration in the trial</w:t>
            </w:r>
          </w:p>
          <w:p w:rsidR="00ED1CFC" w:rsidRPr="00ED1CFC" w:rsidRDefault="00ED1CFC" w:rsidP="002817F3">
            <w:pPr>
              <w:pStyle w:val="List2"/>
              <w:rPr>
                <w:sz w:val="20"/>
              </w:rPr>
            </w:pPr>
            <w:r w:rsidRPr="00ED1CFC">
              <w:rPr>
                <w:sz w:val="20"/>
              </w:rPr>
              <w:t>Before patient randomization, written informed consent must be given according to ICH/GCP, and national/local regulations.</w:t>
            </w:r>
          </w:p>
          <w:p w:rsidR="00ED1CFC" w:rsidRPr="00ED1CFC" w:rsidRDefault="00ED1CFC" w:rsidP="002817F3">
            <w:pPr>
              <w:pStyle w:val="List2"/>
              <w:rPr>
                <w:sz w:val="20"/>
              </w:rPr>
            </w:pPr>
            <w:r w:rsidRPr="00ED1CFC">
              <w:rPr>
                <w:sz w:val="20"/>
              </w:rPr>
              <w:t>Patients can only be randomized in this trial once.</w:t>
            </w:r>
          </w:p>
          <w:p w:rsidR="00ED1CFC" w:rsidRPr="00ED1CFC" w:rsidRDefault="00ED1CFC" w:rsidP="002817F3">
            <w:pPr>
              <w:pStyle w:val="List2"/>
              <w:rPr>
                <w:sz w:val="20"/>
              </w:rPr>
            </w:pPr>
            <w:r w:rsidRPr="00ED1CFC">
              <w:rPr>
                <w:sz w:val="20"/>
              </w:rPr>
              <w:t>All indicated timelines and absolute values requested by the eligibility criteria must be adhered to.</w:t>
            </w:r>
          </w:p>
          <w:p w:rsidR="00ED1CFC" w:rsidRPr="00ED1CFC" w:rsidRDefault="00ED1CFC" w:rsidP="002817F3">
            <w:pPr>
              <w:rPr>
                <w:rStyle w:val="Bold"/>
                <w:b w:val="0"/>
              </w:rPr>
            </w:pPr>
            <w:r w:rsidRPr="00ED1CFC">
              <w:rPr>
                <w:rStyle w:val="Bold"/>
                <w:b w:val="0"/>
              </w:rPr>
              <w:t>Contraception</w:t>
            </w:r>
          </w:p>
          <w:p w:rsidR="00ED1CFC" w:rsidRPr="00ED1CFC" w:rsidRDefault="00ED1CFC" w:rsidP="002817F3">
            <w:pPr>
              <w:pStyle w:val="List2"/>
              <w:rPr>
                <w:sz w:val="20"/>
              </w:rPr>
            </w:pPr>
            <w:r w:rsidRPr="00ED1CFC">
              <w:rPr>
                <w:sz w:val="20"/>
              </w:rPr>
              <w:t>A female is eligible to enter and participate in this study if she is of:</w:t>
            </w:r>
          </w:p>
          <w:p w:rsidR="00ED1CFC" w:rsidRPr="00ED1CFC" w:rsidRDefault="00ED1CFC" w:rsidP="002817F3">
            <w:pPr>
              <w:pStyle w:val="List2"/>
              <w:rPr>
                <w:sz w:val="20"/>
              </w:rPr>
            </w:pPr>
            <w:r w:rsidRPr="00ED1CFC">
              <w:rPr>
                <w:sz w:val="20"/>
              </w:rPr>
              <w:t>Non-childbearing potential (i.e., physiologically incapable of becoming pregnant), including any female who has had: a hysterectomy, a bilateral oophorectomy (</w:t>
            </w:r>
            <w:proofErr w:type="spellStart"/>
            <w:r w:rsidRPr="00ED1CFC">
              <w:rPr>
                <w:sz w:val="20"/>
              </w:rPr>
              <w:t>ovariectomy</w:t>
            </w:r>
            <w:proofErr w:type="spellEnd"/>
            <w:r w:rsidRPr="00ED1CFC">
              <w:rPr>
                <w:sz w:val="20"/>
              </w:rPr>
              <w:t>), a bilateral tubal ligation, is post-menopausal.</w:t>
            </w:r>
          </w:p>
          <w:p w:rsidR="00ED1CFC" w:rsidRPr="003406E4" w:rsidRDefault="00ED1CFC" w:rsidP="00ED1CFC">
            <w:pPr>
              <w:pStyle w:val="Listii"/>
              <w:numPr>
                <w:ilvl w:val="0"/>
                <w:numId w:val="2"/>
              </w:numPr>
              <w:spacing w:after="120"/>
              <w:ind w:left="717" w:hanging="357"/>
            </w:pPr>
            <w:r w:rsidRPr="00BB778A">
              <w:t>Patients not using hormone replacement therapy (HRT) must have experienced total cessation o</w:t>
            </w:r>
            <w:r w:rsidRPr="003406E4">
              <w:t xml:space="preserve">f menses for ≥ 1 year and be greater than 45 years in age, OR, in questionable cases, have a follicle stimulating hormone (FSH) value &gt;40 </w:t>
            </w:r>
            <w:proofErr w:type="spellStart"/>
            <w:r w:rsidRPr="003406E4">
              <w:t>mIU</w:t>
            </w:r>
            <w:proofErr w:type="spellEnd"/>
            <w:r w:rsidRPr="003406E4">
              <w:t xml:space="preserve">/mL and an estradiol value &lt; 40pg/mL (&lt;140 </w:t>
            </w:r>
            <w:proofErr w:type="spellStart"/>
            <w:r w:rsidRPr="003406E4">
              <w:t>pmol</w:t>
            </w:r>
            <w:proofErr w:type="spellEnd"/>
            <w:r w:rsidRPr="003406E4">
              <w:t xml:space="preserve">/L). </w:t>
            </w:r>
          </w:p>
          <w:p w:rsidR="00ED1CFC" w:rsidRPr="00BB778A" w:rsidRDefault="00ED1CFC" w:rsidP="00ED1CFC">
            <w:pPr>
              <w:pStyle w:val="Listii"/>
              <w:numPr>
                <w:ilvl w:val="0"/>
                <w:numId w:val="2"/>
              </w:numPr>
              <w:spacing w:after="120"/>
              <w:ind w:left="717" w:hanging="357"/>
            </w:pPr>
            <w:r w:rsidRPr="00BB778A">
              <w:t>Patients using HRT must have experienced total cessation of menses for ≥ 1 year and be greater than 45 years of age OR have had documented evidence of menopause based on FSH and estradiol concentrations prior to initiation of HRT.</w:t>
            </w:r>
          </w:p>
          <w:p w:rsidR="00ED1CFC" w:rsidRPr="00ED1CFC" w:rsidRDefault="00ED1CFC" w:rsidP="002817F3">
            <w:pPr>
              <w:pStyle w:val="List2"/>
              <w:rPr>
                <w:sz w:val="20"/>
              </w:rPr>
            </w:pPr>
            <w:r w:rsidRPr="00ED1CFC">
              <w:rPr>
                <w:sz w:val="20"/>
              </w:rPr>
              <w:t>Childbearing potential, including any female who has had a negative serum pregnancy test within 2 weeks prior to the first dose of study treatment, preferably as close to the first dose as possible, and agrees to use adequate contraception. Acceptable contraceptive methods, when used consistently and in accordance with both the product label and the instructions of the physician, are as follow:</w:t>
            </w:r>
          </w:p>
          <w:p w:rsidR="00ED1CFC" w:rsidRPr="003406E4" w:rsidRDefault="00ED1CFC" w:rsidP="00ED1CFC">
            <w:pPr>
              <w:pStyle w:val="Listii"/>
              <w:numPr>
                <w:ilvl w:val="0"/>
                <w:numId w:val="2"/>
              </w:numPr>
              <w:spacing w:after="120"/>
              <w:ind w:left="717" w:hanging="357"/>
            </w:pPr>
            <w:r w:rsidRPr="00275FFD">
              <w:t xml:space="preserve">An intrauterine </w:t>
            </w:r>
            <w:r w:rsidRPr="003406E4">
              <w:t>device with a documented failure rate of less than 1% per year</w:t>
            </w:r>
            <w:r>
              <w:t>.</w:t>
            </w:r>
          </w:p>
          <w:p w:rsidR="00ED1CFC" w:rsidRPr="003406E4" w:rsidRDefault="00ED1CFC" w:rsidP="00ED1CFC">
            <w:pPr>
              <w:pStyle w:val="Listii"/>
              <w:numPr>
                <w:ilvl w:val="0"/>
                <w:numId w:val="2"/>
              </w:numPr>
              <w:spacing w:after="120"/>
              <w:ind w:left="717" w:hanging="357"/>
            </w:pPr>
            <w:r w:rsidRPr="00275FFD">
              <w:t>Vasectomized</w:t>
            </w:r>
            <w:r w:rsidRPr="003406E4">
              <w:t xml:space="preserve"> partner who is sterile prior to the female patient’s entry and is the sole sexual partner for that female.</w:t>
            </w:r>
          </w:p>
          <w:p w:rsidR="00ED1CFC" w:rsidRPr="00275FFD" w:rsidRDefault="00ED1CFC" w:rsidP="00ED1CFC">
            <w:pPr>
              <w:pStyle w:val="Listii"/>
              <w:numPr>
                <w:ilvl w:val="0"/>
                <w:numId w:val="2"/>
              </w:numPr>
              <w:spacing w:after="120"/>
              <w:ind w:left="717" w:hanging="357"/>
            </w:pPr>
            <w:r w:rsidRPr="00275FFD">
              <w:t>Double-barrier contraception (condom with spermicidal jelly, foam suppository, or film; diaphragm with spermicide; or male condom and diaphragm with spermicide).</w:t>
            </w:r>
          </w:p>
          <w:p w:rsidR="00ED1CFC" w:rsidRPr="00ED1CFC" w:rsidRDefault="00ED1CFC" w:rsidP="002817F3">
            <w:pPr>
              <w:pStyle w:val="List2"/>
              <w:rPr>
                <w:sz w:val="20"/>
              </w:rPr>
            </w:pPr>
            <w:r w:rsidRPr="00ED1CFC">
              <w:rPr>
                <w:sz w:val="20"/>
              </w:rPr>
              <w:t>Female patients who are lactating should discontinue nursing prior to the first dose of study drug and should refrain from nursing throughout the treatment period and for 14 days following the last dose of study drug).</w:t>
            </w:r>
          </w:p>
          <w:p w:rsidR="00ED1CFC" w:rsidRPr="00ED1CFC" w:rsidRDefault="00ED1CFC" w:rsidP="002817F3">
            <w:pPr>
              <w:pStyle w:val="List2"/>
              <w:rPr>
                <w:rStyle w:val="Guidelines0"/>
                <w:i w:val="0"/>
                <w:color w:val="auto"/>
                <w:sz w:val="20"/>
              </w:rPr>
            </w:pPr>
            <w:r w:rsidRPr="00ED1CFC">
              <w:rPr>
                <w:sz w:val="20"/>
              </w:rPr>
              <w:t>Contraception period for both men and women: from two weeks prior to administration of the study treatment, throughout the study, and for at least one month after completion or premature discontinuation from the study to account for elimination of the study drugs.</w:t>
            </w:r>
          </w:p>
        </w:tc>
      </w:tr>
      <w:tr w:rsidR="00ED1CFC" w:rsidRPr="00A6334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ED1CFC" w:rsidRPr="00ED1CFC" w:rsidRDefault="00ED1CFC" w:rsidP="002817F3">
            <w:pPr>
              <w:rPr>
                <w:rStyle w:val="Bold"/>
                <w:sz w:val="22"/>
                <w:szCs w:val="22"/>
              </w:rPr>
            </w:pPr>
            <w:r w:rsidRPr="00ED1CFC">
              <w:rPr>
                <w:rStyle w:val="Bold"/>
                <w:sz w:val="22"/>
                <w:szCs w:val="22"/>
              </w:rPr>
              <w:lastRenderedPageBreak/>
              <w:t>Treatment</w:t>
            </w:r>
          </w:p>
          <w:p w:rsidR="00ED1CFC" w:rsidRPr="00ED1CFC" w:rsidRDefault="00ED1CFC" w:rsidP="002817F3">
            <w:pPr>
              <w:rPr>
                <w:b/>
                <w:sz w:val="22"/>
                <w:szCs w:val="22"/>
              </w:rPr>
            </w:pPr>
            <w:r w:rsidRPr="00ED1CFC">
              <w:rPr>
                <w:b/>
                <w:sz w:val="22"/>
                <w:szCs w:val="22"/>
              </w:rPr>
              <w:t>Test product, dose and mode of administration</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ED1CFC" w:rsidRPr="00A63347" w:rsidRDefault="00ED1CFC" w:rsidP="002817F3"/>
          <w:p w:rsidR="00ED1CFC" w:rsidRPr="00A162BC" w:rsidRDefault="00ED1CFC" w:rsidP="002817F3">
            <w:pPr>
              <w:rPr>
                <w:rStyle w:val="Bold"/>
              </w:rPr>
            </w:pPr>
            <w:r w:rsidRPr="00A162BC">
              <w:rPr>
                <w:rStyle w:val="Bold"/>
              </w:rPr>
              <w:t>Three weeks (+ 7 days) will be the maximum time allowed from the documentation of non-progression to start maintenance therapy</w:t>
            </w:r>
          </w:p>
          <w:p w:rsidR="00ED1CFC" w:rsidRPr="00A63347" w:rsidRDefault="00ED1CFC" w:rsidP="002817F3">
            <w:r w:rsidRPr="00A63347">
              <w:t>Patients will receive in a double-blind fashion, the following maintenance treatment:</w:t>
            </w:r>
          </w:p>
          <w:p w:rsidR="00ED1CFC" w:rsidRPr="00A63347" w:rsidRDefault="00ED1CFC" w:rsidP="002817F3">
            <w:proofErr w:type="spellStart"/>
            <w:r w:rsidRPr="00A63347">
              <w:t>Pazopanib</w:t>
            </w:r>
            <w:proofErr w:type="spellEnd"/>
            <w:r w:rsidRPr="00A63347">
              <w:t xml:space="preserve"> or </w:t>
            </w:r>
            <w:r w:rsidRPr="00ED1CFC">
              <w:rPr>
                <w:rStyle w:val="Bold"/>
                <w:b w:val="0"/>
              </w:rPr>
              <w:t>placebo</w:t>
            </w:r>
            <w:r w:rsidRPr="00A63347">
              <w:t xml:space="preserve"> given at a dose of 600 mg daily for the first two weeks and then at a daily dose of 800</w:t>
            </w:r>
            <w:r>
              <w:t xml:space="preserve"> </w:t>
            </w:r>
            <w:r w:rsidRPr="00A63347">
              <w:t>mg if well tolerated</w:t>
            </w:r>
            <w:r>
              <w:t xml:space="preserve"> or at 400 mg if toxicity occurred (see section </w:t>
            </w:r>
            <w:r>
              <w:fldChar w:fldCharType="begin"/>
            </w:r>
            <w:r>
              <w:instrText xml:space="preserve"> REF _Ref318289374 \r \h </w:instrText>
            </w:r>
            <w:r>
              <w:fldChar w:fldCharType="separate"/>
            </w:r>
            <w:r>
              <w:t>5.8</w:t>
            </w:r>
            <w:r>
              <w:fldChar w:fldCharType="end"/>
            </w:r>
            <w:r>
              <w:t xml:space="preserve"> on dose modifications)</w:t>
            </w:r>
            <w:r w:rsidRPr="00A63347">
              <w:t>.</w:t>
            </w:r>
          </w:p>
        </w:tc>
      </w:tr>
      <w:tr w:rsidR="00ED1CFC" w:rsidRPr="00A6334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ED1CFC" w:rsidRPr="00ED1CFC" w:rsidRDefault="00ED1CFC" w:rsidP="002817F3">
            <w:pPr>
              <w:rPr>
                <w:b/>
                <w:sz w:val="22"/>
                <w:szCs w:val="22"/>
              </w:rPr>
            </w:pPr>
            <w:r w:rsidRPr="00ED1CFC">
              <w:rPr>
                <w:b/>
                <w:sz w:val="22"/>
                <w:szCs w:val="22"/>
              </w:rPr>
              <w:t>Duration of treatment</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ED1CFC" w:rsidRPr="00A63347" w:rsidRDefault="00ED1CFC" w:rsidP="002817F3">
            <w:proofErr w:type="spellStart"/>
            <w:r w:rsidRPr="00A63347">
              <w:t>Pazopanib</w:t>
            </w:r>
            <w:proofErr w:type="spellEnd"/>
            <w:r w:rsidRPr="00A63347">
              <w:t xml:space="preserve"> or placebo will be given orally daily until disease progression</w:t>
            </w:r>
          </w:p>
        </w:tc>
      </w:tr>
      <w:tr w:rsidR="0009751F" w:rsidRPr="007279BC"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09751F" w:rsidRDefault="0009751F" w:rsidP="0009751F">
            <w:pPr>
              <w:rPr>
                <w:b/>
                <w:sz w:val="22"/>
                <w:szCs w:val="22"/>
              </w:rPr>
            </w:pPr>
            <w:r w:rsidRPr="0009751F">
              <w:rPr>
                <w:b/>
                <w:sz w:val="22"/>
                <w:szCs w:val="22"/>
              </w:rPr>
              <w:t xml:space="preserve">Reference therapy, </w:t>
            </w:r>
            <w:r w:rsidRPr="0009751F">
              <w:rPr>
                <w:b/>
                <w:sz w:val="22"/>
                <w:szCs w:val="22"/>
              </w:rPr>
              <w:lastRenderedPageBreak/>
              <w:t>dose and mode of administration</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Pr="0009751F" w:rsidRDefault="0009751F" w:rsidP="0009751F">
            <w:pPr>
              <w:rPr>
                <w:rStyle w:val="Guidelines0"/>
                <w:i w:val="0"/>
                <w:color w:val="auto"/>
              </w:rPr>
            </w:pPr>
            <w:r w:rsidRPr="005F0053">
              <w:lastRenderedPageBreak/>
              <w:t>Not applicable</w:t>
            </w:r>
          </w:p>
        </w:tc>
      </w:tr>
      <w:tr w:rsidR="0009751F"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09751F" w:rsidRDefault="0009751F" w:rsidP="0009751F">
            <w:pPr>
              <w:rPr>
                <w:rStyle w:val="Bold"/>
                <w:sz w:val="22"/>
                <w:szCs w:val="22"/>
              </w:rPr>
            </w:pPr>
            <w:r w:rsidRPr="0009751F">
              <w:rPr>
                <w:rStyle w:val="Bold"/>
                <w:sz w:val="22"/>
                <w:szCs w:val="22"/>
              </w:rPr>
              <w:lastRenderedPageBreak/>
              <w:t>Criteria for evaluation</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Default="0009751F" w:rsidP="0009751F">
            <w:r w:rsidRPr="0009751F">
              <w:rPr>
                <w:rStyle w:val="Bold"/>
                <w:b w:val="0"/>
              </w:rPr>
              <w:t>The primary endpoint</w:t>
            </w:r>
            <w:r w:rsidRPr="00CD1BCD">
              <w:t xml:space="preserve"> </w:t>
            </w:r>
            <w:r>
              <w:t>is</w:t>
            </w:r>
            <w:r w:rsidRPr="00CD1BCD">
              <w:t xml:space="preserve"> to compare overall survival</w:t>
            </w:r>
            <w:r>
              <w:t xml:space="preserve"> (OS)</w:t>
            </w:r>
            <w:r w:rsidRPr="00CD1BCD">
              <w:t xml:space="preserve"> in patients randomized to maintenance </w:t>
            </w:r>
            <w:proofErr w:type="spellStart"/>
            <w:r w:rsidRPr="00CD1BCD">
              <w:t>pazopanib</w:t>
            </w:r>
            <w:proofErr w:type="spellEnd"/>
            <w:r w:rsidRPr="00CD1BCD">
              <w:t xml:space="preserve"> versus placebo.</w:t>
            </w:r>
            <w:r>
              <w:t xml:space="preserve"> </w:t>
            </w:r>
          </w:p>
          <w:p w:rsidR="0009751F" w:rsidRPr="00A63347" w:rsidRDefault="0009751F" w:rsidP="0009751F">
            <w:r w:rsidRPr="0009751F">
              <w:rPr>
                <w:rStyle w:val="Bold"/>
                <w:b w:val="0"/>
              </w:rPr>
              <w:t>Secondary endpoints</w:t>
            </w:r>
          </w:p>
          <w:p w:rsidR="0009751F" w:rsidRDefault="0009751F" w:rsidP="0009751F">
            <w:r w:rsidRPr="004E002D">
              <w:t xml:space="preserve">1. </w:t>
            </w:r>
            <w:r>
              <w:t>To compare p</w:t>
            </w:r>
            <w:r w:rsidRPr="004E002D">
              <w:t>rogression free survival (</w:t>
            </w:r>
            <w:r w:rsidRPr="00483F27">
              <w:t>PFS</w:t>
            </w:r>
            <w:r w:rsidRPr="004E002D">
              <w:t xml:space="preserve">), </w:t>
            </w:r>
            <w:r>
              <w:t>in addition PFS rate at 6 and 12 months will be estimated</w:t>
            </w:r>
          </w:p>
          <w:p w:rsidR="0009751F" w:rsidRPr="004E002D" w:rsidRDefault="0009751F" w:rsidP="0009751F">
            <w:r>
              <w:t xml:space="preserve">2. </w:t>
            </w:r>
            <w:r w:rsidRPr="004E002D">
              <w:t xml:space="preserve">To document the toxicity profile of </w:t>
            </w:r>
            <w:proofErr w:type="spellStart"/>
            <w:r w:rsidRPr="004E002D">
              <w:t>pazopanib</w:t>
            </w:r>
            <w:proofErr w:type="spellEnd"/>
            <w:r w:rsidRPr="004E002D">
              <w:t>; toxicities will be assessed according to the CTCAE v 4.</w:t>
            </w:r>
          </w:p>
          <w:p w:rsidR="0009751F" w:rsidRDefault="0009751F" w:rsidP="0009751F">
            <w:r w:rsidRPr="004E002D">
              <w:t>3. To compare quality</w:t>
            </w:r>
            <w:r>
              <w:t>-of-life on maintenance therapy</w:t>
            </w:r>
          </w:p>
          <w:p w:rsidR="0009751F" w:rsidRDefault="0009751F" w:rsidP="0009751F">
            <w:r>
              <w:t xml:space="preserve">4. </w:t>
            </w:r>
            <w:r w:rsidRPr="004E002D">
              <w:t>To compare discontinuation rate/treatment compliance</w:t>
            </w:r>
          </w:p>
          <w:p w:rsidR="0009751F" w:rsidRDefault="0009751F" w:rsidP="0009751F">
            <w:r>
              <w:t xml:space="preserve">5. </w:t>
            </w:r>
            <w:r w:rsidRPr="004E002D">
              <w:t>To address Health Economics parameters</w:t>
            </w:r>
          </w:p>
          <w:p w:rsidR="0009751F" w:rsidRDefault="0009751F" w:rsidP="0009751F">
            <w:r>
              <w:t>6. To look at the role of C-Reactive Protein (CRP) in detection of progression in maintenance phase.</w:t>
            </w:r>
          </w:p>
        </w:tc>
      </w:tr>
      <w:tr w:rsidR="0009751F" w:rsidRPr="00257CF3"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09751F" w:rsidRDefault="0009751F" w:rsidP="002817F3">
            <w:pPr>
              <w:rPr>
                <w:rStyle w:val="Bold"/>
                <w:sz w:val="22"/>
                <w:szCs w:val="22"/>
              </w:rPr>
            </w:pPr>
            <w:r w:rsidRPr="0009751F">
              <w:rPr>
                <w:rStyle w:val="Bold"/>
                <w:sz w:val="22"/>
                <w:szCs w:val="22"/>
              </w:rPr>
              <w:t xml:space="preserve">Statistical </w:t>
            </w:r>
          </w:p>
          <w:p w:rsidR="0009751F" w:rsidRPr="0009751F" w:rsidRDefault="0009751F" w:rsidP="002817F3">
            <w:pPr>
              <w:rPr>
                <w:rStyle w:val="Bold"/>
                <w:sz w:val="22"/>
                <w:szCs w:val="22"/>
              </w:rPr>
            </w:pPr>
            <w:r w:rsidRPr="0009751F">
              <w:rPr>
                <w:rStyle w:val="Bold"/>
                <w:sz w:val="22"/>
                <w:szCs w:val="22"/>
              </w:rPr>
              <w:t>methods</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Default="0009751F" w:rsidP="002817F3">
            <w:r w:rsidRPr="00093B55">
              <w:t xml:space="preserve">The analyses of the primary and secondary endpoints </w:t>
            </w:r>
            <w:r>
              <w:t xml:space="preserve">(OS, PFS and TTD) </w:t>
            </w:r>
            <w:r w:rsidRPr="00093B55">
              <w:t>will be performed on all randomized patients according to the intention to treat principle</w:t>
            </w:r>
          </w:p>
          <w:p w:rsidR="0009751F" w:rsidRDefault="0009751F" w:rsidP="002817F3">
            <w:r>
              <w:t>E</w:t>
            </w:r>
            <w:r w:rsidRPr="003A5DB7">
              <w:t xml:space="preserve">stimates of the median </w:t>
            </w:r>
            <w:r>
              <w:t>PFS and OS</w:t>
            </w:r>
            <w:r w:rsidRPr="003A5DB7">
              <w:t xml:space="preserve"> are obtained by the Kaplan Meier technique.</w:t>
            </w:r>
            <w:r>
              <w:t xml:space="preserve"> </w:t>
            </w:r>
            <w:r w:rsidRPr="003A5DB7">
              <w:t>The (1-α)</w:t>
            </w:r>
            <w:r>
              <w:t xml:space="preserve"> confidence interval (</w:t>
            </w:r>
            <w:r w:rsidRPr="003A5DB7">
              <w:t>CI</w:t>
            </w:r>
            <w:r>
              <w:t>)</w:t>
            </w:r>
            <w:r w:rsidRPr="003A5DB7">
              <w:t xml:space="preserve"> for the median will be calculated using the reflected CI method.</w:t>
            </w:r>
            <w:r>
              <w:t xml:space="preserve"> </w:t>
            </w:r>
          </w:p>
          <w:p w:rsidR="0009751F" w:rsidRDefault="0009751F" w:rsidP="002817F3">
            <w:r w:rsidRPr="003A5DB7">
              <w:t>Estimates of the event-free rate at a fixed time point will be obtained using the Kaplan Meier technique</w:t>
            </w:r>
            <w:r>
              <w:t xml:space="preserve"> </w:t>
            </w:r>
            <w:r w:rsidRPr="003A5DB7">
              <w:t>and (1-α)</w:t>
            </w:r>
            <w:r>
              <w:t xml:space="preserve"> </w:t>
            </w:r>
            <w:r w:rsidRPr="003A5DB7">
              <w:t>CI will be calculated by Greenwood’s estimation of the standard deviation</w:t>
            </w:r>
            <w:r>
              <w:t>.</w:t>
            </w:r>
          </w:p>
          <w:p w:rsidR="0009751F" w:rsidRPr="0009751F" w:rsidRDefault="0009751F" w:rsidP="002817F3">
            <w:pPr>
              <w:rPr>
                <w:rStyle w:val="Guidelines0"/>
                <w:i w:val="0"/>
                <w:color w:val="auto"/>
              </w:rPr>
            </w:pPr>
            <w:r w:rsidRPr="003A5DB7">
              <w:t xml:space="preserve">Cox regression will be used to compare the experimental versus the control arms </w:t>
            </w:r>
            <w:r>
              <w:t xml:space="preserve">adjusted by </w:t>
            </w:r>
            <w:r w:rsidRPr="003A5DB7">
              <w:t>the st</w:t>
            </w:r>
            <w:r>
              <w:t>ratification factors in randomiz</w:t>
            </w:r>
            <w:r w:rsidRPr="003A5DB7">
              <w:t xml:space="preserve">ation </w:t>
            </w:r>
            <w:r>
              <w:t>except for centers.</w:t>
            </w:r>
          </w:p>
        </w:tc>
      </w:tr>
      <w:tr w:rsidR="0009751F" w:rsidRPr="0024460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244607" w:rsidRDefault="0009751F" w:rsidP="002817F3">
            <w:pPr>
              <w:rPr>
                <w:rStyle w:val="Bold"/>
                <w:sz w:val="22"/>
                <w:szCs w:val="22"/>
              </w:rPr>
            </w:pPr>
            <w:r w:rsidRPr="00244607">
              <w:rPr>
                <w:rStyle w:val="Bold"/>
                <w:sz w:val="22"/>
                <w:szCs w:val="22"/>
              </w:rPr>
              <w:t>Summary of Results</w:t>
            </w:r>
          </w:p>
          <w:p w:rsidR="0009751F" w:rsidRPr="0009751F" w:rsidRDefault="0009751F" w:rsidP="002817F3">
            <w:pPr>
              <w:rPr>
                <w:rStyle w:val="Bold"/>
                <w:sz w:val="22"/>
                <w:szCs w:val="22"/>
              </w:rPr>
            </w:pPr>
            <w:r w:rsidRPr="0009751F">
              <w:rPr>
                <w:rStyle w:val="Bold"/>
                <w:sz w:val="22"/>
                <w:szCs w:val="22"/>
              </w:rPr>
              <w:t>Efficacy Results</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D9539E" w:rsidRDefault="00D9539E" w:rsidP="00D9539E">
            <w:pPr>
              <w:jc w:val="both"/>
            </w:pPr>
            <w:r>
              <w:t xml:space="preserve">This is a double blind randomized phase III  maintenance study of </w:t>
            </w:r>
            <w:proofErr w:type="spellStart"/>
            <w:r>
              <w:t>Pazopanib</w:t>
            </w:r>
            <w:proofErr w:type="spellEnd"/>
            <w:r>
              <w:t xml:space="preserve"> versus placebo of patients with advanced non-small cell lung cancer (NSCLC) after achieving disease control following 4-6 cycles of induction chemotherapy. Between July</w:t>
            </w:r>
            <w:r w:rsidRPr="00DD0D1A">
              <w:t xml:space="preserve"> </w:t>
            </w:r>
            <w:r>
              <w:t>18</w:t>
            </w:r>
            <w:r w:rsidRPr="00DD0D1A">
              <w:t>, 20</w:t>
            </w:r>
            <w:r>
              <w:t>11</w:t>
            </w:r>
            <w:r w:rsidRPr="00DD0D1A">
              <w:t xml:space="preserve"> </w:t>
            </w:r>
            <w:r>
              <w:t>and August 6, 2013</w:t>
            </w:r>
            <w:r w:rsidRPr="000239DE">
              <w:t xml:space="preserve">, </w:t>
            </w:r>
            <w:r>
              <w:t>102</w:t>
            </w:r>
            <w:r w:rsidRPr="000239DE">
              <w:t xml:space="preserve"> p</w:t>
            </w:r>
            <w:r>
              <w:t>atients</w:t>
            </w:r>
            <w:r w:rsidRPr="000239DE">
              <w:t xml:space="preserve"> with </w:t>
            </w:r>
            <w:r>
              <w:t xml:space="preserve">NSCLC </w:t>
            </w:r>
            <w:r w:rsidRPr="000239DE">
              <w:t xml:space="preserve">were </w:t>
            </w:r>
            <w:r>
              <w:t>randomized.</w:t>
            </w:r>
          </w:p>
          <w:p w:rsidR="00D9539E" w:rsidRDefault="00D9539E" w:rsidP="00D9539E">
            <w:pPr>
              <w:jc w:val="both"/>
            </w:pPr>
          </w:p>
          <w:p w:rsidR="00D9539E" w:rsidRDefault="00D9539E" w:rsidP="00D9539E">
            <w:pPr>
              <w:autoSpaceDE w:val="0"/>
              <w:autoSpaceDN w:val="0"/>
              <w:adjustRightInd w:val="0"/>
              <w:jc w:val="both"/>
            </w:pPr>
            <w:r>
              <w:rPr>
                <w:szCs w:val="22"/>
              </w:rPr>
              <w:t>In the light of the</w:t>
            </w:r>
            <w:r w:rsidRPr="00E02F7E">
              <w:rPr>
                <w:szCs w:val="22"/>
              </w:rPr>
              <w:t xml:space="preserve"> new data </w:t>
            </w:r>
            <w:r>
              <w:rPr>
                <w:szCs w:val="22"/>
              </w:rPr>
              <w:t xml:space="preserve">provided by GSK </w:t>
            </w:r>
            <w:r w:rsidRPr="00E02F7E">
              <w:rPr>
                <w:szCs w:val="22"/>
              </w:rPr>
              <w:t xml:space="preserve">questioning the efficacy of </w:t>
            </w:r>
            <w:proofErr w:type="spellStart"/>
            <w:r w:rsidRPr="00E02F7E">
              <w:rPr>
                <w:szCs w:val="22"/>
              </w:rPr>
              <w:t>pazopanib</w:t>
            </w:r>
            <w:proofErr w:type="spellEnd"/>
            <w:r w:rsidRPr="00E02F7E">
              <w:rPr>
                <w:szCs w:val="22"/>
              </w:rPr>
              <w:t xml:space="preserve"> in NSCLC</w:t>
            </w:r>
            <w:r>
              <w:rPr>
                <w:szCs w:val="22"/>
              </w:rPr>
              <w:t>,</w:t>
            </w:r>
            <w:r w:rsidRPr="00E02F7E">
              <w:rPr>
                <w:szCs w:val="22"/>
              </w:rPr>
              <w:t xml:space="preserve"> </w:t>
            </w:r>
            <w:r>
              <w:rPr>
                <w:szCs w:val="22"/>
              </w:rPr>
              <w:t>there were some concerns</w:t>
            </w:r>
            <w:r w:rsidRPr="00E02F7E">
              <w:rPr>
                <w:szCs w:val="22"/>
              </w:rPr>
              <w:t xml:space="preserve"> about exposing many patients to an inefficacious treatment. </w:t>
            </w:r>
            <w:r>
              <w:rPr>
                <w:szCs w:val="22"/>
              </w:rPr>
              <w:t>R</w:t>
            </w:r>
            <w:r w:rsidRPr="00E02F7E">
              <w:rPr>
                <w:szCs w:val="22"/>
              </w:rPr>
              <w:t xml:space="preserve">ecognizing and sharing the company’s concerns, </w:t>
            </w:r>
            <w:r>
              <w:rPr>
                <w:szCs w:val="22"/>
              </w:rPr>
              <w:t xml:space="preserve">the </w:t>
            </w:r>
            <w:r w:rsidRPr="00E02F7E">
              <w:rPr>
                <w:szCs w:val="22"/>
              </w:rPr>
              <w:t>EORTC Lung</w:t>
            </w:r>
            <w:r>
              <w:rPr>
                <w:szCs w:val="22"/>
              </w:rPr>
              <w:t xml:space="preserve"> Cancer</w:t>
            </w:r>
            <w:r w:rsidRPr="00E02F7E">
              <w:rPr>
                <w:szCs w:val="22"/>
              </w:rPr>
              <w:t xml:space="preserve"> Group </w:t>
            </w:r>
            <w:r>
              <w:rPr>
                <w:szCs w:val="22"/>
              </w:rPr>
              <w:t xml:space="preserve">decided </w:t>
            </w:r>
            <w:r w:rsidRPr="00E02F7E">
              <w:rPr>
                <w:szCs w:val="22"/>
              </w:rPr>
              <w:t xml:space="preserve">to perform an early IA for futility at the time around 53 events </w:t>
            </w:r>
            <w:r>
              <w:rPr>
                <w:szCs w:val="22"/>
              </w:rPr>
              <w:t>were</w:t>
            </w:r>
            <w:r w:rsidRPr="00E02F7E">
              <w:rPr>
                <w:szCs w:val="22"/>
              </w:rPr>
              <w:t xml:space="preserve"> observed</w:t>
            </w:r>
            <w:r>
              <w:rPr>
                <w:szCs w:val="22"/>
              </w:rPr>
              <w:t>.</w:t>
            </w:r>
            <w:r w:rsidRPr="00E02F7E">
              <w:rPr>
                <w:szCs w:val="22"/>
              </w:rPr>
              <w:t xml:space="preserve"> </w:t>
            </w:r>
          </w:p>
          <w:p w:rsidR="00D9539E" w:rsidRDefault="00D9539E" w:rsidP="00D9539E">
            <w:pPr>
              <w:jc w:val="both"/>
            </w:pPr>
          </w:p>
          <w:p w:rsidR="00D9539E" w:rsidRDefault="00D9539E" w:rsidP="00D9539E">
            <w:pPr>
              <w:jc w:val="both"/>
              <w:rPr>
                <w:szCs w:val="24"/>
              </w:rPr>
            </w:pPr>
            <w:r>
              <w:rPr>
                <w:szCs w:val="24"/>
              </w:rPr>
              <w:t>The IA analysis was performed and presented to the IDMC when 63 events for PFS were observed. At the IA, PFS was evaluated as the primary endpoint. In t</w:t>
            </w:r>
            <w:r w:rsidRPr="00492342">
              <w:rPr>
                <w:szCs w:val="24"/>
              </w:rPr>
              <w:t xml:space="preserve">he revised statistical analysis plan </w:t>
            </w:r>
            <w:r>
              <w:rPr>
                <w:szCs w:val="24"/>
              </w:rPr>
              <w:t>stated in C</w:t>
            </w:r>
            <w:r w:rsidRPr="00492342">
              <w:rPr>
                <w:szCs w:val="24"/>
              </w:rPr>
              <w:t xml:space="preserve">hapter 2 of this report, alpha = 0.01 </w:t>
            </w:r>
            <w:r>
              <w:rPr>
                <w:szCs w:val="24"/>
              </w:rPr>
              <w:t>wa</w:t>
            </w:r>
            <w:r w:rsidRPr="00492342">
              <w:rPr>
                <w:szCs w:val="24"/>
              </w:rPr>
              <w:t xml:space="preserve">s </w:t>
            </w:r>
            <w:proofErr w:type="spellStart"/>
            <w:r w:rsidRPr="00492342">
              <w:rPr>
                <w:szCs w:val="24"/>
              </w:rPr>
              <w:t>prespecified</w:t>
            </w:r>
            <w:proofErr w:type="spellEnd"/>
            <w:r w:rsidRPr="00492342">
              <w:rPr>
                <w:szCs w:val="24"/>
              </w:rPr>
              <w:t>. Based on the interim results</w:t>
            </w:r>
            <w:r>
              <w:rPr>
                <w:szCs w:val="24"/>
              </w:rPr>
              <w:t xml:space="preserve"> presented to IDMC, it was concluded </w:t>
            </w:r>
            <w:r w:rsidRPr="00492342">
              <w:rPr>
                <w:szCs w:val="24"/>
              </w:rPr>
              <w:t xml:space="preserve">that the study should not be continued. </w:t>
            </w:r>
            <w:r>
              <w:rPr>
                <w:szCs w:val="24"/>
              </w:rPr>
              <w:t>S</w:t>
            </w:r>
            <w:r w:rsidRPr="00492342">
              <w:rPr>
                <w:szCs w:val="24"/>
              </w:rPr>
              <w:t>ensitivity analyses lead to the same conclusion.</w:t>
            </w:r>
            <w:r>
              <w:rPr>
                <w:szCs w:val="24"/>
              </w:rPr>
              <w:t xml:space="preserve"> The IDMC therefore advised to stop the study for futility.</w:t>
            </w:r>
          </w:p>
          <w:p w:rsidR="00D9539E" w:rsidRDefault="00D9539E" w:rsidP="00D9539E">
            <w:pPr>
              <w:jc w:val="both"/>
            </w:pPr>
          </w:p>
          <w:p w:rsidR="00D9539E" w:rsidRDefault="00D9539E" w:rsidP="00D9539E">
            <w:pPr>
              <w:jc w:val="both"/>
            </w:pPr>
            <w:r>
              <w:t>The current analysis is based on data available until 21 February 2014 (database clinical cut</w:t>
            </w:r>
            <w:r w:rsidR="00E92CBF">
              <w:t>-</w:t>
            </w:r>
            <w:bookmarkStart w:id="0" w:name="_GoBack"/>
            <w:bookmarkEnd w:id="0"/>
            <w:r>
              <w:t xml:space="preserve">off date for the analysis). The objective of the current (final) analysis is to follow the IDMC advice of reporting </w:t>
            </w:r>
            <w:r w:rsidRPr="00642747">
              <w:t>and updating the primary endpoint overall survival (OS) and secondary en</w:t>
            </w:r>
            <w:r>
              <w:t>d</w:t>
            </w:r>
            <w:r w:rsidRPr="00642747">
              <w:t>points including progression free survival (PFS), toxicity/</w:t>
            </w:r>
            <w:r>
              <w:t>s</w:t>
            </w:r>
            <w:r w:rsidRPr="00642747">
              <w:t xml:space="preserve">afety </w:t>
            </w:r>
            <w:r>
              <w:t>u</w:t>
            </w:r>
            <w:r w:rsidRPr="00642747">
              <w:t>pon cleaning the database.</w:t>
            </w:r>
          </w:p>
          <w:p w:rsidR="00D9539E" w:rsidRDefault="00D9539E" w:rsidP="00D9539E">
            <w:pPr>
              <w:jc w:val="both"/>
            </w:pPr>
          </w:p>
          <w:p w:rsidR="00D9539E" w:rsidRDefault="00D9539E" w:rsidP="00D9539E">
            <w:pPr>
              <w:jc w:val="both"/>
            </w:pPr>
            <w:r>
              <w:t>The disease progression was assessed with both o</w:t>
            </w:r>
            <w:r w:rsidRPr="00AB3AA1">
              <w:t xml:space="preserve">bjective tumor response, measured according to the </w:t>
            </w:r>
            <w:r>
              <w:t xml:space="preserve">modified </w:t>
            </w:r>
            <w:r w:rsidRPr="00AB3AA1">
              <w:t>RECIST criteria</w:t>
            </w:r>
            <w:r>
              <w:t xml:space="preserve"> and symptomatic assessment.  Other </w:t>
            </w:r>
            <w:r w:rsidRPr="006B523C">
              <w:t>Secondary</w:t>
            </w:r>
            <w:r>
              <w:t xml:space="preserve"> endpoints included</w:t>
            </w:r>
            <w:r w:rsidRPr="006B523C">
              <w:t>: toxicity of treatment</w:t>
            </w:r>
            <w:r>
              <w:t>.</w:t>
            </w:r>
            <w:r w:rsidRPr="006B523C">
              <w:t xml:space="preserve"> </w:t>
            </w:r>
          </w:p>
          <w:p w:rsidR="00D9539E" w:rsidRDefault="00D9539E" w:rsidP="00D9539E">
            <w:pPr>
              <w:jc w:val="both"/>
            </w:pPr>
          </w:p>
          <w:p w:rsidR="00D9539E" w:rsidRDefault="00D9539E" w:rsidP="00D9539E">
            <w:pPr>
              <w:pStyle w:val="BodyText"/>
              <w:ind w:firstLine="0"/>
              <w:rPr>
                <w:szCs w:val="22"/>
                <w:lang w:val="en-US"/>
              </w:rPr>
            </w:pPr>
            <w:r>
              <w:rPr>
                <w:szCs w:val="22"/>
              </w:rPr>
              <w:t xml:space="preserve">Two (2) randomized patients did not start treatment. </w:t>
            </w:r>
            <w:r>
              <w:rPr>
                <w:szCs w:val="22"/>
                <w:lang w:val="en-US"/>
              </w:rPr>
              <w:t xml:space="preserve">Eight </w:t>
            </w:r>
            <w:r>
              <w:rPr>
                <w:szCs w:val="22"/>
              </w:rPr>
              <w:t>patients (</w:t>
            </w:r>
            <w:r>
              <w:rPr>
                <w:szCs w:val="22"/>
                <w:lang w:val="en-US"/>
              </w:rPr>
              <w:t xml:space="preserve">5 in Placebo and 3 in </w:t>
            </w:r>
            <w:proofErr w:type="spellStart"/>
            <w:r>
              <w:rPr>
                <w:szCs w:val="22"/>
                <w:lang w:val="en-US"/>
              </w:rPr>
              <w:t>Pazopanib</w:t>
            </w:r>
            <w:proofErr w:type="spellEnd"/>
            <w:r>
              <w:rPr>
                <w:szCs w:val="22"/>
                <w:lang w:val="en-US"/>
              </w:rPr>
              <w:t xml:space="preserve"> </w:t>
            </w:r>
            <w:r>
              <w:rPr>
                <w:szCs w:val="22"/>
              </w:rPr>
              <w:t>arm) were considered ineligible by the medical review team.</w:t>
            </w:r>
          </w:p>
          <w:p w:rsidR="00D9539E" w:rsidRDefault="00D9539E" w:rsidP="00D9539E">
            <w:pPr>
              <w:jc w:val="both"/>
              <w:rPr>
                <w:szCs w:val="22"/>
              </w:rPr>
            </w:pPr>
            <w:r>
              <w:t>Based on ITT in 102</w:t>
            </w:r>
            <w:r w:rsidRPr="008222A1">
              <w:rPr>
                <w:b/>
              </w:rPr>
              <w:t xml:space="preserve"> </w:t>
            </w:r>
            <w:r>
              <w:rPr>
                <w:b/>
              </w:rPr>
              <w:t xml:space="preserve">randomized </w:t>
            </w:r>
            <w:r w:rsidRPr="008222A1">
              <w:rPr>
                <w:b/>
              </w:rPr>
              <w:t>patients</w:t>
            </w:r>
            <w:r>
              <w:t>, there were 47</w:t>
            </w:r>
            <w:r w:rsidRPr="00E02F7E">
              <w:rPr>
                <w:szCs w:val="22"/>
              </w:rPr>
              <w:t xml:space="preserve"> events observed</w:t>
            </w:r>
            <w:r>
              <w:rPr>
                <w:szCs w:val="22"/>
              </w:rPr>
              <w:t xml:space="preserve"> for the primary endpoint OS.</w:t>
            </w:r>
            <w:r w:rsidRPr="00E02F7E">
              <w:rPr>
                <w:szCs w:val="22"/>
              </w:rPr>
              <w:t xml:space="preserve"> </w:t>
            </w:r>
          </w:p>
          <w:p w:rsidR="00D9539E" w:rsidRDefault="00D9539E" w:rsidP="00D9539E">
            <w:pPr>
              <w:jc w:val="both"/>
              <w:rPr>
                <w:szCs w:val="22"/>
              </w:rPr>
            </w:pPr>
            <w:r>
              <w:t xml:space="preserve">Median overall survival was 17.4 months in </w:t>
            </w:r>
            <w:proofErr w:type="spellStart"/>
            <w:r>
              <w:t>Pazopanib</w:t>
            </w:r>
            <w:proofErr w:type="spellEnd"/>
            <w:r>
              <w:t xml:space="preserve"> and 12.3 months in Placebo arm. The adjusted p-value based on Wald test to test the difference in OS between the two arms was 0.257. The Hazard ratio and 2-sided 95% confidence intervals for the OS in </w:t>
            </w:r>
            <w:proofErr w:type="spellStart"/>
            <w:r>
              <w:t>Pazopanib</w:t>
            </w:r>
            <w:proofErr w:type="spellEnd"/>
            <w:r>
              <w:t xml:space="preserve"> relative to the Placebo arm was </w:t>
            </w:r>
            <w:r w:rsidRPr="00820014">
              <w:t>0.72 (0.40, 1.28)</w:t>
            </w:r>
            <w:r>
              <w:rPr>
                <w:b/>
              </w:rPr>
              <w:t xml:space="preserve">.  </w:t>
            </w:r>
            <w:r>
              <w:t xml:space="preserve">These p-value and HR estimates are confirmed by other sensitivity method, namely </w:t>
            </w:r>
            <w:proofErr w:type="spellStart"/>
            <w:r>
              <w:t>logrank</w:t>
            </w:r>
            <w:proofErr w:type="spellEnd"/>
            <w:r>
              <w:t xml:space="preserve"> test without adjustment where p-value = 0.252 and HR of </w:t>
            </w:r>
            <w:r w:rsidRPr="00820014">
              <w:t>0.71 (0.40, 1.27)</w:t>
            </w:r>
            <w:r>
              <w:t xml:space="preserve"> were observed.</w:t>
            </w:r>
            <w:r w:rsidRPr="00820014">
              <w:t xml:space="preserve">                  </w:t>
            </w:r>
            <w:r>
              <w:t xml:space="preserve">.  </w:t>
            </w:r>
          </w:p>
          <w:p w:rsidR="00D9539E" w:rsidRDefault="00D9539E" w:rsidP="00D9539E">
            <w:pPr>
              <w:jc w:val="both"/>
              <w:rPr>
                <w:szCs w:val="22"/>
              </w:rPr>
            </w:pPr>
          </w:p>
          <w:p w:rsidR="00D9539E" w:rsidRDefault="00D9539E" w:rsidP="00D9539E">
            <w:pPr>
              <w:jc w:val="both"/>
              <w:rPr>
                <w:szCs w:val="24"/>
              </w:rPr>
            </w:pPr>
            <w:r>
              <w:t>For PFS out of 102</w:t>
            </w:r>
            <w:r w:rsidRPr="008222A1">
              <w:rPr>
                <w:b/>
              </w:rPr>
              <w:t xml:space="preserve"> </w:t>
            </w:r>
            <w:r>
              <w:rPr>
                <w:b/>
              </w:rPr>
              <w:t xml:space="preserve">randomized </w:t>
            </w:r>
            <w:r w:rsidRPr="008222A1">
              <w:rPr>
                <w:b/>
              </w:rPr>
              <w:t>patients</w:t>
            </w:r>
            <w:r>
              <w:t>, there were 85</w:t>
            </w:r>
            <w:r w:rsidRPr="00E02F7E">
              <w:rPr>
                <w:szCs w:val="22"/>
              </w:rPr>
              <w:t xml:space="preserve"> events </w:t>
            </w:r>
            <w:r>
              <w:rPr>
                <w:szCs w:val="22"/>
              </w:rPr>
              <w:t xml:space="preserve">(PD or death) </w:t>
            </w:r>
            <w:r w:rsidRPr="00E02F7E">
              <w:rPr>
                <w:szCs w:val="22"/>
              </w:rPr>
              <w:t>observed</w:t>
            </w:r>
            <w:r>
              <w:rPr>
                <w:szCs w:val="22"/>
              </w:rPr>
              <w:t xml:space="preserve">. </w:t>
            </w:r>
            <w:r>
              <w:t xml:space="preserve">Median progression free survival was 4.3 months in </w:t>
            </w:r>
            <w:proofErr w:type="spellStart"/>
            <w:r>
              <w:t>Pazopanib</w:t>
            </w:r>
            <w:proofErr w:type="spellEnd"/>
            <w:r>
              <w:t xml:space="preserve"> and 3.2 months in Placebo arm. The adjusted p-value based on Wald test to test the difference in PFS between the two arms was 0.068. The Hazard ratio and 2-sided 95% confidence intervals for the PFS in </w:t>
            </w:r>
            <w:proofErr w:type="spellStart"/>
            <w:r>
              <w:t>Pazopanib</w:t>
            </w:r>
            <w:proofErr w:type="spellEnd"/>
            <w:r>
              <w:t xml:space="preserve"> relative to the Placebo arm was </w:t>
            </w:r>
            <w:r w:rsidRPr="009723F7">
              <w:t>0.67 (0.43, 1.03)</w:t>
            </w:r>
            <w:r>
              <w:rPr>
                <w:b/>
              </w:rPr>
              <w:t xml:space="preserve">.  </w:t>
            </w:r>
            <w:r>
              <w:t xml:space="preserve">These p-value and HR estimates are confirmed by other sensitivity method, namely </w:t>
            </w:r>
            <w:proofErr w:type="spellStart"/>
            <w:r>
              <w:t>logrank</w:t>
            </w:r>
            <w:proofErr w:type="spellEnd"/>
            <w:r>
              <w:t xml:space="preserve"> test without adjustment where p-value = 0.066 and HR of </w:t>
            </w:r>
            <w:r w:rsidRPr="009723F7">
              <w:t>0.67 (0.44, 1.03)</w:t>
            </w:r>
            <w:r>
              <w:t xml:space="preserve"> were observed.</w:t>
            </w:r>
            <w:r w:rsidRPr="00820014">
              <w:t xml:space="preserve"> </w:t>
            </w:r>
          </w:p>
          <w:p w:rsidR="0009751F" w:rsidRPr="0009751F" w:rsidRDefault="00D9539E" w:rsidP="00A162BC">
            <w:pPr>
              <w:pStyle w:val="BodyText"/>
              <w:ind w:firstLine="0"/>
            </w:pPr>
            <w:r>
              <w:rPr>
                <w:szCs w:val="22"/>
              </w:rPr>
              <w:t xml:space="preserve"> </w:t>
            </w:r>
          </w:p>
        </w:tc>
      </w:tr>
      <w:tr w:rsidR="0009751F" w:rsidRPr="0024460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09751F" w:rsidRDefault="0009751F" w:rsidP="002817F3">
            <w:pPr>
              <w:rPr>
                <w:rStyle w:val="Bold"/>
                <w:sz w:val="22"/>
                <w:szCs w:val="22"/>
              </w:rPr>
            </w:pPr>
            <w:r w:rsidRPr="0009751F">
              <w:rPr>
                <w:rStyle w:val="Bold"/>
                <w:sz w:val="22"/>
                <w:szCs w:val="22"/>
              </w:rPr>
              <w:lastRenderedPageBreak/>
              <w:t>Safety Results</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Pr="0009751F" w:rsidRDefault="0009751F" w:rsidP="002817F3"/>
          <w:p w:rsidR="00D9539E" w:rsidRDefault="00D9539E" w:rsidP="00D9539E">
            <w:pPr>
              <w:jc w:val="both"/>
            </w:pPr>
            <w:r w:rsidRPr="00A57BAA">
              <w:t>Relative dose intensity during the first two weeks was 107% for both arms</w:t>
            </w:r>
            <w:r>
              <w:t>. After the first 2 weeks, the relative dose intensity was 82% (</w:t>
            </w:r>
            <w:r w:rsidRPr="00A57BAA">
              <w:t xml:space="preserve">34 </w:t>
            </w:r>
            <w:r>
              <w:t>–</w:t>
            </w:r>
            <w:r w:rsidRPr="00A57BAA">
              <w:t xml:space="preserve"> 100</w:t>
            </w:r>
            <w:r>
              <w:t xml:space="preserve">%) in </w:t>
            </w:r>
            <w:proofErr w:type="spellStart"/>
            <w:r>
              <w:t>Pazopanib</w:t>
            </w:r>
            <w:proofErr w:type="spellEnd"/>
            <w:r>
              <w:t xml:space="preserve"> and 100% (</w:t>
            </w:r>
            <w:r w:rsidRPr="00A57BAA">
              <w:t>1</w:t>
            </w:r>
            <w:r>
              <w:t>9</w:t>
            </w:r>
            <w:r w:rsidRPr="00A57BAA">
              <w:t xml:space="preserve"> - 100</w:t>
            </w:r>
            <w:r>
              <w:t xml:space="preserve">%) in Placebo arm. </w:t>
            </w:r>
          </w:p>
          <w:p w:rsidR="00D9539E" w:rsidRDefault="00D9539E" w:rsidP="00D9539E">
            <w:pPr>
              <w:jc w:val="both"/>
            </w:pPr>
          </w:p>
          <w:p w:rsidR="00D9539E" w:rsidRDefault="00D9539E" w:rsidP="00D9539E">
            <w:pPr>
              <w:jc w:val="both"/>
            </w:pPr>
            <w:r>
              <w:t xml:space="preserve">The main adverse events noted with </w:t>
            </w:r>
            <w:proofErr w:type="spellStart"/>
            <w:r>
              <w:t>Pazopanib</w:t>
            </w:r>
            <w:proofErr w:type="spellEnd"/>
            <w:r>
              <w:t xml:space="preserve"> were:</w:t>
            </w:r>
          </w:p>
          <w:p w:rsidR="00D9539E" w:rsidRPr="00301524" w:rsidRDefault="00D9539E" w:rsidP="00D9539E">
            <w:pPr>
              <w:pStyle w:val="ListParagraph"/>
              <w:numPr>
                <w:ilvl w:val="0"/>
                <w:numId w:val="18"/>
              </w:numPr>
              <w:jc w:val="both"/>
              <w:rPr>
                <w:sz w:val="22"/>
                <w:szCs w:val="22"/>
              </w:rPr>
            </w:pPr>
            <w:r w:rsidRPr="00301524">
              <w:rPr>
                <w:sz w:val="22"/>
                <w:szCs w:val="22"/>
              </w:rPr>
              <w:t xml:space="preserve">Hematological toxicity, Grade 3-4, mainly neutropenia (8 % in </w:t>
            </w:r>
            <w:proofErr w:type="spellStart"/>
            <w:r w:rsidRPr="00301524">
              <w:rPr>
                <w:sz w:val="22"/>
                <w:szCs w:val="22"/>
              </w:rPr>
              <w:t>Pazopanib</w:t>
            </w:r>
            <w:proofErr w:type="spellEnd"/>
            <w:r w:rsidRPr="00301524">
              <w:rPr>
                <w:sz w:val="22"/>
                <w:szCs w:val="22"/>
              </w:rPr>
              <w:t xml:space="preserve"> and 0% in Placebo),</w:t>
            </w:r>
          </w:p>
          <w:p w:rsidR="00D9539E" w:rsidRPr="00301524" w:rsidRDefault="00D9539E" w:rsidP="00D9539E">
            <w:pPr>
              <w:pStyle w:val="ListParagraph"/>
              <w:numPr>
                <w:ilvl w:val="0"/>
                <w:numId w:val="18"/>
              </w:numPr>
              <w:jc w:val="both"/>
              <w:rPr>
                <w:sz w:val="22"/>
                <w:szCs w:val="22"/>
              </w:rPr>
            </w:pPr>
            <w:r w:rsidRPr="00301524">
              <w:rPr>
                <w:sz w:val="22"/>
                <w:szCs w:val="22"/>
              </w:rPr>
              <w:t xml:space="preserve">Toxicity, Grade 3-4, mainly hypertension (38% in </w:t>
            </w:r>
            <w:proofErr w:type="spellStart"/>
            <w:r w:rsidRPr="00301524">
              <w:rPr>
                <w:sz w:val="22"/>
                <w:szCs w:val="22"/>
              </w:rPr>
              <w:t>Pazopanib</w:t>
            </w:r>
            <w:proofErr w:type="spellEnd"/>
            <w:r w:rsidRPr="00301524">
              <w:rPr>
                <w:sz w:val="22"/>
                <w:szCs w:val="22"/>
              </w:rPr>
              <w:t xml:space="preserve"> and 8% in Placebo) and</w:t>
            </w:r>
          </w:p>
          <w:p w:rsidR="0009751F" w:rsidRPr="0009751F" w:rsidRDefault="00D9539E" w:rsidP="00D9539E">
            <w:r w:rsidRPr="00301524">
              <w:rPr>
                <w:sz w:val="22"/>
                <w:szCs w:val="22"/>
              </w:rPr>
              <w:t xml:space="preserve">Lab abnormalities, Grade 3-4, mainly elevated SGPT (6% in </w:t>
            </w:r>
            <w:proofErr w:type="spellStart"/>
            <w:r w:rsidRPr="00301524">
              <w:rPr>
                <w:sz w:val="22"/>
                <w:szCs w:val="22"/>
              </w:rPr>
              <w:t>Pazopanib</w:t>
            </w:r>
            <w:proofErr w:type="spellEnd"/>
            <w:r w:rsidRPr="00301524">
              <w:rPr>
                <w:sz w:val="22"/>
                <w:szCs w:val="22"/>
              </w:rPr>
              <w:t xml:space="preserve"> and 0% in Placebo).               </w:t>
            </w:r>
          </w:p>
          <w:p w:rsidR="0009751F" w:rsidRPr="0009751F" w:rsidRDefault="0009751F" w:rsidP="002817F3"/>
        </w:tc>
      </w:tr>
      <w:tr w:rsidR="0009751F" w:rsidRPr="0024460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09751F" w:rsidRDefault="0009751F" w:rsidP="002817F3">
            <w:pPr>
              <w:rPr>
                <w:rStyle w:val="Bold"/>
                <w:sz w:val="22"/>
                <w:szCs w:val="22"/>
              </w:rPr>
            </w:pPr>
            <w:r w:rsidRPr="0009751F">
              <w:rPr>
                <w:rStyle w:val="Bold"/>
                <w:sz w:val="22"/>
                <w:szCs w:val="22"/>
              </w:rPr>
              <w:t>Conclusions</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Pr="0009751F" w:rsidRDefault="00D9539E" w:rsidP="002817F3">
            <w:r>
              <w:rPr>
                <w:lang w:val="en-GB"/>
              </w:rPr>
              <w:t xml:space="preserve">Switch maintenance with </w:t>
            </w:r>
            <w:proofErr w:type="spellStart"/>
            <w:r>
              <w:rPr>
                <w:lang w:val="en-GB"/>
              </w:rPr>
              <w:t>Pazopanib</w:t>
            </w:r>
            <w:proofErr w:type="spellEnd"/>
            <w:r>
              <w:rPr>
                <w:lang w:val="en-GB"/>
              </w:rPr>
              <w:t xml:space="preserve"> following platinum-based chemotherapy in </w:t>
            </w:r>
            <w:proofErr w:type="spellStart"/>
            <w:r>
              <w:rPr>
                <w:lang w:val="en-GB"/>
              </w:rPr>
              <w:t>pts</w:t>
            </w:r>
            <w:proofErr w:type="spellEnd"/>
            <w:r>
              <w:rPr>
                <w:lang w:val="en-GB"/>
              </w:rPr>
              <w:t xml:space="preserve"> with advanced NSCLC was well tolerated. This study was stopped for futility following an IA due to lack of efficacy judging by a stringent criteria for PFS</w:t>
            </w:r>
          </w:p>
          <w:p w:rsidR="0009751F" w:rsidRPr="0009751F" w:rsidRDefault="0009751F" w:rsidP="002817F3"/>
        </w:tc>
      </w:tr>
      <w:tr w:rsidR="0009751F" w:rsidRPr="00244607" w:rsidTr="00A162BC">
        <w:trPr>
          <w:jc w:val="center"/>
        </w:trPr>
        <w:tc>
          <w:tcPr>
            <w:tcW w:w="2225" w:type="dxa"/>
            <w:tcBorders>
              <w:top w:val="single" w:sz="4" w:space="0" w:color="auto"/>
              <w:left w:val="double" w:sz="4" w:space="0" w:color="auto"/>
              <w:bottom w:val="single" w:sz="4" w:space="0" w:color="auto"/>
              <w:right w:val="single" w:sz="4" w:space="0" w:color="auto"/>
            </w:tcBorders>
            <w:shd w:val="clear" w:color="auto" w:fill="auto"/>
          </w:tcPr>
          <w:p w:rsidR="0009751F" w:rsidRPr="00244607" w:rsidRDefault="0009751F" w:rsidP="002817F3">
            <w:pPr>
              <w:rPr>
                <w:rStyle w:val="Bold"/>
                <w:sz w:val="22"/>
                <w:szCs w:val="22"/>
              </w:rPr>
            </w:pPr>
            <w:r w:rsidRPr="00244607">
              <w:rPr>
                <w:rStyle w:val="Bold"/>
                <w:sz w:val="22"/>
                <w:szCs w:val="22"/>
              </w:rPr>
              <w:t>Date of  Report</w:t>
            </w:r>
          </w:p>
        </w:tc>
        <w:tc>
          <w:tcPr>
            <w:tcW w:w="7522" w:type="dxa"/>
            <w:tcBorders>
              <w:top w:val="single" w:sz="4" w:space="0" w:color="auto"/>
              <w:left w:val="single" w:sz="4" w:space="0" w:color="auto"/>
              <w:bottom w:val="single" w:sz="4" w:space="0" w:color="auto"/>
              <w:right w:val="double" w:sz="4" w:space="0" w:color="auto"/>
            </w:tcBorders>
            <w:shd w:val="clear" w:color="auto" w:fill="auto"/>
          </w:tcPr>
          <w:p w:rsidR="0009751F" w:rsidRDefault="00D9539E" w:rsidP="002817F3">
            <w:r w:rsidRPr="00D9539E">
              <w:t>June 13, 2014</w:t>
            </w:r>
          </w:p>
          <w:p w:rsidR="0009751F" w:rsidRDefault="0009751F" w:rsidP="002817F3"/>
          <w:p w:rsidR="0009751F" w:rsidRPr="0009751F" w:rsidRDefault="0009751F" w:rsidP="002817F3"/>
        </w:tc>
      </w:tr>
    </w:tbl>
    <w:p w:rsidR="00ED1CFC" w:rsidRDefault="00ED1CFC" w:rsidP="001A643A"/>
    <w:sectPr w:rsidR="00ED1CFC" w:rsidSect="001E2817">
      <w:headerReference w:type="default" r:id="rId13"/>
      <w:footerReference w:type="default" r:id="rId14"/>
      <w:headerReference w:type="first" r:id="rId15"/>
      <w:footerReference w:type="first" r:id="rId16"/>
      <w:type w:val="continuous"/>
      <w:pgSz w:w="11907" w:h="16840" w:code="9"/>
      <w:pgMar w:top="544" w:right="544" w:bottom="544" w:left="1418"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BAB" w:rsidRDefault="00E61BAB">
      <w:r>
        <w:separator/>
      </w:r>
    </w:p>
  </w:endnote>
  <w:endnote w:type="continuationSeparator" w:id="0">
    <w:p w:rsidR="00E61BAB" w:rsidRDefault="00E6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98A" w:rsidRPr="001C49B5" w:rsidRDefault="00C93503" w:rsidP="00C93503">
    <w:pPr>
      <w:tabs>
        <w:tab w:val="center" w:pos="4962"/>
        <w:tab w:val="right" w:pos="9923"/>
      </w:tabs>
      <w:rPr>
        <w:szCs w:val="24"/>
      </w:rPr>
    </w:pPr>
    <w:r>
      <w:rPr>
        <w:szCs w:val="24"/>
      </w:rPr>
      <w:br/>
    </w:r>
    <w:r w:rsidR="005B0DE3">
      <w:rPr>
        <w:szCs w:val="24"/>
      </w:rPr>
      <w:t>ST-006-AF-01</w:t>
    </w:r>
    <w:r w:rsidR="00D2598A" w:rsidRPr="001C49B5">
      <w:rPr>
        <w:szCs w:val="24"/>
      </w:rPr>
      <w:tab/>
      <w:t xml:space="preserve">Page </w:t>
    </w:r>
    <w:r w:rsidR="004D7EC3" w:rsidRPr="001C49B5">
      <w:rPr>
        <w:szCs w:val="24"/>
      </w:rPr>
      <w:fldChar w:fldCharType="begin"/>
    </w:r>
    <w:r w:rsidR="00D2598A" w:rsidRPr="001C49B5">
      <w:rPr>
        <w:szCs w:val="24"/>
      </w:rPr>
      <w:instrText xml:space="preserve"> PAGE </w:instrText>
    </w:r>
    <w:r w:rsidR="004D7EC3" w:rsidRPr="001C49B5">
      <w:rPr>
        <w:szCs w:val="24"/>
      </w:rPr>
      <w:fldChar w:fldCharType="separate"/>
    </w:r>
    <w:r w:rsidR="00E92CBF">
      <w:rPr>
        <w:noProof/>
        <w:szCs w:val="24"/>
      </w:rPr>
      <w:t>4</w:t>
    </w:r>
    <w:r w:rsidR="004D7EC3" w:rsidRPr="001C49B5">
      <w:rPr>
        <w:szCs w:val="24"/>
      </w:rPr>
      <w:fldChar w:fldCharType="end"/>
    </w:r>
    <w:r w:rsidR="00D2598A" w:rsidRPr="001C49B5">
      <w:rPr>
        <w:szCs w:val="24"/>
      </w:rPr>
      <w:t xml:space="preserve"> of </w:t>
    </w:r>
    <w:r w:rsidR="004D7EC3" w:rsidRPr="001C49B5">
      <w:rPr>
        <w:szCs w:val="24"/>
      </w:rPr>
      <w:fldChar w:fldCharType="begin"/>
    </w:r>
    <w:r w:rsidR="00D2598A" w:rsidRPr="001C49B5">
      <w:rPr>
        <w:szCs w:val="24"/>
      </w:rPr>
      <w:instrText xml:space="preserve"> NUMPAGES </w:instrText>
    </w:r>
    <w:r w:rsidR="004D7EC3" w:rsidRPr="001C49B5">
      <w:rPr>
        <w:szCs w:val="24"/>
      </w:rPr>
      <w:fldChar w:fldCharType="separate"/>
    </w:r>
    <w:r w:rsidR="00E92CBF">
      <w:rPr>
        <w:noProof/>
        <w:szCs w:val="24"/>
      </w:rPr>
      <w:t>6</w:t>
    </w:r>
    <w:r w:rsidR="004D7EC3" w:rsidRPr="001C49B5">
      <w:rPr>
        <w:szCs w:val="24"/>
      </w:rPr>
      <w:fldChar w:fldCharType="end"/>
    </w:r>
    <w:r w:rsidR="003F4B4B">
      <w:rPr>
        <w:szCs w:val="24"/>
      </w:rPr>
      <w:tab/>
    </w:r>
    <w:r w:rsidR="00BA7791">
      <w:rPr>
        <w:szCs w:val="24"/>
      </w:rPr>
      <w:t>Template v</w:t>
    </w:r>
    <w:r w:rsidR="003F4B4B">
      <w:rPr>
        <w:szCs w:val="24"/>
      </w:rPr>
      <w:t>ersion</w:t>
    </w:r>
    <w:r w:rsidR="00D2598A" w:rsidRPr="001C49B5">
      <w:rPr>
        <w:szCs w:val="24"/>
      </w:rPr>
      <w:t>:</w:t>
    </w:r>
    <w:r w:rsidR="003F4B4B">
      <w:rPr>
        <w:szCs w:val="24"/>
      </w:rPr>
      <w:t xml:space="preserve"> </w:t>
    </w:r>
    <w:r w:rsidR="005B0DE3">
      <w:rPr>
        <w:szCs w:val="24"/>
      </w:rPr>
      <w:t>1.00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98A" w:rsidRPr="003133F6" w:rsidRDefault="00195D6C" w:rsidP="00C93503">
    <w:pPr>
      <w:tabs>
        <w:tab w:val="center" w:pos="4962"/>
        <w:tab w:val="right" w:pos="9923"/>
      </w:tabs>
    </w:pPr>
    <w:r>
      <w:br/>
    </w:r>
    <w:r w:rsidR="00244607">
      <w:t>ST-006-</w:t>
    </w:r>
    <w:r w:rsidR="00D2598A">
      <w:t>AF</w:t>
    </w:r>
    <w:r w:rsidR="00244607">
      <w:t>-01</w:t>
    </w:r>
    <w:r w:rsidR="00D2598A">
      <w:tab/>
      <w:t xml:space="preserve">Page </w:t>
    </w:r>
    <w:r w:rsidR="0026766E">
      <w:fldChar w:fldCharType="begin"/>
    </w:r>
    <w:r w:rsidR="0026766E">
      <w:instrText xml:space="preserve"> PAGE </w:instrText>
    </w:r>
    <w:r w:rsidR="0026766E">
      <w:fldChar w:fldCharType="separate"/>
    </w:r>
    <w:r w:rsidR="0049345F">
      <w:rPr>
        <w:noProof/>
      </w:rPr>
      <w:t>1</w:t>
    </w:r>
    <w:r w:rsidR="0026766E">
      <w:rPr>
        <w:noProof/>
      </w:rPr>
      <w:fldChar w:fldCharType="end"/>
    </w:r>
    <w:r w:rsidR="00D2598A">
      <w:t xml:space="preserve"> of </w:t>
    </w:r>
    <w:r w:rsidR="0026766E">
      <w:fldChar w:fldCharType="begin"/>
    </w:r>
    <w:r w:rsidR="0026766E">
      <w:instrText xml:space="preserve"> NUMPAGES </w:instrText>
    </w:r>
    <w:r w:rsidR="0026766E">
      <w:fldChar w:fldCharType="separate"/>
    </w:r>
    <w:r w:rsidR="0049345F">
      <w:rPr>
        <w:noProof/>
      </w:rPr>
      <w:t>7</w:t>
    </w:r>
    <w:r w:rsidR="0026766E">
      <w:rPr>
        <w:noProof/>
      </w:rPr>
      <w:fldChar w:fldCharType="end"/>
    </w:r>
    <w:r w:rsidR="00D2598A">
      <w:tab/>
    </w:r>
    <w:r w:rsidR="00454011">
      <w:t>Template v</w:t>
    </w:r>
    <w:r w:rsidR="00D2598A">
      <w:t xml:space="preserve">ersion: </w:t>
    </w:r>
    <w:r w:rsidR="00244607">
      <w:t>1.00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BAB" w:rsidRDefault="00E61BAB">
      <w:r>
        <w:separator/>
      </w:r>
    </w:p>
  </w:footnote>
  <w:footnote w:type="continuationSeparator" w:id="0">
    <w:p w:rsidR="00E61BAB" w:rsidRDefault="00E61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98A" w:rsidRPr="005C6788" w:rsidRDefault="00244607" w:rsidP="00C93503">
    <w:pPr>
      <w:pStyle w:val="Header"/>
      <w:tabs>
        <w:tab w:val="clear" w:pos="4320"/>
        <w:tab w:val="clear" w:pos="8640"/>
        <w:tab w:val="center" w:pos="4962"/>
        <w:tab w:val="right" w:pos="9923"/>
      </w:tabs>
      <w:rPr>
        <w:rFonts w:ascii="Arial" w:hAnsi="Arial" w:cs="Arial"/>
        <w:sz w:val="18"/>
        <w:szCs w:val="18"/>
      </w:rPr>
    </w:pPr>
    <w:r>
      <w:rPr>
        <w:szCs w:val="24"/>
      </w:rPr>
      <w:t>Short Study Report for Health Authorities</w:t>
    </w:r>
    <w:r>
      <w:rPr>
        <w:szCs w:val="24"/>
      </w:rPr>
      <w:tab/>
    </w:r>
    <w:r w:rsidR="00D2598A" w:rsidRPr="001C49B5">
      <w:rPr>
        <w:szCs w:val="24"/>
      </w:rPr>
      <w:tab/>
      <w:t>EORTC</w:t>
    </w:r>
    <w:r w:rsidR="00195D6C">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98A" w:rsidRPr="0071494F" w:rsidRDefault="00D2598A" w:rsidP="00974F11">
    <w:pPr>
      <w:ind w:left="-142"/>
    </w:pPr>
    <w:r>
      <w:t xml:space="preserve">   </w:t>
    </w:r>
    <w:r w:rsidR="00870B86">
      <w:rPr>
        <w:noProof/>
      </w:rPr>
      <w:drawing>
        <wp:inline distT="0" distB="0" distL="0" distR="0">
          <wp:extent cx="6315075" cy="1076325"/>
          <wp:effectExtent l="19050" t="0" r="9525" b="0"/>
          <wp:docPr id="3" name="Picture 3" descr="K:\Clipart\EORTC logo &amp; text &amp; add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Clipart\EORTC logo &amp; text &amp; address.jpg"/>
                  <pic:cNvPicPr>
                    <a:picLocks noChangeAspect="1" noChangeArrowheads="1"/>
                  </pic:cNvPicPr>
                </pic:nvPicPr>
                <pic:blipFill>
                  <a:blip r:embed="rId1"/>
                  <a:srcRect/>
                  <a:stretch>
                    <a:fillRect/>
                  </a:stretch>
                </pic:blipFill>
                <pic:spPr bwMode="auto">
                  <a:xfrm>
                    <a:off x="0" y="0"/>
                    <a:ext cx="6315075" cy="1076325"/>
                  </a:xfrm>
                  <a:prstGeom prst="rect">
                    <a:avLst/>
                  </a:prstGeom>
                  <a:noFill/>
                  <a:ln w="9525">
                    <a:noFill/>
                    <a:miter lim="800000"/>
                    <a:headEnd/>
                    <a:tailEnd/>
                  </a:ln>
                </pic:spPr>
              </pic:pic>
            </a:graphicData>
          </a:graphic>
        </wp:inline>
      </w:drawing>
    </w:r>
  </w:p>
  <w:p w:rsidR="00D2598A" w:rsidRPr="00E80CCE" w:rsidRDefault="00D2598A" w:rsidP="00974F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BCA704"/>
    <w:lvl w:ilvl="0">
      <w:start w:val="1"/>
      <w:numFmt w:val="decimal"/>
      <w:lvlText w:val="%1."/>
      <w:lvlJc w:val="left"/>
      <w:pPr>
        <w:tabs>
          <w:tab w:val="num" w:pos="1492"/>
        </w:tabs>
        <w:ind w:left="1492" w:hanging="360"/>
      </w:pPr>
    </w:lvl>
  </w:abstractNum>
  <w:abstractNum w:abstractNumId="1">
    <w:nsid w:val="FFFFFF7D"/>
    <w:multiLevelType w:val="singleLevel"/>
    <w:tmpl w:val="AAFAE3F2"/>
    <w:lvl w:ilvl="0">
      <w:start w:val="1"/>
      <w:numFmt w:val="decimal"/>
      <w:lvlText w:val="%1."/>
      <w:lvlJc w:val="left"/>
      <w:pPr>
        <w:tabs>
          <w:tab w:val="num" w:pos="1209"/>
        </w:tabs>
        <w:ind w:left="1209" w:hanging="360"/>
      </w:pPr>
    </w:lvl>
  </w:abstractNum>
  <w:abstractNum w:abstractNumId="2">
    <w:nsid w:val="FFFFFF7E"/>
    <w:multiLevelType w:val="singleLevel"/>
    <w:tmpl w:val="4256701E"/>
    <w:lvl w:ilvl="0">
      <w:start w:val="1"/>
      <w:numFmt w:val="decimal"/>
      <w:lvlText w:val="%1."/>
      <w:lvlJc w:val="left"/>
      <w:pPr>
        <w:tabs>
          <w:tab w:val="num" w:pos="926"/>
        </w:tabs>
        <w:ind w:left="926" w:hanging="360"/>
      </w:pPr>
    </w:lvl>
  </w:abstractNum>
  <w:abstractNum w:abstractNumId="3">
    <w:nsid w:val="FFFFFF7F"/>
    <w:multiLevelType w:val="singleLevel"/>
    <w:tmpl w:val="07AA7414"/>
    <w:lvl w:ilvl="0">
      <w:start w:val="1"/>
      <w:numFmt w:val="decimal"/>
      <w:lvlText w:val="%1."/>
      <w:lvlJc w:val="left"/>
      <w:pPr>
        <w:tabs>
          <w:tab w:val="num" w:pos="643"/>
        </w:tabs>
        <w:ind w:left="643" w:hanging="360"/>
      </w:pPr>
    </w:lvl>
  </w:abstractNum>
  <w:abstractNum w:abstractNumId="4">
    <w:nsid w:val="FFFFFF80"/>
    <w:multiLevelType w:val="singleLevel"/>
    <w:tmpl w:val="A954AC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4681B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7267B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72D3D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B6B5BA"/>
    <w:lvl w:ilvl="0">
      <w:start w:val="1"/>
      <w:numFmt w:val="decimal"/>
      <w:lvlText w:val="%1."/>
      <w:lvlJc w:val="left"/>
      <w:pPr>
        <w:tabs>
          <w:tab w:val="num" w:pos="360"/>
        </w:tabs>
        <w:ind w:left="360" w:hanging="360"/>
      </w:pPr>
    </w:lvl>
  </w:abstractNum>
  <w:abstractNum w:abstractNumId="9">
    <w:nsid w:val="FFFFFF89"/>
    <w:multiLevelType w:val="singleLevel"/>
    <w:tmpl w:val="DDB85BE0"/>
    <w:lvl w:ilvl="0">
      <w:start w:val="1"/>
      <w:numFmt w:val="bullet"/>
      <w:lvlText w:val=""/>
      <w:lvlJc w:val="left"/>
      <w:pPr>
        <w:tabs>
          <w:tab w:val="num" w:pos="360"/>
        </w:tabs>
        <w:ind w:left="360" w:hanging="360"/>
      </w:pPr>
      <w:rPr>
        <w:rFonts w:ascii="Symbol" w:hAnsi="Symbol" w:hint="default"/>
      </w:rPr>
    </w:lvl>
  </w:abstractNum>
  <w:abstractNum w:abstractNumId="10">
    <w:nsid w:val="1D31083E"/>
    <w:multiLevelType w:val="hybridMultilevel"/>
    <w:tmpl w:val="E9CA9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DA62A3"/>
    <w:multiLevelType w:val="singleLevel"/>
    <w:tmpl w:val="DD661BA8"/>
    <w:lvl w:ilvl="0">
      <w:start w:val="1"/>
      <w:numFmt w:val="bullet"/>
      <w:pStyle w:val="List2"/>
      <w:lvlText w:val=""/>
      <w:lvlJc w:val="left"/>
      <w:pPr>
        <w:tabs>
          <w:tab w:val="num" w:pos="360"/>
        </w:tabs>
        <w:ind w:left="360" w:hanging="360"/>
      </w:pPr>
      <w:rPr>
        <w:rFonts w:ascii="Symbol" w:hAnsi="Symbol" w:hint="default"/>
      </w:rPr>
    </w:lvl>
  </w:abstractNum>
  <w:abstractNum w:abstractNumId="12">
    <w:nsid w:val="2D9F6A56"/>
    <w:multiLevelType w:val="hybridMultilevel"/>
    <w:tmpl w:val="66C070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D80891"/>
    <w:multiLevelType w:val="singleLevel"/>
    <w:tmpl w:val="BC2A4702"/>
    <w:lvl w:ilvl="0">
      <w:start w:val="1"/>
      <w:numFmt w:val="bullet"/>
      <w:pStyle w:val="guidelineslist"/>
      <w:lvlText w:val=""/>
      <w:lvlJc w:val="left"/>
      <w:pPr>
        <w:tabs>
          <w:tab w:val="num" w:pos="360"/>
        </w:tabs>
        <w:ind w:left="360" w:hanging="360"/>
      </w:pPr>
      <w:rPr>
        <w:rFonts w:ascii="Symbol" w:hAnsi="Symbol" w:hint="default"/>
      </w:rPr>
    </w:lvl>
  </w:abstractNum>
  <w:abstractNum w:abstractNumId="14">
    <w:nsid w:val="366863C0"/>
    <w:multiLevelType w:val="singleLevel"/>
    <w:tmpl w:val="8DCA23CA"/>
    <w:lvl w:ilvl="0">
      <w:start w:val="1"/>
      <w:numFmt w:val="bullet"/>
      <w:lvlText w:val=""/>
      <w:lvlJc w:val="left"/>
      <w:pPr>
        <w:tabs>
          <w:tab w:val="num" w:pos="360"/>
        </w:tabs>
        <w:ind w:left="360" w:hanging="360"/>
      </w:pPr>
      <w:rPr>
        <w:rFonts w:ascii="Wingdings" w:hAnsi="Wingdings" w:hint="default"/>
      </w:rPr>
    </w:lvl>
  </w:abstractNum>
  <w:abstractNum w:abstractNumId="15">
    <w:nsid w:val="4ED20E2D"/>
    <w:multiLevelType w:val="singleLevel"/>
    <w:tmpl w:val="B4141100"/>
    <w:lvl w:ilvl="0">
      <w:start w:val="1"/>
      <w:numFmt w:val="upperLetter"/>
      <w:lvlText w:val="%1."/>
      <w:lvlJc w:val="left"/>
      <w:pPr>
        <w:tabs>
          <w:tab w:val="num" w:pos="425"/>
        </w:tabs>
        <w:ind w:left="425" w:hanging="425"/>
      </w:pPr>
    </w:lvl>
  </w:abstractNum>
  <w:abstractNum w:abstractNumId="16">
    <w:nsid w:val="64B671B7"/>
    <w:multiLevelType w:val="multilevel"/>
    <w:tmpl w:val="99A27664"/>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418"/>
        </w:tabs>
        <w:ind w:left="1418" w:hanging="1418"/>
      </w:pPr>
    </w:lvl>
    <w:lvl w:ilvl="4">
      <w:start w:val="1"/>
      <w:numFmt w:val="decimal"/>
      <w:pStyle w:val="Heading5"/>
      <w:lvlText w:val="%1.%2.%3.%4.%5"/>
      <w:lvlJc w:val="left"/>
      <w:pPr>
        <w:tabs>
          <w:tab w:val="num" w:pos="1701"/>
        </w:tabs>
        <w:ind w:left="1701" w:hanging="1701"/>
      </w:pPr>
    </w:lvl>
    <w:lvl w:ilvl="5">
      <w:start w:val="1"/>
      <w:numFmt w:val="decimal"/>
      <w:pStyle w:val="Heading6"/>
      <w:lvlText w:val="%1.%2.%3.%4.%5.%6"/>
      <w:lvlJc w:val="left"/>
      <w:pPr>
        <w:tabs>
          <w:tab w:val="num" w:pos="1985"/>
        </w:tabs>
        <w:ind w:left="1985" w:hanging="1985"/>
      </w:pPr>
    </w:lvl>
    <w:lvl w:ilvl="6">
      <w:start w:val="1"/>
      <w:numFmt w:val="decimal"/>
      <w:pStyle w:val="Heading7"/>
      <w:lvlText w:val="%1.%2.%3.%4.%5.%6.%7"/>
      <w:lvlJc w:val="left"/>
      <w:pPr>
        <w:tabs>
          <w:tab w:val="num" w:pos="2268"/>
        </w:tabs>
        <w:ind w:left="2268" w:hanging="2268"/>
      </w:pPr>
    </w:lvl>
    <w:lvl w:ilvl="7">
      <w:start w:val="1"/>
      <w:numFmt w:val="decimal"/>
      <w:pStyle w:val="Heading8"/>
      <w:lvlText w:val="%1.%2.%3.%4.%5.%6.%7.%8"/>
      <w:lvlJc w:val="left"/>
      <w:pPr>
        <w:tabs>
          <w:tab w:val="num" w:pos="2880"/>
        </w:tabs>
        <w:ind w:left="2552" w:hanging="2552"/>
      </w:pPr>
    </w:lvl>
    <w:lvl w:ilvl="8">
      <w:start w:val="1"/>
      <w:numFmt w:val="decimal"/>
      <w:pStyle w:val="Heading9"/>
      <w:lvlText w:val="%1.%2.%3.%4.%5.%6.%7.%8.%9"/>
      <w:lvlJc w:val="left"/>
      <w:pPr>
        <w:tabs>
          <w:tab w:val="num" w:pos="3240"/>
        </w:tabs>
        <w:ind w:left="2835" w:hanging="2835"/>
      </w:pPr>
    </w:lvl>
  </w:abstractNum>
  <w:abstractNum w:abstractNumId="17">
    <w:nsid w:val="753A0B33"/>
    <w:multiLevelType w:val="singleLevel"/>
    <w:tmpl w:val="25048A94"/>
    <w:lvl w:ilvl="0">
      <w:start w:val="1"/>
      <w:numFmt w:val="bullet"/>
      <w:pStyle w:val="guidelines"/>
      <w:lvlText w:val=""/>
      <w:lvlJc w:val="left"/>
      <w:pPr>
        <w:tabs>
          <w:tab w:val="num" w:pos="360"/>
        </w:tabs>
        <w:ind w:left="360" w:hanging="360"/>
      </w:pPr>
      <w:rPr>
        <w:rFonts w:ascii="Wingdings" w:hAnsi="Wingdings" w:hint="default"/>
      </w:rPr>
    </w:lvl>
  </w:abstractNum>
  <w:num w:numId="1">
    <w:abstractNumId w:val="16"/>
  </w:num>
  <w:num w:numId="2">
    <w:abstractNumId w:val="11"/>
  </w:num>
  <w:num w:numId="3">
    <w:abstractNumId w:val="13"/>
  </w:num>
  <w:num w:numId="4">
    <w:abstractNumId w:val="17"/>
  </w:num>
  <w:num w:numId="5">
    <w:abstractNumId w:val="14"/>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8" w:dllVersion="513"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EA1"/>
    <w:rsid w:val="0002676C"/>
    <w:rsid w:val="00095498"/>
    <w:rsid w:val="0009751F"/>
    <w:rsid w:val="000C6493"/>
    <w:rsid w:val="000D4224"/>
    <w:rsid w:val="000F68F7"/>
    <w:rsid w:val="00105031"/>
    <w:rsid w:val="00195D6C"/>
    <w:rsid w:val="001A643A"/>
    <w:rsid w:val="001E2817"/>
    <w:rsid w:val="001F0A32"/>
    <w:rsid w:val="001F61C7"/>
    <w:rsid w:val="00205E0B"/>
    <w:rsid w:val="00216C75"/>
    <w:rsid w:val="00224752"/>
    <w:rsid w:val="002371AE"/>
    <w:rsid w:val="00244607"/>
    <w:rsid w:val="0026766E"/>
    <w:rsid w:val="00301614"/>
    <w:rsid w:val="003041AE"/>
    <w:rsid w:val="003133F6"/>
    <w:rsid w:val="00314373"/>
    <w:rsid w:val="003464C3"/>
    <w:rsid w:val="003B6378"/>
    <w:rsid w:val="003F4B4B"/>
    <w:rsid w:val="00415F98"/>
    <w:rsid w:val="00451C16"/>
    <w:rsid w:val="00453DEB"/>
    <w:rsid w:val="00454011"/>
    <w:rsid w:val="00466DE3"/>
    <w:rsid w:val="0049345F"/>
    <w:rsid w:val="004D6049"/>
    <w:rsid w:val="004D7EC3"/>
    <w:rsid w:val="004E54DB"/>
    <w:rsid w:val="00512C4E"/>
    <w:rsid w:val="00522B9D"/>
    <w:rsid w:val="005338E2"/>
    <w:rsid w:val="00590621"/>
    <w:rsid w:val="005A50A7"/>
    <w:rsid w:val="005B0DE3"/>
    <w:rsid w:val="00614A4B"/>
    <w:rsid w:val="00660DD3"/>
    <w:rsid w:val="00675DD1"/>
    <w:rsid w:val="00685B12"/>
    <w:rsid w:val="00685DB0"/>
    <w:rsid w:val="006A637B"/>
    <w:rsid w:val="006A7C9F"/>
    <w:rsid w:val="006C0E01"/>
    <w:rsid w:val="006F47F6"/>
    <w:rsid w:val="00721546"/>
    <w:rsid w:val="007C3CF3"/>
    <w:rsid w:val="00805B53"/>
    <w:rsid w:val="00856CC1"/>
    <w:rsid w:val="00870B86"/>
    <w:rsid w:val="00882430"/>
    <w:rsid w:val="00904490"/>
    <w:rsid w:val="0095516B"/>
    <w:rsid w:val="0096314C"/>
    <w:rsid w:val="00974F11"/>
    <w:rsid w:val="009A0B23"/>
    <w:rsid w:val="009C22DF"/>
    <w:rsid w:val="009C6997"/>
    <w:rsid w:val="009D48F9"/>
    <w:rsid w:val="009D5FA5"/>
    <w:rsid w:val="00A13040"/>
    <w:rsid w:val="00A13FD4"/>
    <w:rsid w:val="00A162BC"/>
    <w:rsid w:val="00A53DB4"/>
    <w:rsid w:val="00A65D36"/>
    <w:rsid w:val="00A66F55"/>
    <w:rsid w:val="00B263D1"/>
    <w:rsid w:val="00B27D2F"/>
    <w:rsid w:val="00B92315"/>
    <w:rsid w:val="00B92FB5"/>
    <w:rsid w:val="00BA7791"/>
    <w:rsid w:val="00BF438E"/>
    <w:rsid w:val="00C12640"/>
    <w:rsid w:val="00C14970"/>
    <w:rsid w:val="00C47EA1"/>
    <w:rsid w:val="00C54D99"/>
    <w:rsid w:val="00C93503"/>
    <w:rsid w:val="00C93D32"/>
    <w:rsid w:val="00CA0A51"/>
    <w:rsid w:val="00CA4093"/>
    <w:rsid w:val="00CF679D"/>
    <w:rsid w:val="00D02F4E"/>
    <w:rsid w:val="00D2598A"/>
    <w:rsid w:val="00D519BC"/>
    <w:rsid w:val="00D62EB0"/>
    <w:rsid w:val="00D645FC"/>
    <w:rsid w:val="00D72D16"/>
    <w:rsid w:val="00D9539E"/>
    <w:rsid w:val="00DA79E2"/>
    <w:rsid w:val="00DF3BD8"/>
    <w:rsid w:val="00E50992"/>
    <w:rsid w:val="00E61BAB"/>
    <w:rsid w:val="00E92CBF"/>
    <w:rsid w:val="00ED1CFC"/>
    <w:rsid w:val="00F15FCF"/>
    <w:rsid w:val="00F324D4"/>
    <w:rsid w:val="00F87854"/>
    <w:rsid w:val="00FA76AC"/>
    <w:rsid w:val="00FB4535"/>
    <w:rsid w:val="00FD2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header" w:locked="0"/>
    <w:lsdException w:name="caption" w:locked="0" w:qFormat="1"/>
    <w:lsdException w:name="table of figures" w:locked="0"/>
    <w:lsdException w:name="Title" w:locked="0" w:qFormat="1"/>
    <w:lsdException w:name="Default Paragraph Font" w:locked="0"/>
    <w:lsdException w:name="Subtitle" w:locked="0" w:qFormat="1"/>
    <w:lsdException w:name="Hyperlink" w:locked="0"/>
    <w:lsdException w:name="Strong" w:qFormat="1"/>
    <w:lsdException w:name="Emphasis" w:qFormat="1"/>
    <w:lsdException w:name="HTML Top of Form" w:locked="0"/>
    <w:lsdException w:name="HTML Bottom of Form" w:locked="0"/>
    <w:lsdException w:name="Normal Table" w:locked="0"/>
    <w:lsdException w:name="No List" w:locked="0"/>
    <w:lsdException w:name="Table Grid" w:locked="0"/>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3133F6"/>
  </w:style>
  <w:style w:type="paragraph" w:styleId="Heading1">
    <w:name w:val="heading 1"/>
    <w:next w:val="Normal"/>
    <w:qFormat/>
    <w:rsid w:val="00FB4535"/>
    <w:pPr>
      <w:keepNext/>
      <w:numPr>
        <w:numId w:val="1"/>
      </w:numPr>
      <w:spacing w:before="240" w:after="120"/>
      <w:outlineLvl w:val="0"/>
    </w:pPr>
    <w:rPr>
      <w:b/>
      <w:kern w:val="40"/>
      <w:sz w:val="40"/>
    </w:rPr>
  </w:style>
  <w:style w:type="paragraph" w:styleId="Heading2">
    <w:name w:val="heading 2"/>
    <w:next w:val="Normal"/>
    <w:qFormat/>
    <w:rsid w:val="00FB4535"/>
    <w:pPr>
      <w:keepNext/>
      <w:numPr>
        <w:ilvl w:val="1"/>
        <w:numId w:val="1"/>
      </w:numPr>
      <w:spacing w:before="240" w:after="120"/>
      <w:outlineLvl w:val="1"/>
    </w:pPr>
    <w:rPr>
      <w:b/>
      <w:sz w:val="32"/>
    </w:rPr>
  </w:style>
  <w:style w:type="paragraph" w:styleId="Heading3">
    <w:name w:val="heading 3"/>
    <w:next w:val="Normal"/>
    <w:qFormat/>
    <w:rsid w:val="00FB4535"/>
    <w:pPr>
      <w:keepNext/>
      <w:numPr>
        <w:ilvl w:val="2"/>
        <w:numId w:val="1"/>
      </w:numPr>
      <w:spacing w:before="240" w:after="120"/>
      <w:outlineLvl w:val="2"/>
    </w:pPr>
    <w:rPr>
      <w:b/>
      <w:sz w:val="28"/>
    </w:rPr>
  </w:style>
  <w:style w:type="paragraph" w:styleId="Heading4">
    <w:name w:val="heading 4"/>
    <w:next w:val="Normal"/>
    <w:qFormat/>
    <w:rsid w:val="00FB4535"/>
    <w:pPr>
      <w:keepNext/>
      <w:numPr>
        <w:ilvl w:val="3"/>
        <w:numId w:val="1"/>
      </w:numPr>
      <w:spacing w:before="240" w:after="120"/>
      <w:outlineLvl w:val="3"/>
    </w:pPr>
    <w:rPr>
      <w:b/>
      <w:sz w:val="24"/>
    </w:rPr>
  </w:style>
  <w:style w:type="paragraph" w:styleId="Heading5">
    <w:name w:val="heading 5"/>
    <w:next w:val="Normal"/>
    <w:qFormat/>
    <w:rsid w:val="00FB4535"/>
    <w:pPr>
      <w:numPr>
        <w:ilvl w:val="4"/>
        <w:numId w:val="1"/>
      </w:numPr>
      <w:spacing w:before="240" w:after="120"/>
      <w:outlineLvl w:val="4"/>
    </w:pPr>
    <w:rPr>
      <w:b/>
      <w:i/>
      <w:sz w:val="24"/>
    </w:rPr>
  </w:style>
  <w:style w:type="paragraph" w:styleId="Heading6">
    <w:name w:val="heading 6"/>
    <w:basedOn w:val="Heading5"/>
    <w:next w:val="Normal"/>
    <w:qFormat/>
    <w:rsid w:val="004D7EC3"/>
    <w:pPr>
      <w:numPr>
        <w:ilvl w:val="5"/>
      </w:numPr>
      <w:outlineLvl w:val="5"/>
    </w:pPr>
  </w:style>
  <w:style w:type="paragraph" w:styleId="Heading7">
    <w:name w:val="heading 7"/>
    <w:basedOn w:val="Heading6"/>
    <w:next w:val="Normal"/>
    <w:qFormat/>
    <w:rsid w:val="004D7EC3"/>
    <w:pPr>
      <w:numPr>
        <w:ilvl w:val="6"/>
      </w:numPr>
      <w:outlineLvl w:val="6"/>
    </w:pPr>
  </w:style>
  <w:style w:type="paragraph" w:styleId="Heading8">
    <w:name w:val="heading 8"/>
    <w:basedOn w:val="Heading7"/>
    <w:next w:val="Normal"/>
    <w:qFormat/>
    <w:rsid w:val="004D7EC3"/>
    <w:pPr>
      <w:numPr>
        <w:ilvl w:val="7"/>
      </w:numPr>
      <w:tabs>
        <w:tab w:val="clear" w:pos="2880"/>
        <w:tab w:val="num" w:pos="2552"/>
      </w:tabs>
      <w:outlineLvl w:val="7"/>
    </w:pPr>
  </w:style>
  <w:style w:type="paragraph" w:styleId="Heading9">
    <w:name w:val="heading 9"/>
    <w:basedOn w:val="Heading8"/>
    <w:next w:val="Normal"/>
    <w:qFormat/>
    <w:rsid w:val="004D7EC3"/>
    <w:pPr>
      <w:numPr>
        <w:ilvl w:val="8"/>
      </w:numPr>
      <w:tabs>
        <w:tab w:val="clear" w:pos="3240"/>
        <w:tab w:val="num" w:pos="2835"/>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iii">
    <w:name w:val="List iii"/>
    <w:basedOn w:val="Listii"/>
    <w:rsid w:val="003041AE"/>
    <w:pPr>
      <w:ind w:left="1077"/>
    </w:pPr>
  </w:style>
  <w:style w:type="paragraph" w:customStyle="1" w:styleId="Listii">
    <w:name w:val="List ii"/>
    <w:basedOn w:val="List1"/>
    <w:rsid w:val="003041AE"/>
    <w:pPr>
      <w:ind w:left="717"/>
    </w:pPr>
  </w:style>
  <w:style w:type="paragraph" w:customStyle="1" w:styleId="List1">
    <w:name w:val="List1"/>
    <w:basedOn w:val="Normal"/>
    <w:rsid w:val="004D7EC3"/>
    <w:pPr>
      <w:tabs>
        <w:tab w:val="num" w:pos="360"/>
      </w:tabs>
      <w:ind w:left="357" w:hanging="357"/>
    </w:pPr>
  </w:style>
  <w:style w:type="paragraph" w:styleId="Title">
    <w:name w:val="Title"/>
    <w:basedOn w:val="Normal"/>
    <w:qFormat/>
    <w:rsid w:val="00FB4535"/>
    <w:pPr>
      <w:spacing w:before="240" w:after="60"/>
      <w:jc w:val="center"/>
    </w:pPr>
    <w:rPr>
      <w:rFonts w:cs="Arial"/>
      <w:b/>
      <w:bCs/>
      <w:kern w:val="28"/>
      <w:sz w:val="32"/>
      <w:szCs w:val="32"/>
    </w:rPr>
  </w:style>
  <w:style w:type="paragraph" w:styleId="TableofFigures">
    <w:name w:val="table of figures"/>
    <w:basedOn w:val="Normal"/>
    <w:next w:val="Normal"/>
    <w:semiHidden/>
    <w:locked/>
    <w:rsid w:val="004D7EC3"/>
    <w:pPr>
      <w:ind w:left="480" w:hanging="480"/>
    </w:pPr>
  </w:style>
  <w:style w:type="paragraph" w:customStyle="1" w:styleId="guidelines">
    <w:name w:val="guidelines"/>
    <w:rsid w:val="004D7EC3"/>
    <w:pPr>
      <w:numPr>
        <w:numId w:val="4"/>
      </w:numPr>
      <w:spacing w:after="120"/>
    </w:pPr>
    <w:rPr>
      <w:i/>
      <w:sz w:val="24"/>
    </w:rPr>
  </w:style>
  <w:style w:type="paragraph" w:customStyle="1" w:styleId="guidelineslist">
    <w:name w:val="guidelines list"/>
    <w:basedOn w:val="guidelines"/>
    <w:rsid w:val="004D7EC3"/>
    <w:pPr>
      <w:numPr>
        <w:numId w:val="3"/>
      </w:numPr>
      <w:ind w:left="641" w:hanging="357"/>
    </w:pPr>
  </w:style>
  <w:style w:type="paragraph" w:customStyle="1" w:styleId="Appendix">
    <w:name w:val="Appendix"/>
    <w:next w:val="Normal"/>
    <w:rsid w:val="00FB4535"/>
    <w:pPr>
      <w:pageBreakBefore/>
      <w:spacing w:after="120"/>
      <w:jc w:val="center"/>
    </w:pPr>
    <w:rPr>
      <w:b/>
      <w:noProof/>
      <w:sz w:val="40"/>
    </w:rPr>
  </w:style>
  <w:style w:type="character" w:styleId="Hyperlink">
    <w:name w:val="Hyperlink"/>
    <w:basedOn w:val="DefaultParagraphFont"/>
    <w:rsid w:val="004D7EC3"/>
    <w:rPr>
      <w:color w:val="0000FF"/>
      <w:u w:val="single"/>
    </w:rPr>
  </w:style>
  <w:style w:type="paragraph" w:customStyle="1" w:styleId="Normal10">
    <w:name w:val="Normal 10"/>
    <w:basedOn w:val="Normal"/>
    <w:rsid w:val="003041AE"/>
  </w:style>
  <w:style w:type="paragraph" w:styleId="Subtitle">
    <w:name w:val="Subtitle"/>
    <w:basedOn w:val="Normal"/>
    <w:qFormat/>
    <w:rsid w:val="00FB4535"/>
    <w:pPr>
      <w:spacing w:after="60"/>
      <w:jc w:val="center"/>
      <w:outlineLvl w:val="1"/>
    </w:pPr>
    <w:rPr>
      <w:rFonts w:cs="Arial"/>
      <w:szCs w:val="24"/>
    </w:rPr>
  </w:style>
  <w:style w:type="table" w:styleId="TableGrid">
    <w:name w:val="Table Grid"/>
    <w:basedOn w:val="TableNormal"/>
    <w:rsid w:val="00105031"/>
    <w:pPr>
      <w:tabs>
        <w:tab w:val="left" w:pos="357"/>
      </w:tabs>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wered">
    <w:name w:val="Lowered"/>
    <w:rsid w:val="005A50A7"/>
    <w:rPr>
      <w:vertAlign w:val="subscript"/>
    </w:rPr>
  </w:style>
  <w:style w:type="character" w:customStyle="1" w:styleId="Raised">
    <w:name w:val="Raised"/>
    <w:rsid w:val="005A50A7"/>
    <w:rPr>
      <w:vertAlign w:val="superscript"/>
    </w:rPr>
  </w:style>
  <w:style w:type="character" w:customStyle="1" w:styleId="Bold">
    <w:name w:val="Bold"/>
    <w:rsid w:val="005A50A7"/>
    <w:rPr>
      <w:b/>
    </w:rPr>
  </w:style>
  <w:style w:type="character" w:customStyle="1" w:styleId="Italic">
    <w:name w:val="Italic"/>
    <w:rsid w:val="005A50A7"/>
    <w:rPr>
      <w:i/>
    </w:rPr>
  </w:style>
  <w:style w:type="character" w:customStyle="1" w:styleId="Underline">
    <w:name w:val="Underline"/>
    <w:rsid w:val="005A50A7"/>
    <w:rPr>
      <w:u w:val="single"/>
    </w:rPr>
  </w:style>
  <w:style w:type="paragraph" w:customStyle="1" w:styleId="Normal9">
    <w:name w:val="Normal 9"/>
    <w:basedOn w:val="Normal"/>
    <w:rsid w:val="006A637B"/>
    <w:rPr>
      <w:sz w:val="18"/>
    </w:rPr>
  </w:style>
  <w:style w:type="table" w:customStyle="1" w:styleId="Tablesimple">
    <w:name w:val="Table simple"/>
    <w:basedOn w:val="TableNormal"/>
    <w:rsid w:val="00105031"/>
    <w:pPr>
      <w:spacing w:before="60" w:after="60"/>
    </w:pPr>
    <w:tblPr/>
  </w:style>
  <w:style w:type="paragraph" w:customStyle="1" w:styleId="Centered">
    <w:name w:val="Centered"/>
    <w:basedOn w:val="Normal"/>
    <w:rsid w:val="006A637B"/>
    <w:pPr>
      <w:jc w:val="center"/>
    </w:pPr>
  </w:style>
  <w:style w:type="paragraph" w:styleId="Caption">
    <w:name w:val="caption"/>
    <w:basedOn w:val="Normal"/>
    <w:next w:val="Normal"/>
    <w:qFormat/>
    <w:rsid w:val="00FD20D3"/>
    <w:pPr>
      <w:ind w:left="851" w:hanging="851"/>
    </w:pPr>
    <w:rPr>
      <w:bCs/>
    </w:rPr>
  </w:style>
  <w:style w:type="paragraph" w:styleId="Header">
    <w:name w:val="header"/>
    <w:basedOn w:val="Normal"/>
    <w:rsid w:val="00B27D2F"/>
    <w:pPr>
      <w:tabs>
        <w:tab w:val="center" w:pos="4320"/>
        <w:tab w:val="right" w:pos="8640"/>
      </w:tabs>
    </w:pPr>
  </w:style>
  <w:style w:type="character" w:styleId="PageNumber">
    <w:name w:val="page number"/>
    <w:basedOn w:val="DefaultParagraphFont"/>
    <w:locked/>
    <w:rsid w:val="00B27D2F"/>
  </w:style>
  <w:style w:type="paragraph" w:styleId="Footer">
    <w:name w:val="footer"/>
    <w:basedOn w:val="Normal"/>
    <w:locked/>
    <w:rsid w:val="00FB4535"/>
    <w:pPr>
      <w:tabs>
        <w:tab w:val="center" w:pos="4320"/>
        <w:tab w:val="right" w:pos="8640"/>
      </w:tabs>
    </w:pPr>
  </w:style>
  <w:style w:type="paragraph" w:styleId="BalloonText">
    <w:name w:val="Balloon Text"/>
    <w:basedOn w:val="Normal"/>
    <w:semiHidden/>
    <w:locked/>
    <w:rsid w:val="00FA76AC"/>
    <w:rPr>
      <w:rFonts w:ascii="Tahoma" w:hAnsi="Tahoma" w:cs="Tahoma"/>
      <w:sz w:val="16"/>
      <w:szCs w:val="16"/>
    </w:rPr>
  </w:style>
  <w:style w:type="character" w:customStyle="1" w:styleId="Guidelines0">
    <w:name w:val="Guidelines"/>
    <w:rsid w:val="00ED1CFC"/>
    <w:rPr>
      <w:i/>
      <w:color w:val="FF0000"/>
    </w:rPr>
  </w:style>
  <w:style w:type="paragraph" w:customStyle="1" w:styleId="List2">
    <w:name w:val="List2"/>
    <w:basedOn w:val="Normal"/>
    <w:rsid w:val="00ED1CFC"/>
    <w:pPr>
      <w:numPr>
        <w:numId w:val="2"/>
      </w:numPr>
      <w:spacing w:after="120"/>
      <w:ind w:left="357" w:hanging="357"/>
    </w:pPr>
    <w:rPr>
      <w:sz w:val="24"/>
    </w:rPr>
  </w:style>
  <w:style w:type="paragraph" w:styleId="BodyText">
    <w:name w:val="Body Text"/>
    <w:basedOn w:val="Normal"/>
    <w:link w:val="BodyTextChar"/>
    <w:locked/>
    <w:rsid w:val="00D9539E"/>
    <w:pPr>
      <w:spacing w:after="120"/>
      <w:ind w:firstLine="454"/>
      <w:jc w:val="both"/>
    </w:pPr>
    <w:rPr>
      <w:sz w:val="22"/>
      <w:lang w:val="x-none" w:eastAsia="x-none"/>
    </w:rPr>
  </w:style>
  <w:style w:type="character" w:customStyle="1" w:styleId="BodyTextChar">
    <w:name w:val="Body Text Char"/>
    <w:basedOn w:val="DefaultParagraphFont"/>
    <w:link w:val="BodyText"/>
    <w:rsid w:val="00D9539E"/>
    <w:rPr>
      <w:sz w:val="22"/>
      <w:lang w:val="x-none" w:eastAsia="x-none"/>
    </w:rPr>
  </w:style>
  <w:style w:type="paragraph" w:styleId="ListParagraph">
    <w:name w:val="List Paragraph"/>
    <w:basedOn w:val="Normal"/>
    <w:uiPriority w:val="34"/>
    <w:qFormat/>
    <w:rsid w:val="00D9539E"/>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header" w:locked="0"/>
    <w:lsdException w:name="caption" w:locked="0" w:qFormat="1"/>
    <w:lsdException w:name="table of figures" w:locked="0"/>
    <w:lsdException w:name="Title" w:locked="0" w:qFormat="1"/>
    <w:lsdException w:name="Default Paragraph Font" w:locked="0"/>
    <w:lsdException w:name="Subtitle" w:locked="0" w:qFormat="1"/>
    <w:lsdException w:name="Hyperlink" w:locked="0"/>
    <w:lsdException w:name="Strong" w:qFormat="1"/>
    <w:lsdException w:name="Emphasis" w:qFormat="1"/>
    <w:lsdException w:name="HTML Top of Form" w:locked="0"/>
    <w:lsdException w:name="HTML Bottom of Form" w:locked="0"/>
    <w:lsdException w:name="Normal Table" w:locked="0"/>
    <w:lsdException w:name="No List" w:locked="0"/>
    <w:lsdException w:name="Table Grid" w:locked="0"/>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3133F6"/>
  </w:style>
  <w:style w:type="paragraph" w:styleId="Heading1">
    <w:name w:val="heading 1"/>
    <w:next w:val="Normal"/>
    <w:qFormat/>
    <w:rsid w:val="00FB4535"/>
    <w:pPr>
      <w:keepNext/>
      <w:numPr>
        <w:numId w:val="1"/>
      </w:numPr>
      <w:spacing w:before="240" w:after="120"/>
      <w:outlineLvl w:val="0"/>
    </w:pPr>
    <w:rPr>
      <w:b/>
      <w:kern w:val="40"/>
      <w:sz w:val="40"/>
    </w:rPr>
  </w:style>
  <w:style w:type="paragraph" w:styleId="Heading2">
    <w:name w:val="heading 2"/>
    <w:next w:val="Normal"/>
    <w:qFormat/>
    <w:rsid w:val="00FB4535"/>
    <w:pPr>
      <w:keepNext/>
      <w:numPr>
        <w:ilvl w:val="1"/>
        <w:numId w:val="1"/>
      </w:numPr>
      <w:spacing w:before="240" w:after="120"/>
      <w:outlineLvl w:val="1"/>
    </w:pPr>
    <w:rPr>
      <w:b/>
      <w:sz w:val="32"/>
    </w:rPr>
  </w:style>
  <w:style w:type="paragraph" w:styleId="Heading3">
    <w:name w:val="heading 3"/>
    <w:next w:val="Normal"/>
    <w:qFormat/>
    <w:rsid w:val="00FB4535"/>
    <w:pPr>
      <w:keepNext/>
      <w:numPr>
        <w:ilvl w:val="2"/>
        <w:numId w:val="1"/>
      </w:numPr>
      <w:spacing w:before="240" w:after="120"/>
      <w:outlineLvl w:val="2"/>
    </w:pPr>
    <w:rPr>
      <w:b/>
      <w:sz w:val="28"/>
    </w:rPr>
  </w:style>
  <w:style w:type="paragraph" w:styleId="Heading4">
    <w:name w:val="heading 4"/>
    <w:next w:val="Normal"/>
    <w:qFormat/>
    <w:rsid w:val="00FB4535"/>
    <w:pPr>
      <w:keepNext/>
      <w:numPr>
        <w:ilvl w:val="3"/>
        <w:numId w:val="1"/>
      </w:numPr>
      <w:spacing w:before="240" w:after="120"/>
      <w:outlineLvl w:val="3"/>
    </w:pPr>
    <w:rPr>
      <w:b/>
      <w:sz w:val="24"/>
    </w:rPr>
  </w:style>
  <w:style w:type="paragraph" w:styleId="Heading5">
    <w:name w:val="heading 5"/>
    <w:next w:val="Normal"/>
    <w:qFormat/>
    <w:rsid w:val="00FB4535"/>
    <w:pPr>
      <w:numPr>
        <w:ilvl w:val="4"/>
        <w:numId w:val="1"/>
      </w:numPr>
      <w:spacing w:before="240" w:after="120"/>
      <w:outlineLvl w:val="4"/>
    </w:pPr>
    <w:rPr>
      <w:b/>
      <w:i/>
      <w:sz w:val="24"/>
    </w:rPr>
  </w:style>
  <w:style w:type="paragraph" w:styleId="Heading6">
    <w:name w:val="heading 6"/>
    <w:basedOn w:val="Heading5"/>
    <w:next w:val="Normal"/>
    <w:qFormat/>
    <w:rsid w:val="004D7EC3"/>
    <w:pPr>
      <w:numPr>
        <w:ilvl w:val="5"/>
      </w:numPr>
      <w:outlineLvl w:val="5"/>
    </w:pPr>
  </w:style>
  <w:style w:type="paragraph" w:styleId="Heading7">
    <w:name w:val="heading 7"/>
    <w:basedOn w:val="Heading6"/>
    <w:next w:val="Normal"/>
    <w:qFormat/>
    <w:rsid w:val="004D7EC3"/>
    <w:pPr>
      <w:numPr>
        <w:ilvl w:val="6"/>
      </w:numPr>
      <w:outlineLvl w:val="6"/>
    </w:pPr>
  </w:style>
  <w:style w:type="paragraph" w:styleId="Heading8">
    <w:name w:val="heading 8"/>
    <w:basedOn w:val="Heading7"/>
    <w:next w:val="Normal"/>
    <w:qFormat/>
    <w:rsid w:val="004D7EC3"/>
    <w:pPr>
      <w:numPr>
        <w:ilvl w:val="7"/>
      </w:numPr>
      <w:tabs>
        <w:tab w:val="clear" w:pos="2880"/>
        <w:tab w:val="num" w:pos="2552"/>
      </w:tabs>
      <w:outlineLvl w:val="7"/>
    </w:pPr>
  </w:style>
  <w:style w:type="paragraph" w:styleId="Heading9">
    <w:name w:val="heading 9"/>
    <w:basedOn w:val="Heading8"/>
    <w:next w:val="Normal"/>
    <w:qFormat/>
    <w:rsid w:val="004D7EC3"/>
    <w:pPr>
      <w:numPr>
        <w:ilvl w:val="8"/>
      </w:numPr>
      <w:tabs>
        <w:tab w:val="clear" w:pos="3240"/>
        <w:tab w:val="num" w:pos="2835"/>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iii">
    <w:name w:val="List iii"/>
    <w:basedOn w:val="Listii"/>
    <w:rsid w:val="003041AE"/>
    <w:pPr>
      <w:ind w:left="1077"/>
    </w:pPr>
  </w:style>
  <w:style w:type="paragraph" w:customStyle="1" w:styleId="Listii">
    <w:name w:val="List ii"/>
    <w:basedOn w:val="List1"/>
    <w:rsid w:val="003041AE"/>
    <w:pPr>
      <w:ind w:left="717"/>
    </w:pPr>
  </w:style>
  <w:style w:type="paragraph" w:customStyle="1" w:styleId="List1">
    <w:name w:val="List1"/>
    <w:basedOn w:val="Normal"/>
    <w:rsid w:val="004D7EC3"/>
    <w:pPr>
      <w:tabs>
        <w:tab w:val="num" w:pos="360"/>
      </w:tabs>
      <w:ind w:left="357" w:hanging="357"/>
    </w:pPr>
  </w:style>
  <w:style w:type="paragraph" w:styleId="Title">
    <w:name w:val="Title"/>
    <w:basedOn w:val="Normal"/>
    <w:qFormat/>
    <w:rsid w:val="00FB4535"/>
    <w:pPr>
      <w:spacing w:before="240" w:after="60"/>
      <w:jc w:val="center"/>
    </w:pPr>
    <w:rPr>
      <w:rFonts w:cs="Arial"/>
      <w:b/>
      <w:bCs/>
      <w:kern w:val="28"/>
      <w:sz w:val="32"/>
      <w:szCs w:val="32"/>
    </w:rPr>
  </w:style>
  <w:style w:type="paragraph" w:styleId="TableofFigures">
    <w:name w:val="table of figures"/>
    <w:basedOn w:val="Normal"/>
    <w:next w:val="Normal"/>
    <w:semiHidden/>
    <w:locked/>
    <w:rsid w:val="004D7EC3"/>
    <w:pPr>
      <w:ind w:left="480" w:hanging="480"/>
    </w:pPr>
  </w:style>
  <w:style w:type="paragraph" w:customStyle="1" w:styleId="guidelines">
    <w:name w:val="guidelines"/>
    <w:rsid w:val="004D7EC3"/>
    <w:pPr>
      <w:numPr>
        <w:numId w:val="4"/>
      </w:numPr>
      <w:spacing w:after="120"/>
    </w:pPr>
    <w:rPr>
      <w:i/>
      <w:sz w:val="24"/>
    </w:rPr>
  </w:style>
  <w:style w:type="paragraph" w:customStyle="1" w:styleId="guidelineslist">
    <w:name w:val="guidelines list"/>
    <w:basedOn w:val="guidelines"/>
    <w:rsid w:val="004D7EC3"/>
    <w:pPr>
      <w:numPr>
        <w:numId w:val="3"/>
      </w:numPr>
      <w:ind w:left="641" w:hanging="357"/>
    </w:pPr>
  </w:style>
  <w:style w:type="paragraph" w:customStyle="1" w:styleId="Appendix">
    <w:name w:val="Appendix"/>
    <w:next w:val="Normal"/>
    <w:rsid w:val="00FB4535"/>
    <w:pPr>
      <w:pageBreakBefore/>
      <w:spacing w:after="120"/>
      <w:jc w:val="center"/>
    </w:pPr>
    <w:rPr>
      <w:b/>
      <w:noProof/>
      <w:sz w:val="40"/>
    </w:rPr>
  </w:style>
  <w:style w:type="character" w:styleId="Hyperlink">
    <w:name w:val="Hyperlink"/>
    <w:basedOn w:val="DefaultParagraphFont"/>
    <w:rsid w:val="004D7EC3"/>
    <w:rPr>
      <w:color w:val="0000FF"/>
      <w:u w:val="single"/>
    </w:rPr>
  </w:style>
  <w:style w:type="paragraph" w:customStyle="1" w:styleId="Normal10">
    <w:name w:val="Normal 10"/>
    <w:basedOn w:val="Normal"/>
    <w:rsid w:val="003041AE"/>
  </w:style>
  <w:style w:type="paragraph" w:styleId="Subtitle">
    <w:name w:val="Subtitle"/>
    <w:basedOn w:val="Normal"/>
    <w:qFormat/>
    <w:rsid w:val="00FB4535"/>
    <w:pPr>
      <w:spacing w:after="60"/>
      <w:jc w:val="center"/>
      <w:outlineLvl w:val="1"/>
    </w:pPr>
    <w:rPr>
      <w:rFonts w:cs="Arial"/>
      <w:szCs w:val="24"/>
    </w:rPr>
  </w:style>
  <w:style w:type="table" w:styleId="TableGrid">
    <w:name w:val="Table Grid"/>
    <w:basedOn w:val="TableNormal"/>
    <w:rsid w:val="00105031"/>
    <w:pPr>
      <w:tabs>
        <w:tab w:val="left" w:pos="357"/>
      </w:tabs>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wered">
    <w:name w:val="Lowered"/>
    <w:rsid w:val="005A50A7"/>
    <w:rPr>
      <w:vertAlign w:val="subscript"/>
    </w:rPr>
  </w:style>
  <w:style w:type="character" w:customStyle="1" w:styleId="Raised">
    <w:name w:val="Raised"/>
    <w:rsid w:val="005A50A7"/>
    <w:rPr>
      <w:vertAlign w:val="superscript"/>
    </w:rPr>
  </w:style>
  <w:style w:type="character" w:customStyle="1" w:styleId="Bold">
    <w:name w:val="Bold"/>
    <w:rsid w:val="005A50A7"/>
    <w:rPr>
      <w:b/>
    </w:rPr>
  </w:style>
  <w:style w:type="character" w:customStyle="1" w:styleId="Italic">
    <w:name w:val="Italic"/>
    <w:rsid w:val="005A50A7"/>
    <w:rPr>
      <w:i/>
    </w:rPr>
  </w:style>
  <w:style w:type="character" w:customStyle="1" w:styleId="Underline">
    <w:name w:val="Underline"/>
    <w:rsid w:val="005A50A7"/>
    <w:rPr>
      <w:u w:val="single"/>
    </w:rPr>
  </w:style>
  <w:style w:type="paragraph" w:customStyle="1" w:styleId="Normal9">
    <w:name w:val="Normal 9"/>
    <w:basedOn w:val="Normal"/>
    <w:rsid w:val="006A637B"/>
    <w:rPr>
      <w:sz w:val="18"/>
    </w:rPr>
  </w:style>
  <w:style w:type="table" w:customStyle="1" w:styleId="Tablesimple">
    <w:name w:val="Table simple"/>
    <w:basedOn w:val="TableNormal"/>
    <w:rsid w:val="00105031"/>
    <w:pPr>
      <w:spacing w:before="60" w:after="60"/>
    </w:pPr>
    <w:tblPr/>
  </w:style>
  <w:style w:type="paragraph" w:customStyle="1" w:styleId="Centered">
    <w:name w:val="Centered"/>
    <w:basedOn w:val="Normal"/>
    <w:rsid w:val="006A637B"/>
    <w:pPr>
      <w:jc w:val="center"/>
    </w:pPr>
  </w:style>
  <w:style w:type="paragraph" w:styleId="Caption">
    <w:name w:val="caption"/>
    <w:basedOn w:val="Normal"/>
    <w:next w:val="Normal"/>
    <w:qFormat/>
    <w:rsid w:val="00FD20D3"/>
    <w:pPr>
      <w:ind w:left="851" w:hanging="851"/>
    </w:pPr>
    <w:rPr>
      <w:bCs/>
    </w:rPr>
  </w:style>
  <w:style w:type="paragraph" w:styleId="Header">
    <w:name w:val="header"/>
    <w:basedOn w:val="Normal"/>
    <w:rsid w:val="00B27D2F"/>
    <w:pPr>
      <w:tabs>
        <w:tab w:val="center" w:pos="4320"/>
        <w:tab w:val="right" w:pos="8640"/>
      </w:tabs>
    </w:pPr>
  </w:style>
  <w:style w:type="character" w:styleId="PageNumber">
    <w:name w:val="page number"/>
    <w:basedOn w:val="DefaultParagraphFont"/>
    <w:locked/>
    <w:rsid w:val="00B27D2F"/>
  </w:style>
  <w:style w:type="paragraph" w:styleId="Footer">
    <w:name w:val="footer"/>
    <w:basedOn w:val="Normal"/>
    <w:locked/>
    <w:rsid w:val="00FB4535"/>
    <w:pPr>
      <w:tabs>
        <w:tab w:val="center" w:pos="4320"/>
        <w:tab w:val="right" w:pos="8640"/>
      </w:tabs>
    </w:pPr>
  </w:style>
  <w:style w:type="paragraph" w:styleId="BalloonText">
    <w:name w:val="Balloon Text"/>
    <w:basedOn w:val="Normal"/>
    <w:semiHidden/>
    <w:locked/>
    <w:rsid w:val="00FA76AC"/>
    <w:rPr>
      <w:rFonts w:ascii="Tahoma" w:hAnsi="Tahoma" w:cs="Tahoma"/>
      <w:sz w:val="16"/>
      <w:szCs w:val="16"/>
    </w:rPr>
  </w:style>
  <w:style w:type="character" w:customStyle="1" w:styleId="Guidelines0">
    <w:name w:val="Guidelines"/>
    <w:rsid w:val="00ED1CFC"/>
    <w:rPr>
      <w:i/>
      <w:color w:val="FF0000"/>
    </w:rPr>
  </w:style>
  <w:style w:type="paragraph" w:customStyle="1" w:styleId="List2">
    <w:name w:val="List2"/>
    <w:basedOn w:val="Normal"/>
    <w:rsid w:val="00ED1CFC"/>
    <w:pPr>
      <w:numPr>
        <w:numId w:val="2"/>
      </w:numPr>
      <w:spacing w:after="120"/>
      <w:ind w:left="357" w:hanging="357"/>
    </w:pPr>
    <w:rPr>
      <w:sz w:val="24"/>
    </w:rPr>
  </w:style>
  <w:style w:type="paragraph" w:styleId="BodyText">
    <w:name w:val="Body Text"/>
    <w:basedOn w:val="Normal"/>
    <w:link w:val="BodyTextChar"/>
    <w:locked/>
    <w:rsid w:val="00D9539E"/>
    <w:pPr>
      <w:spacing w:after="120"/>
      <w:ind w:firstLine="454"/>
      <w:jc w:val="both"/>
    </w:pPr>
    <w:rPr>
      <w:sz w:val="22"/>
      <w:lang w:val="x-none" w:eastAsia="x-none"/>
    </w:rPr>
  </w:style>
  <w:style w:type="character" w:customStyle="1" w:styleId="BodyTextChar">
    <w:name w:val="Body Text Char"/>
    <w:basedOn w:val="DefaultParagraphFont"/>
    <w:link w:val="BodyText"/>
    <w:rsid w:val="00D9539E"/>
    <w:rPr>
      <w:sz w:val="22"/>
      <w:lang w:val="x-none" w:eastAsia="x-none"/>
    </w:rPr>
  </w:style>
  <w:style w:type="paragraph" w:styleId="ListParagraph">
    <w:name w:val="List Paragraph"/>
    <w:basedOn w:val="Normal"/>
    <w:uiPriority w:val="34"/>
    <w:qFormat/>
    <w:rsid w:val="00D9539E"/>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Web_x0020_Document xmlns="34c74c1e-317b-494a-90b3-c1c029eb0a28">false</Web_x0020_Document>
    <EORTC_x0020_Zone xmlns="34c74c1e-317b-494a-90b3-c1c029eb0a28">11</EORTC_x0020_Zone>
    <EORTC_x0020_Template xmlns="6df07a32-ca69-471e-8b92-0013f00be126">ST-006-AF-01</EORTC_x0020_Template>
    <EORTC_x0020_Section1 xmlns="34c74c1e-317b-494a-90b3-c1c029eb0a28">1</EORTC_x0020_Section1>
    <_Status xmlns="http://schemas.microsoft.com/sharepoint/v3/fields">Not Started</_Status>
    <EORTC_x0020_Document_x0020_Title1 xmlns="34c74c1e-317b-494a-90b3-c1c029eb0a28">643</EORTC_x0020_Document_x0020_Title1>
    <Document_x0020_Source xmlns="34c74c1e-317b-494a-90b3-c1c029eb0a28" xsi:nil="true"/>
    <TaxCatchAll xmlns="6df07a32-ca69-471e-8b92-0013f00be126"/>
    <j83f23c9ad35431f83ee6efebfbf57d9 xmlns="34c74c1e-317b-494a-90b3-c1c029eb0a28">
      <Terms xmlns="http://schemas.microsoft.com/office/infopath/2007/PartnerControls"/>
    </j83f23c9ad35431f83ee6efebfbf57d9>
    <Owner xmlns="6DF07A32-CA69-471E-8B92-0013F00BE126">
      <UserInfo>
        <DisplayName/>
        <AccountId xsi:nil="true"/>
        <AccountType/>
      </UserInfo>
    </Owner>
    <Revision_x0020_Number xmlns="34c74c1e-317b-494a-90b3-c1c029eb0a28" xsi:nil="true"/>
    <_dlc_DocId xmlns="6df07a32-ca69-471e-8b92-0013f00be126">EORTC-279-190</_dlc_DocId>
    <_dlc_DocIdUrl xmlns="6df07a32-ca69-471e-8b92-0013f00be126">
      <Url>http://portal.eortc.be/Clinical_Trials/1999/_layouts/DocIdRedir.aspx?ID=EORTC-279-190</Url>
      <Description>EORTC-279-190</Description>
    </_dlc_DocIdUrl>
    <CA_x0020_Requirement xmlns="34c74c1e-317b-494a-90b3-c1c029eb0a28">false</CA_x0020_Requirement>
    <Approval_x0020_Date xmlns="34c74c1e-317b-494a-90b3-c1c029eb0a2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ST - Analysis" ma:contentTypeID="0x01010096FB318E100C37438D143209E2C22134016E00E70B836A838DA248A421F79D9B2AFC06" ma:contentTypeVersion="77" ma:contentTypeDescription="" ma:contentTypeScope="" ma:versionID="08afc444de29a28032635cd199cd8adc">
  <xsd:schema xmlns:xsd="http://www.w3.org/2001/XMLSchema" xmlns:xs="http://www.w3.org/2001/XMLSchema" xmlns:p="http://schemas.microsoft.com/office/2006/metadata/properties" xmlns:ns1="34c74c1e-317b-494a-90b3-c1c029eb0a28" xmlns:ns3="6df07a32-ca69-471e-8b92-0013f00be126" xmlns:ns4="http://schemas.microsoft.com/sharepoint/v3/fields" xmlns:ns5="6DF07A32-CA69-471E-8B92-0013F00BE126" targetNamespace="http://schemas.microsoft.com/office/2006/metadata/properties" ma:root="true" ma:fieldsID="8bc4a88886888c1b3dff407d07c61564" ns1:_="" ns3:_="" ns4:_="" ns5:_="">
    <xsd:import namespace="34c74c1e-317b-494a-90b3-c1c029eb0a28"/>
    <xsd:import namespace="6df07a32-ca69-471e-8b92-0013f00be126"/>
    <xsd:import namespace="http://schemas.microsoft.com/sharepoint/v3/fields"/>
    <xsd:import namespace="6DF07A32-CA69-471E-8B92-0013F00BE126"/>
    <xsd:element name="properties">
      <xsd:complexType>
        <xsd:sequence>
          <xsd:element name="documentManagement">
            <xsd:complexType>
              <xsd:all>
                <xsd:element ref="ns1:EORTC_x0020_Zone"/>
                <xsd:element ref="ns1:EORTC_x0020_Section1"/>
                <xsd:element ref="ns1:EORTC_x0020_Document_x0020_Title1"/>
                <xsd:element ref="ns1:Approval_x0020_Date" minOccurs="0"/>
                <xsd:element ref="ns1:CA_x0020_Requirement" minOccurs="0"/>
                <xsd:element ref="ns3:EORTC_x0020_Template" minOccurs="0"/>
                <xsd:element ref="ns1:Revision_x0020_Number" minOccurs="0"/>
                <xsd:element ref="ns1:Web_x0020_Document" minOccurs="0"/>
                <xsd:element ref="ns4:_Status" minOccurs="0"/>
                <xsd:element ref="ns5:Owner" minOccurs="0"/>
                <xsd:element ref="ns1:Document_x0020_Source" minOccurs="0"/>
                <xsd:element ref="ns3:_dlc_DocId" minOccurs="0"/>
                <xsd:element ref="ns3:_dlc_DocIdUrl" minOccurs="0"/>
                <xsd:element ref="ns3:_dlc_DocIdPersistId" minOccurs="0"/>
                <xsd:element ref="ns3:TaxCatchAll" minOccurs="0"/>
                <xsd:element ref="ns3:TaxCatchAllLabel" minOccurs="0"/>
                <xsd:element ref="ns1:j83f23c9ad35431f83ee6efebfbf57d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74c1e-317b-494a-90b3-c1c029eb0a28" elementFormDefault="qualified">
    <xsd:import namespace="http://schemas.microsoft.com/office/2006/documentManagement/types"/>
    <xsd:import namespace="http://schemas.microsoft.com/office/infopath/2007/PartnerControls"/>
    <xsd:element name="EORTC_x0020_Zone" ma:index="0" ma:displayName="EORTC Zone" ma:description="EORTC Unit/Department as described in the TMF Index" ma:list="{e3589ef1-a7cf-4de4-931a-aebb7c826212}" ma:internalName="EORTC_x0020_Zone" ma:readOnly="false" ma:showField="Title" ma:web="34c74c1e-317b-494a-90b3-c1c029eb0a28">
      <xsd:simpleType>
        <xsd:restriction base="dms:Lookup"/>
      </xsd:simpleType>
    </xsd:element>
    <xsd:element name="EORTC_x0020_Section1" ma:index="1" ma:displayName="EORTC Section" ma:default="" ma:list="{5138386c-fd58-4d95-b661-718acde1dca2}" ma:internalName="EORTC_x0020_Section1" ma:readOnly="false" ma:showField="Zone_x002d_Section" ma:web="34c74c1e-317b-494a-90b3-c1c029eb0a28">
      <xsd:simpleType>
        <xsd:restriction base="dms:Lookup"/>
      </xsd:simpleType>
    </xsd:element>
    <xsd:element name="EORTC_x0020_Document_x0020_Title1" ma:index="2" ma:displayName="EORTC Document Title" ma:default="" ma:list="{18680365-9d15-4988-883e-2410bf61f843}" ma:internalName="EORTC_x0020_Document_x0020_Title1" ma:readOnly="false" ma:showField="Column3" ma:web="34c74c1e-317b-494a-90b3-c1c029eb0a28">
      <xsd:simpleType>
        <xsd:restriction base="dms:Lookup"/>
      </xsd:simpleType>
    </xsd:element>
    <xsd:element name="Approval_x0020_Date" ma:index="5" nillable="true" ma:displayName="Approval Date" ma:format="DateOnly" ma:internalName="Approval_x0020_Date">
      <xsd:simpleType>
        <xsd:restriction base="dms:DateTime"/>
      </xsd:simpleType>
    </xsd:element>
    <xsd:element name="CA_x0020_Requirement" ma:index="6" nillable="true" ma:displayName="CA" ma:default="0" ma:internalName="CA_x0020_Requirement">
      <xsd:simpleType>
        <xsd:restriction base="dms:Boolean"/>
      </xsd:simpleType>
    </xsd:element>
    <xsd:element name="Revision_x0020_Number" ma:index="8" nillable="true" ma:displayName="Revision Number" ma:description="Internal version n°" ma:internalName="Revision_x0020_Number">
      <xsd:simpleType>
        <xsd:restriction base="dms:Text">
          <xsd:maxLength value="50"/>
        </xsd:restriction>
      </xsd:simpleType>
    </xsd:element>
    <xsd:element name="Web_x0020_Document" ma:index="9" nillable="true" ma:displayName="Web Document" ma:default="0" ma:description="Visible to investigator." ma:internalName="Web_x0020_Document">
      <xsd:simpleType>
        <xsd:restriction base="dms:Boolean"/>
      </xsd:simpleType>
    </xsd:element>
    <xsd:element name="Document_x0020_Source" ma:index="13" nillable="true" ma:displayName="Document Source" ma:description="Paper / electronic / internal / external" ma:list="{03b83ad4-9f18-43ce-9bdc-df0a838f0d44}" ma:internalName="Document_x0020_Source" ma:showField="Title" ma:web="34c74c1e-317b-494a-90b3-c1c029eb0a28">
      <xsd:simpleType>
        <xsd:restriction base="dms:Lookup"/>
      </xsd:simpleType>
    </xsd:element>
    <xsd:element name="j83f23c9ad35431f83ee6efebfbf57d9" ma:index="23" nillable="true" ma:taxonomy="true" ma:internalName="j83f23c9ad35431f83ee6efebfbf57d9" ma:taxonomyFieldName="TMF_x0020_Artifact" ma:displayName="DIA Artifact" ma:default="" ma:fieldId="{383f23c9-ad35-431f-83ee-6efebfbf57d9}" ma:sspId="e4c9baa4-90b1-4f58-bf28-2fa042d45015" ma:termSetId="9dd25aa6-77ea-4bed-8a80-b11de02d544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f07a32-ca69-471e-8b92-0013f00be126" elementFormDefault="qualified">
    <xsd:import namespace="http://schemas.microsoft.com/office/2006/documentManagement/types"/>
    <xsd:import namespace="http://schemas.microsoft.com/office/infopath/2007/PartnerControls"/>
    <xsd:element name="EORTC_x0020_Template" ma:index="7" nillable="true" ma:displayName="EORTC Template" ma:description="Internal EORTC template used to create document (e.g. PD-004-AF-01)." ma:internalName="EORTC_x0020_Template">
      <xsd:simpleType>
        <xsd:restriction base="dms:Text">
          <xsd:maxLength value="255"/>
        </xsd:restriction>
      </xsd:simpleType>
    </xsd:element>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element name="TaxCatchAll" ma:index="19" nillable="true" ma:displayName="Taxonomy Catch All Column" ma:description="" ma:hidden="true" ma:list="{afc81995-c2f7-47ac-b390-8b44d43c63e3}" ma:internalName="TaxCatchAll" ma:showField="CatchAllData" ma:web="6df07a32-ca69-471e-8b92-0013f00be126">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afc81995-c2f7-47ac-b390-8b44d43c63e3}" ma:internalName="TaxCatchAllLabel" ma:readOnly="true" ma:showField="CatchAllDataLabel" ma:web="6df07a32-ca69-471e-8b92-0013f00be12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DF07A32-CA69-471E-8B92-0013F00BE126" elementFormDefault="qualified">
    <xsd:import namespace="http://schemas.microsoft.com/office/2006/documentManagement/types"/>
    <xsd:import namespace="http://schemas.microsoft.com/office/infopath/2007/PartnerControls"/>
    <xsd:element name="Owner" ma:index="12" nillable="true" ma:displayName="Owner" ma:description="Owner of this document" ma:list="UserInfo" ma:SearchPeopleOnly="false"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EF53A-2EC2-4958-9CEA-2D62ACD389ED}">
  <ds:schemaRefs>
    <ds:schemaRef ds:uri="http://schemas.microsoft.com/sharepoint/v3/contenttype/forms"/>
  </ds:schemaRefs>
</ds:datastoreItem>
</file>

<file path=customXml/itemProps2.xml><?xml version="1.0" encoding="utf-8"?>
<ds:datastoreItem xmlns:ds="http://schemas.openxmlformats.org/officeDocument/2006/customXml" ds:itemID="{C43C6E16-72EF-481A-9966-32CF0952AF9B}">
  <ds:schemaRefs>
    <ds:schemaRef ds:uri="http://schemas.microsoft.com/sharepoint/events"/>
  </ds:schemaRefs>
</ds:datastoreItem>
</file>

<file path=customXml/itemProps3.xml><?xml version="1.0" encoding="utf-8"?>
<ds:datastoreItem xmlns:ds="http://schemas.openxmlformats.org/officeDocument/2006/customXml" ds:itemID="{BE7031BF-16C7-4EB9-96C8-3E2FB028B2F5}">
  <ds:schemaRefs>
    <ds:schemaRef ds:uri="34c74c1e-317b-494a-90b3-c1c029eb0a28"/>
    <ds:schemaRef ds:uri="6DF07A32-CA69-471E-8B92-0013F00BE126"/>
    <ds:schemaRef ds:uri="http://www.w3.org/XML/1998/namespace"/>
    <ds:schemaRef ds:uri="http://schemas.microsoft.com/office/infopath/2007/PartnerControls"/>
    <ds:schemaRef ds:uri="http://purl.org/dc/dcmitype/"/>
    <ds:schemaRef ds:uri="http://schemas.openxmlformats.org/package/2006/metadata/core-properties"/>
    <ds:schemaRef ds:uri="6df07a32-ca69-471e-8b92-0013f00be126"/>
    <ds:schemaRef ds:uri="http://purl.org/dc/elements/1.1/"/>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26035BB-B0C7-4FC3-BC94-D2BF19AEB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74c1e-317b-494a-90b3-c1c029eb0a28"/>
    <ds:schemaRef ds:uri="6df07a32-ca69-471e-8b92-0013f00be126"/>
    <ds:schemaRef ds:uri="http://schemas.microsoft.com/sharepoint/v3/fields"/>
    <ds:schemaRef ds:uri="6DF07A32-CA69-471E-8B92-0013F00BE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E1DABF-0956-4E14-A434-34E11345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2F38E3EB.dotm</Template>
  <TotalTime>83</TotalTime>
  <Pages>6</Pages>
  <Words>2776</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(Abbreviated title for page header)</vt:lpstr>
    </vt:vector>
  </TitlesOfParts>
  <Company>EORTC Data Center</Company>
  <LinksUpToDate>false</LinksUpToDate>
  <CharactersWithSpaces>17948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(Abbreviated title for page header)</dc:title>
  <dc:subject>(Protocol number)</dc:subject>
  <dc:creator>mlcouvreur</dc:creator>
  <cp:lastModifiedBy>Baktiar Hasan</cp:lastModifiedBy>
  <cp:revision>9</cp:revision>
  <cp:lastPrinted>2013-04-15T07:34:00Z</cp:lastPrinted>
  <dcterms:created xsi:type="dcterms:W3CDTF">2014-06-25T14:18:00Z</dcterms:created>
  <dcterms:modified xsi:type="dcterms:W3CDTF">2014-07-16T15:13:00Z</dcterms:modified>
  <cp:category>Version: (DRAFT or version number)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0x01010096FB318E100C37438D143209E2C22134016E00E70B836A838DA248A421F79D9B2AFC06</vt:lpwstr>
  </property>
  <property fmtid="{D5CDD505-2E9C-101B-9397-08002B2CF9AE}" pid="3" name="_dlc_DocIdItemGuid">
    <vt:lpwstr>a9b769b0-fa0d-4a65-b4c7-d40b8817f711</vt:lpwstr>
  </property>
  <property fmtid="{D5CDD505-2E9C-101B-9397-08002B2CF9AE}" pid="4" name="TMF_x0020_Artifact">
    <vt:lpwstr/>
  </property>
  <property fmtid="{D5CDD505-2E9C-101B-9397-08002B2CF9AE}" pid="5" name="TMF Artifact">
    <vt:lpwstr/>
  </property>
</Properties>
</file>